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27A4AB">
      <w:pPr>
        <w:spacing w:line="360" w:lineRule="auto"/>
        <w:jc w:val="both"/>
        <w:rPr>
          <w:rFonts w:hint="eastAsia" w:ascii="仿宋_GB2312" w:hAnsi="仿宋_GB2312" w:eastAsia="仿宋_GB2312" w:cs="仿宋_GB2312"/>
          <w:sz w:val="36"/>
          <w:szCs w:val="36"/>
        </w:rPr>
      </w:pPr>
      <w:r>
        <w:rPr>
          <w:rFonts w:hint="eastAsia" w:ascii="仿宋_GB2312" w:hAnsi="仿宋_GB2312" w:eastAsia="仿宋_GB2312" w:cs="仿宋_GB2312"/>
          <w:sz w:val="36"/>
          <w:szCs w:val="36"/>
        </w:rPr>
        <w:t>《</w:t>
      </w:r>
      <w:r>
        <w:rPr>
          <w:rFonts w:hint="eastAsia" w:ascii="仿宋_GB2312" w:hAnsi="仿宋_GB2312" w:eastAsia="仿宋_GB2312" w:cs="仿宋_GB2312"/>
          <w:sz w:val="36"/>
          <w:szCs w:val="36"/>
          <w:lang w:eastAsia="zh-CN"/>
        </w:rPr>
        <w:t>淄博市临淄区凤凰镇柴南村、柴北村村庄规划</w:t>
      </w:r>
    </w:p>
    <w:p w14:paraId="7C013BA9">
      <w:pPr>
        <w:spacing w:line="360" w:lineRule="auto"/>
        <w:jc w:val="center"/>
        <w:rPr>
          <w:rFonts w:hint="eastAsia" w:ascii="仿宋_GB2312" w:hAnsi="仿宋_GB2312" w:eastAsia="仿宋_GB2312" w:cs="仿宋_GB2312"/>
          <w:sz w:val="36"/>
          <w:szCs w:val="36"/>
        </w:rPr>
      </w:pPr>
      <w:r>
        <w:rPr>
          <w:rFonts w:hint="eastAsia" w:ascii="仿宋_GB2312" w:hAnsi="仿宋_GB2312" w:eastAsia="仿宋_GB2312" w:cs="仿宋_GB2312"/>
          <w:sz w:val="36"/>
          <w:szCs w:val="36"/>
        </w:rPr>
        <w:t>（</w:t>
      </w:r>
      <w:r>
        <w:rPr>
          <w:rFonts w:hint="eastAsia" w:ascii="仿宋_GB2312" w:hAnsi="仿宋_GB2312" w:eastAsia="仿宋_GB2312" w:cs="仿宋_GB2312"/>
          <w:sz w:val="36"/>
          <w:szCs w:val="36"/>
          <w:lang w:eastAsia="zh-CN"/>
        </w:rPr>
        <w:t>202</w:t>
      </w:r>
      <w:r>
        <w:rPr>
          <w:rFonts w:hint="eastAsia" w:ascii="仿宋_GB2312" w:hAnsi="仿宋_GB2312" w:eastAsia="仿宋_GB2312" w:cs="仿宋_GB2312"/>
          <w:sz w:val="36"/>
          <w:szCs w:val="36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6"/>
          <w:szCs w:val="36"/>
          <w:lang w:eastAsia="zh-CN"/>
        </w:rPr>
        <w:t>-2035</w:t>
      </w:r>
      <w:r>
        <w:rPr>
          <w:rFonts w:hint="eastAsia" w:ascii="仿宋_GB2312" w:hAnsi="仿宋_GB2312" w:eastAsia="仿宋_GB2312" w:cs="仿宋_GB2312"/>
          <w:sz w:val="36"/>
          <w:szCs w:val="36"/>
        </w:rPr>
        <w:t>年）》主要内容简介</w:t>
      </w:r>
    </w:p>
    <w:p w14:paraId="70329A0D">
      <w:pPr>
        <w:pStyle w:val="7"/>
        <w:spacing w:line="360" w:lineRule="auto"/>
        <w:ind w:firstLine="562"/>
        <w:rPr>
          <w:rFonts w:hint="eastAsia" w:ascii="仿宋_GB2312" w:hAnsi="仿宋_GB2312" w:eastAsia="仿宋_GB2312" w:cs="仿宋_GB2312"/>
          <w:b/>
          <w:kern w:val="0"/>
          <w:sz w:val="28"/>
          <w:szCs w:val="28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28"/>
          <w:szCs w:val="28"/>
        </w:rPr>
        <w:t>一、总则</w:t>
      </w:r>
    </w:p>
    <w:p w14:paraId="5F869D52">
      <w:pPr>
        <w:pStyle w:val="7"/>
        <w:widowControl/>
        <w:spacing w:line="360" w:lineRule="auto"/>
        <w:ind w:firstLine="560"/>
        <w:jc w:val="left"/>
        <w:rPr>
          <w:rFonts w:hint="eastAsia" w:ascii="仿宋_GB2312" w:hAnsi="仿宋_GB2312" w:eastAsia="仿宋_GB2312" w:cs="仿宋_GB2312"/>
          <w:kern w:val="0"/>
          <w:sz w:val="28"/>
          <w:szCs w:val="28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</w:rPr>
        <w:t>1.规划期限</w:t>
      </w:r>
    </w:p>
    <w:p w14:paraId="352ACC80">
      <w:pPr>
        <w:spacing w:line="360" w:lineRule="auto"/>
        <w:ind w:firstLine="560" w:firstLineChars="200"/>
        <w:rPr>
          <w:rFonts w:hint="eastAsia" w:ascii="仿宋_GB2312" w:hAnsi="仿宋_GB2312" w:eastAsia="仿宋_GB2312" w:cs="仿宋_GB2312"/>
          <w:sz w:val="28"/>
          <w:szCs w:val="28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eastAsia="zh-CN"/>
        </w:rPr>
        <w:t>规划期限为2021-2035年，近期到2025年，远期到2035年</w:t>
      </w:r>
      <w:r>
        <w:rPr>
          <w:rFonts w:hint="eastAsia" w:ascii="仿宋_GB2312" w:hAnsi="仿宋_GB2312" w:eastAsia="仿宋_GB2312" w:cs="仿宋_GB2312"/>
          <w:sz w:val="28"/>
          <w:szCs w:val="28"/>
        </w:rPr>
        <w:t>。</w:t>
      </w:r>
    </w:p>
    <w:p w14:paraId="319635AA">
      <w:pPr>
        <w:pStyle w:val="7"/>
        <w:widowControl/>
        <w:spacing w:line="360" w:lineRule="auto"/>
        <w:ind w:firstLine="560"/>
        <w:jc w:val="left"/>
        <w:rPr>
          <w:rFonts w:hint="eastAsia" w:ascii="仿宋_GB2312" w:hAnsi="仿宋_GB2312" w:eastAsia="仿宋_GB2312" w:cs="仿宋_GB2312"/>
          <w:kern w:val="0"/>
          <w:sz w:val="28"/>
          <w:szCs w:val="28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</w:rPr>
        <w:t>2.规划范围</w:t>
      </w:r>
    </w:p>
    <w:p w14:paraId="695C7EA4">
      <w:pPr>
        <w:spacing w:line="360" w:lineRule="auto"/>
        <w:ind w:firstLine="560" w:firstLineChars="200"/>
        <w:rPr>
          <w:rFonts w:hint="eastAsia" w:ascii="仿宋_GB2312" w:hAnsi="仿宋_GB2312" w:eastAsia="仿宋_GB2312" w:cs="仿宋_GB2312"/>
          <w:sz w:val="28"/>
          <w:szCs w:val="28"/>
        </w:rPr>
      </w:pPr>
      <w:bookmarkStart w:id="0" w:name="_Hlk97035371"/>
      <w:r>
        <w:rPr>
          <w:rFonts w:hint="eastAsia" w:ascii="仿宋_GB2312" w:hAnsi="仿宋_GB2312" w:eastAsia="仿宋_GB2312" w:cs="仿宋_GB2312"/>
          <w:sz w:val="28"/>
          <w:szCs w:val="28"/>
          <w:lang w:eastAsia="zh-CN"/>
        </w:rPr>
        <w:t>本次规划范围为柴南村、柴北村村域国土空间，总面积为</w:t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255.94</w:t>
      </w:r>
      <w:r>
        <w:rPr>
          <w:rFonts w:hint="eastAsia" w:ascii="仿宋_GB2312" w:hAnsi="仿宋_GB2312" w:eastAsia="仿宋_GB2312" w:cs="仿宋_GB2312"/>
          <w:sz w:val="28"/>
          <w:szCs w:val="28"/>
          <w:lang w:eastAsia="zh-CN"/>
        </w:rPr>
        <w:t>公顷。其中，柴南村村域国土空间总面积为143.88公顷，柴北村村域国土空间总面积为112.06公顷。</w:t>
      </w:r>
    </w:p>
    <w:bookmarkEnd w:id="0"/>
    <w:p w14:paraId="119F68D6">
      <w:pPr>
        <w:pStyle w:val="7"/>
        <w:widowControl/>
        <w:spacing w:line="360" w:lineRule="auto"/>
        <w:ind w:firstLine="560"/>
        <w:jc w:val="left"/>
        <w:rPr>
          <w:rFonts w:hint="eastAsia" w:ascii="仿宋_GB2312" w:hAnsi="仿宋_GB2312" w:eastAsia="仿宋_GB2312" w:cs="仿宋_GB2312"/>
          <w:kern w:val="2"/>
          <w:sz w:val="28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28"/>
          <w:szCs w:val="28"/>
          <w:lang w:val="en-US" w:eastAsia="zh-CN" w:bidi="ar-SA"/>
        </w:rPr>
        <w:t>3.村庄发展定位</w:t>
      </w:r>
    </w:p>
    <w:p w14:paraId="2F1DD9AC">
      <w:pPr>
        <w:spacing w:line="360" w:lineRule="auto"/>
        <w:ind w:firstLine="560" w:firstLineChars="200"/>
        <w:rPr>
          <w:rFonts w:hint="eastAsia" w:ascii="仿宋_GB2312" w:hAnsi="仿宋_GB2312" w:eastAsia="仿宋_GB2312" w:cs="仿宋_GB2312"/>
          <w:sz w:val="28"/>
          <w:szCs w:val="28"/>
          <w:lang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eastAsia="zh-CN"/>
        </w:rPr>
        <w:t>根据《山东省村庄规划编制导则（试行）》，结合村庄实际情况和村民意愿，柴南村、柴北村确定为集聚提升类村庄。</w:t>
      </w:r>
    </w:p>
    <w:p w14:paraId="5229ACCC">
      <w:pPr>
        <w:spacing w:line="360" w:lineRule="auto"/>
        <w:ind w:firstLine="560" w:firstLineChars="200"/>
        <w:rPr>
          <w:rFonts w:hint="eastAsia" w:ascii="仿宋_GB2312" w:hAnsi="仿宋_GB2312" w:eastAsia="仿宋_GB2312" w:cs="仿宋_GB2312"/>
          <w:sz w:val="28"/>
          <w:szCs w:val="28"/>
          <w:lang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eastAsia="zh-CN"/>
        </w:rPr>
        <w:t>基于对村庄特点、自然资源和产业基础等梳理，融合区域发展需求与村庄诉求，将柴南村、柴北村定位为：</w:t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以农业种植为支撑，建设用地集约、产业发展、生活舒适的现代化新农村</w:t>
      </w:r>
      <w:r>
        <w:rPr>
          <w:rFonts w:hint="eastAsia" w:ascii="仿宋_GB2312" w:hAnsi="仿宋_GB2312" w:eastAsia="仿宋_GB2312" w:cs="仿宋_GB2312"/>
          <w:sz w:val="28"/>
          <w:szCs w:val="28"/>
          <w:lang w:eastAsia="zh-CN"/>
        </w:rPr>
        <w:t>。</w:t>
      </w:r>
    </w:p>
    <w:p w14:paraId="4CA3A29B">
      <w:pPr>
        <w:pStyle w:val="7"/>
        <w:spacing w:line="360" w:lineRule="auto"/>
        <w:ind w:firstLine="562"/>
        <w:rPr>
          <w:rFonts w:hint="eastAsia" w:ascii="仿宋_GB2312" w:hAnsi="仿宋_GB2312" w:eastAsia="仿宋_GB2312" w:cs="仿宋_GB2312"/>
          <w:b/>
          <w:kern w:val="0"/>
          <w:sz w:val="28"/>
          <w:szCs w:val="28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28"/>
          <w:szCs w:val="28"/>
        </w:rPr>
        <w:t>二、村庄规划</w:t>
      </w:r>
      <w:r>
        <w:rPr>
          <w:rFonts w:ascii="仿宋_GB2312" w:hAnsi="仿宋_GB2312" w:eastAsia="仿宋_GB2312" w:cs="仿宋_GB2312"/>
          <w:b/>
          <w:bCs/>
          <w:kern w:val="0"/>
          <w:sz w:val="28"/>
          <w:szCs w:val="28"/>
        </w:rPr>
        <w:t>内容</w:t>
      </w:r>
    </w:p>
    <w:p w14:paraId="25309CD7">
      <w:pPr>
        <w:spacing w:line="360" w:lineRule="auto"/>
        <w:ind w:firstLine="560" w:firstLineChars="200"/>
        <w:rPr>
          <w:rFonts w:ascii="仿宋_GB2312" w:hAnsi="仿宋_GB2312" w:eastAsia="仿宋_GB2312" w:cs="仿宋_GB2312"/>
          <w:sz w:val="28"/>
          <w:szCs w:val="28"/>
        </w:rPr>
      </w:pPr>
      <w:r>
        <w:rPr>
          <w:rFonts w:hint="eastAsia" w:ascii="仿宋_GB2312" w:hAnsi="仿宋_GB2312" w:eastAsia="仿宋_GB2312" w:cs="仿宋_GB2312"/>
          <w:bCs/>
          <w:sz w:val="28"/>
          <w:szCs w:val="28"/>
        </w:rPr>
        <w:t>1</w:t>
      </w:r>
      <w:r>
        <w:rPr>
          <w:rFonts w:ascii="仿宋_GB2312" w:hAnsi="仿宋_GB2312" w:eastAsia="仿宋_GB2312" w:cs="仿宋_GB2312"/>
          <w:bCs/>
          <w:sz w:val="28"/>
          <w:szCs w:val="28"/>
        </w:rPr>
        <w:t>.</w:t>
      </w:r>
      <w:r>
        <w:rPr>
          <w:rFonts w:hint="eastAsia" w:ascii="仿宋_GB2312" w:hAnsi="仿宋_GB2312" w:eastAsia="仿宋_GB2312" w:cs="仿宋_GB2312"/>
          <w:bCs/>
          <w:sz w:val="28"/>
          <w:szCs w:val="28"/>
        </w:rPr>
        <w:t>人口规模预测</w:t>
      </w:r>
      <w:r>
        <w:rPr>
          <w:rFonts w:hint="eastAsia" w:ascii="仿宋_GB2312" w:hAnsi="仿宋_GB2312" w:eastAsia="仿宋_GB2312" w:cs="仿宋_GB2312"/>
          <w:sz w:val="28"/>
          <w:szCs w:val="28"/>
        </w:rPr>
        <w:t xml:space="preserve"> </w:t>
      </w:r>
    </w:p>
    <w:p w14:paraId="1D02B8AE">
      <w:pPr>
        <w:spacing w:line="360" w:lineRule="auto"/>
        <w:ind w:firstLine="560" w:firstLineChars="200"/>
        <w:rPr>
          <w:rFonts w:hint="eastAsia" w:ascii="仿宋_GB2312" w:hAnsi="仿宋_GB2312" w:eastAsia="仿宋_GB2312" w:cs="仿宋_GB2312"/>
          <w:sz w:val="28"/>
          <w:szCs w:val="28"/>
          <w:lang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规划至2035年柴南村、柴北村户籍人口为1975人，610户；常住人口为1294人。其中，柴南村户籍人口为1095人，340户；常住人口为678人。柴北村户籍人口为880人，270户；常住人口为616人。</w:t>
      </w:r>
    </w:p>
    <w:p w14:paraId="04110617">
      <w:pPr>
        <w:spacing w:line="360" w:lineRule="auto"/>
        <w:ind w:firstLine="560" w:firstLineChars="200"/>
        <w:rPr>
          <w:rFonts w:ascii="仿宋_GB2312" w:hAnsi="仿宋_GB2312" w:eastAsia="仿宋_GB2312" w:cs="仿宋_GB2312"/>
          <w:kern w:val="2"/>
          <w:sz w:val="28"/>
          <w:szCs w:val="28"/>
          <w:u w:val="none"/>
        </w:rPr>
      </w:pPr>
      <w:r>
        <w:rPr>
          <w:rFonts w:hint="eastAsia" w:ascii="仿宋_GB2312" w:hAnsi="仿宋_GB2312" w:eastAsia="仿宋_GB2312" w:cs="仿宋_GB2312"/>
          <w:b w:val="0"/>
          <w:bCs w:val="0"/>
          <w:sz w:val="28"/>
          <w:szCs w:val="28"/>
        </w:rPr>
        <w:br w:type="page"/>
      </w:r>
      <w:r>
        <w:rPr>
          <w:rFonts w:hint="eastAsia" w:ascii="仿宋_GB2312" w:hAnsi="仿宋_GB2312" w:eastAsia="仿宋_GB2312" w:cs="仿宋_GB2312"/>
          <w:kern w:val="2"/>
          <w:sz w:val="28"/>
          <w:szCs w:val="28"/>
          <w:u w:val="none"/>
        </w:rPr>
        <w:t>2</w:t>
      </w:r>
      <w:r>
        <w:rPr>
          <w:rFonts w:ascii="仿宋_GB2312" w:hAnsi="仿宋_GB2312" w:eastAsia="仿宋_GB2312" w:cs="仿宋_GB2312"/>
          <w:kern w:val="2"/>
          <w:sz w:val="28"/>
          <w:szCs w:val="28"/>
          <w:u w:val="none"/>
        </w:rPr>
        <w:t>.</w:t>
      </w:r>
      <w:r>
        <w:rPr>
          <w:rFonts w:hint="eastAsia" w:ascii="仿宋_GB2312" w:hAnsi="仿宋_GB2312" w:eastAsia="仿宋_GB2312" w:cs="仿宋_GB2312"/>
          <w:kern w:val="2"/>
          <w:sz w:val="28"/>
          <w:szCs w:val="28"/>
          <w:u w:val="none"/>
        </w:rPr>
        <w:t>村域土地利用规划</w:t>
      </w:r>
    </w:p>
    <w:p w14:paraId="6A710C1D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远期2035年，规划范围内耕地面积为150.51公顷，园地面积为11.89公顷，林地面积为14.99公顷，农业设施建设用地面积为5.79公顷，村庄建设用地面积为63.80公顷，区域基础设施用地面积为7.93公顷，其他建设用地面积为0.36公顷，陆地水域面积为0.50公顷，其他土地面积为0.17公顷。</w:t>
      </w:r>
    </w:p>
    <w:p w14:paraId="23AE81FC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其中，柴南村耕地面积为91.82公顷，园地面积为9.96公顷，林地面积为6.34公顷，农业设施建设用</w:t>
      </w:r>
      <w:bookmarkStart w:id="2" w:name="_GoBack"/>
      <w:bookmarkEnd w:id="2"/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地面积为4.45公顷，城乡建设用地面积为27.88公顷，区域基础设施用地面积为2.65公顷，其他建设用地面积为0.20公顷，陆地水域面积为0.50公顷，其他土地面积为0.08公顷。</w:t>
      </w:r>
    </w:p>
    <w:p w14:paraId="31758B63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柴北村耕地面积为58.69公顷，园地面积为1.93公顷，林地面积为8.65公顷，农业设施建设用地面积为1.34公顷，城乡建设用地面积为35.92公顷，区域基础设施用地面积为5.28公顷，其他建设用地面积为0.16公顷，其他土地面积为0.08公顷。</w:t>
      </w:r>
    </w:p>
    <w:p w14:paraId="2142BDB4">
      <w:pPr>
        <w:pStyle w:val="8"/>
        <w:spacing w:line="360" w:lineRule="auto"/>
        <w:ind w:firstLineChars="200"/>
        <w:rPr>
          <w:rFonts w:hint="eastAsia" w:ascii="仿宋_GB2312" w:hAnsi="仿宋_GB2312" w:eastAsia="仿宋_GB2312" w:cs="仿宋_GB2312"/>
          <w:kern w:val="2"/>
          <w:sz w:val="28"/>
          <w:szCs w:val="28"/>
          <w:u w:val="none"/>
          <w:lang w:eastAsia="zh-CN"/>
        </w:rPr>
      </w:pPr>
      <w:r>
        <w:rPr>
          <w:rFonts w:ascii="仿宋_GB2312" w:hAnsi="仿宋_GB2312" w:eastAsia="仿宋_GB2312" w:cs="仿宋_GB2312"/>
          <w:kern w:val="2"/>
          <w:sz w:val="28"/>
          <w:szCs w:val="28"/>
          <w:u w:val="none"/>
        </w:rPr>
        <w:t>3</w:t>
      </w:r>
      <w:r>
        <w:rPr>
          <w:rFonts w:hint="eastAsia" w:ascii="仿宋_GB2312" w:hAnsi="仿宋_GB2312" w:eastAsia="仿宋_GB2312" w:cs="仿宋_GB2312"/>
          <w:kern w:val="2"/>
          <w:sz w:val="28"/>
          <w:szCs w:val="28"/>
          <w:u w:val="none"/>
        </w:rPr>
        <w:t>.</w:t>
      </w:r>
      <w:r>
        <w:rPr>
          <w:rFonts w:hint="eastAsia" w:ascii="仿宋_GB2312" w:hAnsi="仿宋_GB2312" w:eastAsia="仿宋_GB2312" w:cs="仿宋_GB2312"/>
          <w:kern w:val="2"/>
          <w:sz w:val="28"/>
          <w:szCs w:val="28"/>
          <w:u w:val="none"/>
          <w:lang w:val="en-US" w:eastAsia="zh-CN"/>
        </w:rPr>
        <w:t>村域控制线分布</w:t>
      </w:r>
    </w:p>
    <w:p w14:paraId="6F9BB0B7">
      <w:pPr>
        <w:pStyle w:val="8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560" w:firstLineChars="200"/>
        <w:textAlignment w:val="auto"/>
        <w:rPr>
          <w:rFonts w:hint="eastAsia" w:ascii="仿宋_GB2312" w:hAnsi="仿宋_GB2312" w:eastAsia="仿宋_GB2312" w:cs="仿宋_GB2312"/>
          <w:sz w:val="28"/>
          <w:szCs w:val="28"/>
          <w:u w:val="none"/>
        </w:rPr>
      </w:pPr>
      <w:r>
        <w:rPr>
          <w:rFonts w:hint="eastAsia" w:ascii="仿宋_GB2312" w:hAnsi="仿宋_GB2312" w:eastAsia="仿宋_GB2312" w:cs="仿宋_GB2312"/>
          <w:sz w:val="28"/>
          <w:szCs w:val="28"/>
          <w:u w:val="none"/>
        </w:rPr>
        <w:t>生态保护红线</w:t>
      </w:r>
    </w:p>
    <w:p w14:paraId="184AB239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依据淄博市“三区三线”划定成果，不涉及生态保护红线。</w:t>
      </w:r>
    </w:p>
    <w:p w14:paraId="22C25869">
      <w:pPr>
        <w:pStyle w:val="8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560" w:firstLineChars="200"/>
        <w:textAlignment w:val="auto"/>
        <w:rPr>
          <w:rFonts w:hint="eastAsia" w:ascii="仿宋_GB2312" w:hAnsi="仿宋_GB2312" w:eastAsia="仿宋_GB2312" w:cs="仿宋_GB2312"/>
          <w:sz w:val="28"/>
          <w:szCs w:val="28"/>
          <w:u w:val="none"/>
        </w:rPr>
      </w:pPr>
      <w:r>
        <w:rPr>
          <w:rFonts w:hint="eastAsia" w:ascii="仿宋_GB2312" w:hAnsi="仿宋_GB2312" w:eastAsia="仿宋_GB2312" w:cs="仿宋_GB2312"/>
          <w:sz w:val="28"/>
          <w:szCs w:val="28"/>
          <w:u w:val="none"/>
        </w:rPr>
        <w:t>永久基本农田保护红线</w:t>
      </w:r>
    </w:p>
    <w:p w14:paraId="7E9AB200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依据淄博市“三区三线”划定成果，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落实永久基本农田保护面积不低于128.69公顷。其中柴南村保护面积不低于80.79公顷，柴北村保护面积不低于47.90公顷。</w:t>
      </w:r>
    </w:p>
    <w:p w14:paraId="59386FA5">
      <w:pPr>
        <w:pStyle w:val="8"/>
        <w:numPr>
          <w:ilvl w:val="0"/>
          <w:numId w:val="1"/>
        </w:numPr>
        <w:spacing w:line="360" w:lineRule="auto"/>
        <w:ind w:left="0" w:firstLine="560" w:firstLineChars="200"/>
        <w:rPr>
          <w:rFonts w:hint="eastAsia" w:ascii="仿宋_GB2312" w:hAnsi="仿宋_GB2312" w:eastAsia="仿宋_GB2312" w:cs="仿宋_GB2312"/>
          <w:sz w:val="28"/>
          <w:szCs w:val="28"/>
          <w:u w:val="none"/>
        </w:rPr>
      </w:pPr>
      <w:r>
        <w:rPr>
          <w:rFonts w:hint="eastAsia" w:ascii="仿宋_GB2312" w:hAnsi="仿宋_GB2312" w:eastAsia="仿宋_GB2312" w:cs="仿宋_GB2312"/>
          <w:sz w:val="28"/>
          <w:szCs w:val="28"/>
          <w:u w:val="none"/>
        </w:rPr>
        <w:t>历史文化保护线</w:t>
      </w:r>
    </w:p>
    <w:p w14:paraId="4BA83797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落实国家级文物保护单位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——</w:t>
      </w: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烽火台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的保护范围，</w:t>
      </w: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全国重点文物保护单位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——</w:t>
      </w: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齐国古城的建设控制地带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范围，以及一</w:t>
      </w: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处未核定公布为文物保护单位的不可移动文物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——</w:t>
      </w: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柴北村王氏民宅。</w:t>
      </w:r>
    </w:p>
    <w:p w14:paraId="1963A1D3">
      <w:pPr>
        <w:pStyle w:val="8"/>
        <w:numPr>
          <w:ilvl w:val="0"/>
          <w:numId w:val="1"/>
        </w:numPr>
        <w:spacing w:line="360" w:lineRule="auto"/>
        <w:ind w:left="0" w:firstLine="560" w:firstLineChars="200"/>
        <w:rPr>
          <w:rFonts w:hint="eastAsia" w:ascii="仿宋_GB2312" w:hAnsi="仿宋_GB2312" w:eastAsia="仿宋_GB2312" w:cs="仿宋_GB2312"/>
          <w:sz w:val="28"/>
          <w:szCs w:val="28"/>
          <w:u w:val="none"/>
        </w:rPr>
      </w:pPr>
      <w:r>
        <w:rPr>
          <w:rFonts w:hint="eastAsia" w:ascii="仿宋_GB2312" w:hAnsi="仿宋_GB2312" w:eastAsia="仿宋_GB2312" w:cs="仿宋_GB2312"/>
          <w:sz w:val="28"/>
          <w:szCs w:val="28"/>
          <w:u w:val="none"/>
          <w:lang w:val="en-US" w:eastAsia="zh-CN"/>
        </w:rPr>
        <w:t>河湖管理范围</w:t>
      </w:r>
      <w:r>
        <w:rPr>
          <w:rFonts w:hint="eastAsia" w:ascii="仿宋_GB2312" w:hAnsi="仿宋_GB2312" w:eastAsia="仿宋_GB2312" w:cs="仿宋_GB2312"/>
          <w:sz w:val="28"/>
          <w:szCs w:val="28"/>
          <w:u w:val="none"/>
        </w:rPr>
        <w:t>线</w:t>
      </w:r>
    </w:p>
    <w:p w14:paraId="20250A7C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default"/>
          <w:lang w:val="en-US" w:eastAsia="zh-CN"/>
        </w:rPr>
      </w:pP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落实运粮河河湖管理范围线</w:t>
      </w:r>
    </w:p>
    <w:p w14:paraId="5C70241F">
      <w:pPr>
        <w:pStyle w:val="8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560" w:firstLineChars="200"/>
        <w:textAlignment w:val="auto"/>
        <w:rPr>
          <w:rFonts w:hint="eastAsia" w:ascii="仿宋_GB2312" w:hAnsi="仿宋_GB2312" w:eastAsia="仿宋_GB2312" w:cs="仿宋_GB2312"/>
          <w:sz w:val="28"/>
          <w:szCs w:val="28"/>
          <w:u w:val="none"/>
        </w:rPr>
      </w:pPr>
      <w:r>
        <w:rPr>
          <w:rFonts w:hint="eastAsia" w:ascii="仿宋_GB2312" w:hAnsi="仿宋_GB2312" w:eastAsia="仿宋_GB2312" w:cs="仿宋_GB2312"/>
          <w:sz w:val="28"/>
          <w:szCs w:val="28"/>
          <w:u w:val="none"/>
        </w:rPr>
        <w:t>村庄建设边界</w:t>
      </w:r>
    </w:p>
    <w:p w14:paraId="5B14B150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结合村庄规模预测，划定村庄建设边界，面积为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63.80</w:t>
      </w: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公顷，其中柴南村村庄建设边界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面积为</w:t>
      </w: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27.88公顷，柴北村村庄建设边界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面积为</w:t>
      </w: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35.92公顷。一经批准不得擅自修改，确需修改的，应按程序报相应审批机关批准。</w:t>
      </w:r>
    </w:p>
    <w:p w14:paraId="3491F989">
      <w:pPr>
        <w:pStyle w:val="8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560" w:firstLineChars="200"/>
        <w:textAlignment w:val="auto"/>
        <w:rPr>
          <w:rFonts w:hint="eastAsia" w:ascii="仿宋_GB2312" w:hAnsi="仿宋_GB2312" w:eastAsia="仿宋_GB2312" w:cs="仿宋_GB2312"/>
          <w:sz w:val="28"/>
          <w:szCs w:val="28"/>
          <w:u w:val="none"/>
        </w:rPr>
      </w:pPr>
      <w:r>
        <w:rPr>
          <w:rFonts w:hint="eastAsia" w:ascii="仿宋_GB2312" w:hAnsi="仿宋_GB2312" w:eastAsia="仿宋_GB2312" w:cs="仿宋_GB2312"/>
          <w:sz w:val="28"/>
          <w:szCs w:val="28"/>
          <w:u w:val="none"/>
        </w:rPr>
        <w:t>其他控制线</w:t>
      </w:r>
    </w:p>
    <w:p w14:paraId="3D3A791A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依据上位规划，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柴南村、柴北村不涉及自然保护地范围线、</w:t>
      </w:r>
      <w:r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矿产资源保护线等其他控制线。</w:t>
      </w:r>
    </w:p>
    <w:p w14:paraId="15C31C0F">
      <w:pPr>
        <w:pStyle w:val="8"/>
        <w:spacing w:line="360" w:lineRule="auto"/>
        <w:ind w:firstLineChars="200"/>
        <w:rPr>
          <w:rFonts w:ascii="仿宋_GB2312" w:hAnsi="仿宋_GB2312" w:eastAsia="仿宋_GB2312" w:cs="仿宋_GB2312"/>
          <w:sz w:val="28"/>
          <w:szCs w:val="28"/>
          <w:u w:val="none"/>
        </w:rPr>
      </w:pPr>
      <w:r>
        <w:rPr>
          <w:rFonts w:hint="eastAsia" w:ascii="仿宋_GB2312" w:hAnsi="仿宋_GB2312" w:eastAsia="仿宋_GB2312" w:cs="仿宋_GB2312"/>
          <w:sz w:val="28"/>
          <w:szCs w:val="28"/>
          <w:u w:val="none"/>
        </w:rPr>
        <w:t>4.生态保护与修复</w:t>
      </w:r>
      <w:r>
        <w:rPr>
          <w:rFonts w:hint="eastAsia" w:ascii="仿宋_GB2312" w:hAnsi="仿宋_GB2312" w:eastAsia="仿宋_GB2312" w:cs="仿宋_GB2312"/>
          <w:sz w:val="28"/>
          <w:szCs w:val="28"/>
          <w:u w:val="none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28"/>
          <w:szCs w:val="28"/>
          <w:u w:val="none"/>
        </w:rPr>
        <w:t>农田保护与土地整治规划</w:t>
      </w:r>
    </w:p>
    <w:p w14:paraId="7EFA3A72">
      <w:pPr>
        <w:pStyle w:val="8"/>
        <w:spacing w:line="360" w:lineRule="auto"/>
        <w:ind w:firstLineChars="200"/>
        <w:rPr>
          <w:rFonts w:hint="eastAsia" w:ascii="仿宋_GB2312" w:hAnsi="仿宋_GB2312" w:eastAsia="仿宋_GB2312" w:cs="仿宋_GB2312"/>
          <w:sz w:val="28"/>
          <w:szCs w:val="28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u w:val="none"/>
          <w:lang w:val="en-US" w:eastAsia="zh-CN"/>
        </w:rPr>
        <w:t>对生</w:t>
      </w:r>
      <w:bookmarkStart w:id="1" w:name="_Hlk97279534"/>
      <w:r>
        <w:rPr>
          <w:rFonts w:hint="eastAsia" w:ascii="仿宋_GB2312" w:hAnsi="仿宋_GB2312" w:eastAsia="仿宋_GB2312" w:cs="仿宋_GB2312"/>
          <w:sz w:val="28"/>
          <w:szCs w:val="28"/>
          <w:u w:val="none"/>
          <w:lang w:val="en-US" w:eastAsia="zh-CN"/>
        </w:rPr>
        <w:t>态环境进行修复和整治</w:t>
      </w:r>
      <w:bookmarkEnd w:id="1"/>
      <w:r>
        <w:rPr>
          <w:rFonts w:hint="eastAsia" w:ascii="仿宋_GB2312" w:hAnsi="仿宋_GB2312" w:eastAsia="仿宋_GB2312" w:cs="仿宋_GB2312"/>
          <w:sz w:val="28"/>
          <w:szCs w:val="28"/>
          <w:u w:val="none"/>
          <w:lang w:val="en-US" w:eastAsia="zh-CN"/>
        </w:rPr>
        <w:t>，包括农田生态环境综合保护、土壤环境保护和预防不良环境影响等。</w:t>
      </w:r>
    </w:p>
    <w:p w14:paraId="5B8E673B">
      <w:pPr>
        <w:pStyle w:val="8"/>
        <w:spacing w:line="360" w:lineRule="auto"/>
        <w:ind w:firstLineChars="200"/>
        <w:rPr>
          <w:rFonts w:ascii="仿宋_GB2312" w:hAnsi="仿宋_GB2312" w:eastAsia="仿宋_GB2312" w:cs="仿宋_GB2312"/>
          <w:sz w:val="28"/>
          <w:szCs w:val="28"/>
          <w:u w:val="none"/>
        </w:rPr>
      </w:pPr>
      <w:r>
        <w:rPr>
          <w:rFonts w:hint="eastAsia" w:ascii="仿宋_GB2312" w:hAnsi="仿宋_GB2312" w:eastAsia="仿宋_GB2312" w:cs="仿宋_GB2312"/>
          <w:sz w:val="28"/>
          <w:szCs w:val="28"/>
          <w:u w:val="none"/>
        </w:rPr>
        <w:t>开展</w:t>
      </w:r>
      <w:r>
        <w:rPr>
          <w:rFonts w:ascii="仿宋_GB2312" w:hAnsi="仿宋_GB2312" w:eastAsia="仿宋_GB2312" w:cs="仿宋_GB2312"/>
          <w:sz w:val="28"/>
          <w:szCs w:val="28"/>
          <w:u w:val="none"/>
        </w:rPr>
        <w:t>土地整理和环境综合整治，进行农田正向优化和</w:t>
      </w:r>
      <w:r>
        <w:rPr>
          <w:rFonts w:hint="eastAsia" w:ascii="仿宋_GB2312" w:hAnsi="仿宋_GB2312" w:eastAsia="仿宋_GB2312" w:cs="仿宋_GB2312"/>
          <w:sz w:val="28"/>
          <w:szCs w:val="28"/>
          <w:u w:val="none"/>
        </w:rPr>
        <w:t>整理</w:t>
      </w:r>
      <w:r>
        <w:rPr>
          <w:rFonts w:ascii="仿宋_GB2312" w:hAnsi="仿宋_GB2312" w:eastAsia="仿宋_GB2312" w:cs="仿宋_GB2312"/>
          <w:sz w:val="28"/>
          <w:szCs w:val="28"/>
          <w:u w:val="none"/>
        </w:rPr>
        <w:t>，落实永久基本农田保护</w:t>
      </w:r>
      <w:r>
        <w:rPr>
          <w:rFonts w:hint="eastAsia" w:ascii="仿宋_GB2312" w:hAnsi="仿宋_GB2312" w:eastAsia="仿宋_GB2312" w:cs="仿宋_GB2312"/>
          <w:sz w:val="28"/>
          <w:szCs w:val="28"/>
          <w:u w:val="none"/>
          <w:lang w:eastAsia="zh-CN"/>
        </w:rPr>
        <w:t>红</w:t>
      </w:r>
      <w:r>
        <w:rPr>
          <w:rFonts w:ascii="仿宋_GB2312" w:hAnsi="仿宋_GB2312" w:eastAsia="仿宋_GB2312" w:cs="仿宋_GB2312"/>
          <w:sz w:val="28"/>
          <w:szCs w:val="28"/>
          <w:u w:val="none"/>
        </w:rPr>
        <w:t>线。</w:t>
      </w:r>
    </w:p>
    <w:p w14:paraId="5D86BF59">
      <w:pPr>
        <w:pStyle w:val="8"/>
        <w:spacing w:line="360" w:lineRule="auto"/>
        <w:ind w:firstLineChars="200"/>
        <w:rPr>
          <w:rFonts w:ascii="仿宋_GB2312" w:hAnsi="仿宋_GB2312" w:eastAsia="仿宋_GB2312" w:cs="仿宋_GB2312"/>
          <w:sz w:val="28"/>
          <w:szCs w:val="28"/>
          <w:u w:val="none"/>
        </w:rPr>
      </w:pPr>
      <w:r>
        <w:rPr>
          <w:rFonts w:ascii="仿宋_GB2312" w:hAnsi="仿宋_GB2312" w:eastAsia="仿宋_GB2312" w:cs="仿宋_GB2312"/>
          <w:sz w:val="28"/>
          <w:szCs w:val="28"/>
          <w:u w:val="none"/>
        </w:rPr>
        <w:t>5</w:t>
      </w:r>
      <w:r>
        <w:rPr>
          <w:rFonts w:hint="eastAsia" w:ascii="仿宋_GB2312" w:hAnsi="仿宋_GB2312" w:eastAsia="仿宋_GB2312" w:cs="仿宋_GB2312"/>
          <w:sz w:val="28"/>
          <w:szCs w:val="28"/>
          <w:u w:val="none"/>
        </w:rPr>
        <w:t>.产业发展与布局</w:t>
      </w:r>
      <w:r>
        <w:rPr>
          <w:rFonts w:ascii="仿宋_GB2312" w:hAnsi="仿宋_GB2312" w:eastAsia="仿宋_GB2312" w:cs="仿宋_GB2312"/>
          <w:sz w:val="28"/>
          <w:szCs w:val="28"/>
          <w:u w:val="none"/>
        </w:rPr>
        <w:t>规划</w:t>
      </w:r>
    </w:p>
    <w:p w14:paraId="0DDEBDCF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按照土地规划及产业发展策略，柴南村、柴北村产业布局分三大功能区，即：农业种植区、产业发展区、宜居生活区。</w:t>
      </w:r>
    </w:p>
    <w:p w14:paraId="0CD245F5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6.道路交通规划</w:t>
      </w:r>
    </w:p>
    <w:p w14:paraId="6165530E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default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沿用柴南村、柴北村现有的对外交通系统，主要道路为东西向的站前路和古侯路，向西通至凤凰镇区，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lang w:val="en-US" w:eastAsia="zh-CN"/>
        </w:rPr>
        <w:t>向东可达临淄北站，南北向为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S227省道和遄台路，向南通至临淄城区，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lang w:val="en-US" w:eastAsia="zh-CN"/>
        </w:rPr>
        <w:t>向北可达敬仲镇区。</w:t>
      </w:r>
    </w:p>
    <w:p w14:paraId="7B67DFF2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  <w:u w:val="none"/>
          <w:lang w:val="en-US" w:eastAsia="zh-CN" w:bidi="ar-SA"/>
        </w:rPr>
        <w:t>村庄主要道路兼具交通和服务功能，保留现状道路，完善道路两侧绿化系统和安全防护系统，道路宽度6-10米。</w:t>
      </w:r>
    </w:p>
    <w:p w14:paraId="747476BF"/>
    <w:p w14:paraId="22640477">
      <w:pPr>
        <w:pStyle w:val="2"/>
      </w:pPr>
    </w:p>
    <w:p w14:paraId="29A9467E"/>
    <w:p w14:paraId="68750081">
      <w:pPr>
        <w:pStyle w:val="2"/>
      </w:pPr>
    </w:p>
    <w:p w14:paraId="5CDAF811"/>
    <w:p w14:paraId="00D3F0AE">
      <w:pPr>
        <w:pStyle w:val="2"/>
      </w:pPr>
    </w:p>
    <w:p w14:paraId="17003957"/>
    <w:p w14:paraId="6B7BFD9E">
      <w:pPr>
        <w:pStyle w:val="2"/>
      </w:pPr>
    </w:p>
    <w:p w14:paraId="3B2EEB37"/>
    <w:p w14:paraId="42F1A969">
      <w:pPr>
        <w:pStyle w:val="2"/>
      </w:pPr>
    </w:p>
    <w:p w14:paraId="798521D9"/>
    <w:p w14:paraId="14B075F6">
      <w:pPr>
        <w:pStyle w:val="2"/>
      </w:pPr>
    </w:p>
    <w:p w14:paraId="0A46F65B"/>
    <w:p w14:paraId="4FED84B6">
      <w:pPr>
        <w:pStyle w:val="2"/>
      </w:pPr>
    </w:p>
    <w:p w14:paraId="5EEAF296"/>
    <w:p w14:paraId="69230C61">
      <w:pPr>
        <w:pStyle w:val="2"/>
      </w:pPr>
    </w:p>
    <w:p w14:paraId="2031E1D4"/>
    <w:p w14:paraId="07AD3CFA">
      <w:pPr>
        <w:pStyle w:val="2"/>
      </w:pPr>
    </w:p>
    <w:p w14:paraId="1F88BF71"/>
    <w:p w14:paraId="3E38DAD0">
      <w:pPr>
        <w:pStyle w:val="2"/>
      </w:pPr>
    </w:p>
    <w:p w14:paraId="4695FBF1"/>
    <w:p w14:paraId="13E3F1DE">
      <w:pPr>
        <w:pStyle w:val="2"/>
      </w:pPr>
    </w:p>
    <w:p w14:paraId="6F389B1F"/>
    <w:p w14:paraId="68D68FF6">
      <w:pPr>
        <w:pStyle w:val="2"/>
      </w:pPr>
    </w:p>
    <w:p w14:paraId="115A377B"/>
    <w:p w14:paraId="46804143">
      <w:pPr>
        <w:pStyle w:val="2"/>
      </w:pPr>
    </w:p>
    <w:p w14:paraId="29ABA6F4"/>
    <w:p w14:paraId="78A1919E">
      <w:pPr>
        <w:pStyle w:val="2"/>
      </w:pPr>
    </w:p>
    <w:p w14:paraId="7C93B94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/>
        <w:jc w:val="center"/>
        <w:textAlignment w:val="auto"/>
        <w:rPr>
          <w:rFonts w:hint="eastAsia" w:ascii="仿宋_GB2312" w:hAnsi="仿宋_GB2312" w:eastAsia="仿宋_GB2312" w:cs="仿宋_GB2312"/>
          <w:sz w:val="44"/>
          <w:szCs w:val="44"/>
        </w:rPr>
      </w:pPr>
      <w:r>
        <w:rPr>
          <w:rFonts w:hint="eastAsia" w:ascii="仿宋_GB2312" w:hAnsi="仿宋_GB2312" w:eastAsia="仿宋_GB2312" w:cs="仿宋_GB2312"/>
          <w:sz w:val="44"/>
          <w:szCs w:val="44"/>
        </w:rPr>
        <w:t>主要图纸</w:t>
      </w:r>
    </w:p>
    <w:p w14:paraId="3E889578">
      <w:pPr>
        <w:pStyle w:val="2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0"/>
        <w:textAlignment w:val="auto"/>
        <w:rPr>
          <w:rFonts w:hint="eastAsia" w:ascii="仿宋_GB2312" w:hAnsi="仿宋_GB2312" w:eastAsia="仿宋_GB2312" w:cs="仿宋_GB2312"/>
        </w:rPr>
      </w:pPr>
    </w:p>
    <w:p w14:paraId="6D38D069">
      <w:pPr>
        <w:widowControl/>
        <w:numPr>
          <w:ilvl w:val="0"/>
          <w:numId w:val="2"/>
        </w:numPr>
        <w:spacing w:line="360" w:lineRule="auto"/>
        <w:ind w:left="0" w:firstLine="0"/>
        <w:jc w:val="left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村域国土空间规划</w:t>
      </w:r>
      <w:r>
        <w:rPr>
          <w:rFonts w:ascii="仿宋_GB2312" w:hAnsi="仿宋_GB2312" w:eastAsia="仿宋_GB2312" w:cs="仿宋_GB2312"/>
          <w:sz w:val="32"/>
          <w:szCs w:val="32"/>
        </w:rPr>
        <w:t>图</w:t>
      </w:r>
    </w:p>
    <w:p w14:paraId="7196A82E">
      <w:pPr>
        <w:widowControl/>
        <w:numPr>
          <w:ilvl w:val="0"/>
          <w:numId w:val="2"/>
        </w:numPr>
        <w:spacing w:line="360" w:lineRule="auto"/>
        <w:ind w:left="0" w:firstLine="0"/>
        <w:jc w:val="left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村域控制线分布图</w:t>
      </w:r>
    </w:p>
    <w:p w14:paraId="1BD39B84">
      <w:pPr>
        <w:widowControl/>
        <w:numPr>
          <w:ilvl w:val="0"/>
          <w:numId w:val="2"/>
        </w:numPr>
        <w:spacing w:line="360" w:lineRule="auto"/>
        <w:ind w:left="0" w:firstLine="0"/>
        <w:jc w:val="left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生态修复与国土综合整治规划图</w:t>
      </w:r>
    </w:p>
    <w:p w14:paraId="7D0FE1A6">
      <w:pPr>
        <w:widowControl/>
        <w:numPr>
          <w:ilvl w:val="0"/>
          <w:numId w:val="2"/>
        </w:numPr>
        <w:spacing w:line="360" w:lineRule="auto"/>
        <w:ind w:left="0" w:firstLine="0"/>
        <w:jc w:val="left"/>
        <w:rPr>
          <w:rFonts w:hint="eastAsia" w:ascii="仿宋_GB2312" w:hAnsi="仿宋_GB2312" w:eastAsia="仿宋_GB2312" w:cs="仿宋_GB2312"/>
          <w:sz w:val="28"/>
          <w:szCs w:val="28"/>
          <w:u w:val="none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产业发展布局规划图</w:t>
      </w:r>
    </w:p>
    <w:p w14:paraId="213C51B5">
      <w:pPr>
        <w:widowControl/>
        <w:numPr>
          <w:ilvl w:val="0"/>
          <w:numId w:val="2"/>
        </w:numPr>
        <w:spacing w:line="360" w:lineRule="auto"/>
        <w:ind w:left="0" w:firstLine="0"/>
        <w:jc w:val="left"/>
        <w:rPr>
          <w:rFonts w:hint="eastAsia" w:ascii="仿宋_GB2312" w:hAnsi="仿宋_GB2312" w:eastAsia="仿宋_GB2312" w:cs="仿宋_GB2312"/>
          <w:sz w:val="28"/>
          <w:szCs w:val="28"/>
          <w:u w:val="none"/>
        </w:rPr>
      </w:pPr>
      <w:r>
        <w:rPr>
          <w:rFonts w:ascii="仿宋_GB2312" w:hAnsi="仿宋_GB2312" w:eastAsia="仿宋_GB2312" w:cs="仿宋_GB2312"/>
          <w:sz w:val="32"/>
          <w:szCs w:val="32"/>
        </w:rPr>
        <w:t>道路交通规划图</w:t>
      </w:r>
    </w:p>
    <w:p w14:paraId="2C5991AD">
      <w:pPr>
        <w:numPr>
          <w:ilvl w:val="0"/>
          <w:numId w:val="3"/>
        </w:numPr>
        <w:rPr>
          <w:rFonts w:ascii="仿宋_GB2312" w:hAnsi="仿宋_GB2312" w:eastAsia="仿宋_GB2312" w:cs="仿宋_GB2312"/>
          <w:kern w:val="0"/>
          <w:sz w:val="28"/>
          <w:szCs w:val="28"/>
        </w:rPr>
      </w:pPr>
      <w:r>
        <w:br w:type="page"/>
      </w:r>
      <w:r>
        <w:rPr>
          <w:rFonts w:hint="eastAsia" w:ascii="仿宋_GB2312" w:hAnsi="仿宋_GB2312" w:eastAsia="仿宋_GB2312" w:cs="仿宋_GB2312"/>
          <w:kern w:val="0"/>
          <w:sz w:val="28"/>
          <w:szCs w:val="28"/>
        </w:rPr>
        <w:t>村域国土空间</w:t>
      </w:r>
      <w:r>
        <w:rPr>
          <w:rFonts w:ascii="仿宋_GB2312" w:hAnsi="仿宋_GB2312" w:eastAsia="仿宋_GB2312" w:cs="仿宋_GB2312"/>
          <w:kern w:val="0"/>
          <w:sz w:val="28"/>
          <w:szCs w:val="28"/>
        </w:rPr>
        <w:t>规划图</w:t>
      </w:r>
    </w:p>
    <w:p w14:paraId="463CDFB2">
      <w:pPr>
        <w:pStyle w:val="2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0340" cy="7439660"/>
            <wp:effectExtent l="0" t="0" r="12700" b="12700"/>
            <wp:docPr id="2" name="图片 1" descr="07村域国土空间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07村域国土空间规划图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43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05656">
      <w:pPr>
        <w:numPr>
          <w:ilvl w:val="0"/>
          <w:numId w:val="3"/>
        </w:numPr>
        <w:rPr>
          <w:rFonts w:ascii="仿宋_GB2312" w:hAnsi="仿宋_GB2312" w:eastAsia="仿宋_GB2312" w:cs="仿宋_GB2312"/>
          <w:kern w:val="0"/>
          <w:sz w:val="28"/>
          <w:szCs w:val="28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</w:rPr>
        <w:br w:type="page"/>
      </w:r>
      <w:r>
        <w:rPr>
          <w:rFonts w:hint="eastAsia" w:ascii="仿宋_GB2312" w:hAnsi="仿宋_GB2312" w:eastAsia="仿宋_GB2312" w:cs="仿宋_GB2312"/>
          <w:sz w:val="32"/>
          <w:szCs w:val="32"/>
        </w:rPr>
        <w:t>村域控制线分布图</w:t>
      </w:r>
    </w:p>
    <w:p w14:paraId="526980BB">
      <w:pPr>
        <w:pStyle w:val="2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0340" cy="7439660"/>
            <wp:effectExtent l="0" t="0" r="12700" b="12700"/>
            <wp:docPr id="3" name="图片 2" descr="08村域控制线分布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08村域控制线分布图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43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8D32C">
      <w:pPr>
        <w:numPr>
          <w:ilvl w:val="0"/>
          <w:numId w:val="3"/>
        </w:numPr>
        <w:rPr>
          <w:rFonts w:hint="eastAsia" w:ascii="仿宋_GB2312" w:hAnsi="仿宋_GB2312" w:eastAsia="仿宋_GB2312" w:cs="仿宋_GB2312"/>
          <w:kern w:val="0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  <w:lang w:val="en-US" w:eastAsia="zh-CN"/>
        </w:rPr>
        <w:br w:type="page"/>
      </w:r>
      <w:r>
        <w:rPr>
          <w:rFonts w:hint="eastAsia" w:ascii="仿宋_GB2312" w:hAnsi="仿宋_GB2312" w:eastAsia="仿宋_GB2312" w:cs="仿宋_GB2312"/>
          <w:kern w:val="0"/>
          <w:sz w:val="28"/>
          <w:szCs w:val="28"/>
          <w:lang w:val="en-US" w:eastAsia="zh-CN"/>
        </w:rPr>
        <w:t>生态修复与国土综合整治规划图</w:t>
      </w:r>
    </w:p>
    <w:p w14:paraId="5C4D16FE">
      <w:pPr>
        <w:pStyle w:val="2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0340" cy="7439660"/>
            <wp:effectExtent l="0" t="0" r="12700" b="12700"/>
            <wp:docPr id="1" name="图片 3" descr="09生态修复与国土综合整治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09生态修复与国土综合整治规划图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43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37AD9">
      <w:pPr>
        <w:pStyle w:val="2"/>
        <w:rPr>
          <w:rFonts w:hint="default" w:eastAsia="宋体"/>
          <w:lang w:val="en-US" w:eastAsia="zh-CN"/>
        </w:rPr>
      </w:pPr>
    </w:p>
    <w:p w14:paraId="77B7143F">
      <w:pPr>
        <w:numPr>
          <w:ilvl w:val="0"/>
          <w:numId w:val="3"/>
        </w:numPr>
        <w:rPr>
          <w:rFonts w:ascii="仿宋_GB2312" w:hAnsi="仿宋_GB2312" w:eastAsia="仿宋_GB2312" w:cs="仿宋_GB2312"/>
          <w:kern w:val="0"/>
          <w:sz w:val="28"/>
          <w:szCs w:val="28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</w:rPr>
        <w:br w:type="page"/>
      </w:r>
      <w:r>
        <w:rPr>
          <w:rFonts w:hint="eastAsia" w:ascii="仿宋_GB2312" w:hAnsi="仿宋_GB2312" w:eastAsia="仿宋_GB2312" w:cs="仿宋_GB2312"/>
          <w:kern w:val="0"/>
          <w:sz w:val="28"/>
          <w:szCs w:val="28"/>
        </w:rPr>
        <w:t>产业发展</w:t>
      </w:r>
      <w:r>
        <w:rPr>
          <w:rFonts w:ascii="仿宋_GB2312" w:hAnsi="仿宋_GB2312" w:eastAsia="仿宋_GB2312" w:cs="仿宋_GB2312"/>
          <w:kern w:val="0"/>
          <w:sz w:val="28"/>
          <w:szCs w:val="28"/>
        </w:rPr>
        <w:t>布局</w:t>
      </w:r>
      <w:r>
        <w:rPr>
          <w:rFonts w:hint="eastAsia" w:ascii="仿宋_GB2312" w:hAnsi="仿宋_GB2312" w:eastAsia="仿宋_GB2312" w:cs="仿宋_GB2312"/>
          <w:kern w:val="0"/>
          <w:sz w:val="28"/>
          <w:szCs w:val="28"/>
        </w:rPr>
        <w:t>规划图</w:t>
      </w:r>
    </w:p>
    <w:p w14:paraId="7E25F1B5">
      <w:pPr>
        <w:pStyle w:val="2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0340" cy="7439660"/>
            <wp:effectExtent l="0" t="0" r="12700" b="12700"/>
            <wp:docPr id="4" name="图片 4" descr="15产业发展布局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5产业发展布局规划图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43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EB3C1">
      <w:pPr>
        <w:rPr>
          <w:rFonts w:ascii="仿宋_GB2312" w:hAnsi="仿宋_GB2312" w:eastAsia="仿宋_GB2312" w:cs="仿宋_GB2312"/>
          <w:kern w:val="0"/>
          <w:sz w:val="28"/>
          <w:szCs w:val="28"/>
        </w:rPr>
      </w:pPr>
    </w:p>
    <w:p w14:paraId="53D48ECD">
      <w:pPr>
        <w:numPr>
          <w:ilvl w:val="0"/>
          <w:numId w:val="3"/>
        </w:numPr>
        <w:rPr>
          <w:rFonts w:hint="eastAsia" w:ascii="仿宋_GB2312" w:hAnsi="仿宋_GB2312" w:eastAsia="仿宋_GB2312" w:cs="仿宋_GB2312"/>
          <w:kern w:val="0"/>
          <w:sz w:val="28"/>
          <w:szCs w:val="28"/>
        </w:rPr>
      </w:pPr>
      <w:r>
        <w:rPr>
          <w:rFonts w:hint="eastAsia" w:ascii="仿宋_GB2312" w:hAnsi="仿宋_GB2312" w:eastAsia="仿宋_GB2312" w:cs="仿宋_GB2312"/>
          <w:kern w:val="0"/>
          <w:sz w:val="28"/>
          <w:szCs w:val="28"/>
          <w:lang w:eastAsia="zh-CN"/>
        </w:rPr>
        <w:br w:type="page"/>
      </w:r>
      <w:r>
        <w:rPr>
          <w:rFonts w:hint="eastAsia" w:ascii="仿宋_GB2312" w:hAnsi="仿宋_GB2312" w:eastAsia="仿宋_GB2312" w:cs="仿宋_GB2312"/>
          <w:kern w:val="0"/>
          <w:sz w:val="28"/>
          <w:szCs w:val="28"/>
        </w:rPr>
        <w:t>道路交通规划图</w:t>
      </w:r>
    </w:p>
    <w:p w14:paraId="340E4A7D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0340" cy="7439660"/>
            <wp:effectExtent l="0" t="0" r="12700" b="12700"/>
            <wp:docPr id="6" name="图片 5" descr="11道路交通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11道路交通规划图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43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17A11">
      <w:pPr>
        <w:pStyle w:val="2"/>
      </w:pPr>
    </w:p>
    <w:p w14:paraId="32E92686">
      <w:pPr>
        <w:pStyle w:val="2"/>
        <w:rPr>
          <w:rFonts w:hint="eastAsia"/>
          <w:lang w:val="en-US" w:eastAsia="zh-CN"/>
        </w:rPr>
      </w:pPr>
    </w:p>
    <w:p w14:paraId="42CB0E75"/>
    <w:p w14:paraId="72274FD7">
      <w:pPr>
        <w:pStyle w:val="2"/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C6B052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761CF88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761CF88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878E539"/>
    <w:multiLevelType w:val="singleLevel"/>
    <w:tmpl w:val="C878E539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">
    <w:nsid w:val="47037344"/>
    <w:multiLevelType w:val="multilevel"/>
    <w:tmpl w:val="47037344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632A0F7A"/>
    <w:multiLevelType w:val="singleLevel"/>
    <w:tmpl w:val="632A0F7A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U2ZjMyMWJjYjUzYWFlMWQ5M2M5ZjI3YjM3MzVkOWQifQ=="/>
  </w:docVars>
  <w:rsids>
    <w:rsidRoot w:val="00000000"/>
    <w:rsid w:val="4228708F"/>
    <w:rsid w:val="72451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1"/>
    <w:unhideWhenUsed/>
    <w:qFormat/>
    <w:uiPriority w:val="0"/>
    <w:pPr>
      <w:spacing w:after="120"/>
    </w:pPr>
    <w:rPr>
      <w:rFonts w:cs="黑体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customStyle="1" w:styleId="7">
    <w:name w:val="List Paragraph"/>
    <w:basedOn w:val="1"/>
    <w:qFormat/>
    <w:uiPriority w:val="0"/>
    <w:pPr>
      <w:ind w:firstLine="420" w:firstLineChars="200"/>
    </w:pPr>
  </w:style>
  <w:style w:type="paragraph" w:customStyle="1" w:styleId="8">
    <w:name w:val="TD强制性内容"/>
    <w:basedOn w:val="1"/>
    <w:qFormat/>
    <w:uiPriority w:val="0"/>
    <w:pPr>
      <w:ind w:firstLine="560"/>
    </w:pPr>
    <w:rPr>
      <w:rFonts w:eastAsia="黑体"/>
      <w:kern w:val="0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1362</Words>
  <Characters>1553</Characters>
  <Lines>0</Lines>
  <Paragraphs>0</Paragraphs>
  <TotalTime>0</TotalTime>
  <ScaleCrop>false</ScaleCrop>
  <LinksUpToDate>false</LinksUpToDate>
  <CharactersWithSpaces>1554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2024-09-06T07:14:00Z</dcterms:created>
  <dc:creator>lenovo</dc:creator>
  <cp:lastModifiedBy>lenovo</cp:lastModifiedBy>
  <dcterms:modified xsi:type="dcterms:W3CDTF">2024-09-06T07:17:42Z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060FE41B58D94042A1534EC48B426736_12</vt:lpwstr>
  </property>
</Properties>
</file>