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临淄区发展和改革局</w:t>
      </w:r>
    </w:p>
    <w:p>
      <w:pPr>
        <w:overflowPunct w:val="0"/>
        <w:spacing w:line="570" w:lineRule="exact"/>
        <w:jc w:val="center"/>
        <w:rPr>
          <w:rFonts w:ascii="Times New Roman" w:hAnsi="Times New Roman" w:eastAsia="方正小标宋简体" w:cs="Times New Roman"/>
          <w:kern w:val="0"/>
          <w:sz w:val="44"/>
          <w:szCs w:val="44"/>
        </w:rPr>
      </w:pPr>
      <w:bookmarkStart w:id="0" w:name="OLE_LINK73"/>
      <w:bookmarkStart w:id="1" w:name="OLE_LINK74"/>
      <w:r>
        <w:rPr>
          <w:rFonts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rPr>
        <w:t>5</w:t>
      </w:r>
      <w:r>
        <w:rPr>
          <w:rFonts w:ascii="Times New Roman" w:hAnsi="Times New Roman" w:eastAsia="方正小标宋简体" w:cs="Times New Roman"/>
          <w:kern w:val="0"/>
          <w:sz w:val="44"/>
          <w:szCs w:val="44"/>
        </w:rPr>
        <w:t>年度法治政府建设</w:t>
      </w:r>
      <w:r>
        <w:rPr>
          <w:rFonts w:hint="eastAsia" w:ascii="Times New Roman" w:hAnsi="Times New Roman" w:eastAsia="方正小标宋简体" w:cs="Times New Roman"/>
          <w:kern w:val="0"/>
          <w:sz w:val="44"/>
          <w:szCs w:val="44"/>
        </w:rPr>
        <w:t>情况</w:t>
      </w:r>
      <w:r>
        <w:rPr>
          <w:rFonts w:ascii="Times New Roman" w:hAnsi="Times New Roman" w:eastAsia="方正小标宋简体" w:cs="Times New Roman"/>
          <w:kern w:val="0"/>
          <w:sz w:val="44"/>
          <w:szCs w:val="44"/>
        </w:rPr>
        <w:t>报告</w:t>
      </w:r>
    </w:p>
    <w:bookmarkEnd w:id="0"/>
    <w:bookmarkEnd w:id="1"/>
    <w:p>
      <w:pPr>
        <w:pStyle w:val="2"/>
        <w:overflowPunct w:val="0"/>
        <w:spacing w:line="570" w:lineRule="exact"/>
        <w:jc w:val="left"/>
        <w:rPr>
          <w:rFonts w:ascii="Times New Roman" w:eastAsia="仿宋_GB2312"/>
          <w:color w:val="000000"/>
          <w:kern w:val="0"/>
          <w:sz w:val="32"/>
          <w:szCs w:val="32"/>
        </w:rPr>
      </w:pPr>
    </w:p>
    <w:p>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olor w:val="000000"/>
          <w:kern w:val="0"/>
          <w:sz w:val="32"/>
          <w:szCs w:val="32"/>
        </w:rPr>
        <w:t>2025年，区发改局在区委、区政府的正确领导下，圆满完成年度法治政府建设各项任务，</w:t>
      </w:r>
      <w:r>
        <w:rPr>
          <w:rFonts w:hint="eastAsia" w:ascii="Times New Roman" w:hAnsi="Times New Roman" w:eastAsia="仿宋_GB2312" w:cs="Times New Roman"/>
          <w:sz w:val="32"/>
          <w:szCs w:val="32"/>
        </w:rPr>
        <w:t>现将有关情况</w:t>
      </w:r>
      <w:r>
        <w:rPr>
          <w:rFonts w:ascii="Times New Roman" w:hAnsi="Times New Roman" w:eastAsia="仿宋_GB2312" w:cs="Times New Roman"/>
          <w:sz w:val="32"/>
          <w:szCs w:val="32"/>
        </w:rPr>
        <w:t>总结</w:t>
      </w:r>
      <w:r>
        <w:rPr>
          <w:rFonts w:hint="eastAsia" w:ascii="Times New Roman" w:hAnsi="Times New Roman" w:eastAsia="仿宋_GB2312" w:cs="Times New Roman"/>
          <w:sz w:val="32"/>
          <w:szCs w:val="32"/>
        </w:rPr>
        <w:t>如下：</w:t>
      </w:r>
    </w:p>
    <w:p>
      <w:pPr>
        <w:pStyle w:val="6"/>
        <w:overflowPunct w:val="0"/>
        <w:autoSpaceDE/>
        <w:spacing w:line="560" w:lineRule="exact"/>
        <w:ind w:firstLine="640" w:firstLineChars="200"/>
        <w:rPr>
          <w:rFonts w:cs="Times New Roman"/>
          <w:snapToGrid w:val="0"/>
          <w:color w:val="0C0C0C"/>
          <w:sz w:val="32"/>
          <w:szCs w:val="32"/>
        </w:rPr>
      </w:pPr>
      <w:r>
        <w:rPr>
          <w:rFonts w:hint="eastAsia" w:cs="Times New Roman"/>
          <w:sz w:val="32"/>
          <w:szCs w:val="32"/>
        </w:rPr>
        <w:t>一、</w:t>
      </w:r>
      <w:r>
        <w:rPr>
          <w:rFonts w:hint="eastAsia" w:cs="Times New Roman"/>
          <w:snapToGrid w:val="0"/>
          <w:color w:val="0C0C0C"/>
          <w:sz w:val="32"/>
          <w:szCs w:val="32"/>
        </w:rPr>
        <w:t>党政主要负责人履行推进法治建设第一责任人职责情况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（一）深学笃行习近平法治思想。</w:t>
      </w:r>
      <w:r>
        <w:rPr>
          <w:rFonts w:hint="eastAsia" w:ascii="Times New Roman" w:hAnsi="Times New Roman" w:eastAsia="仿宋_GB2312"/>
          <w:color w:val="000000"/>
          <w:kern w:val="0"/>
          <w:sz w:val="32"/>
          <w:szCs w:val="32"/>
        </w:rPr>
        <w:t>将习近平法治思想纳入党组理论学习中心组“第一议题”，全年组织班子成员“第</w:t>
      </w:r>
      <w:bookmarkStart w:id="2" w:name="_GoBack"/>
      <w:bookmarkEnd w:id="2"/>
      <w:r>
        <w:rPr>
          <w:rFonts w:hint="eastAsia" w:ascii="Times New Roman" w:hAnsi="Times New Roman" w:eastAsia="仿宋_GB2312"/>
          <w:color w:val="000000"/>
          <w:kern w:val="0"/>
          <w:sz w:val="32"/>
          <w:szCs w:val="32"/>
        </w:rPr>
        <w:t>一议题”学习12次，开展党组理论学习中心组集体学习12次。把学习宣传习近平法治思想作为普法首要政治任务，组织《民营经济促进法》等新规解读2场，安排党员领导干部带头讲授专题党课9次，实现领导干部学法全覆盖，切实以习近平法治思想武装头脑、指导实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（二）坚决落实法治建设决策部署。</w:t>
      </w:r>
      <w:r>
        <w:rPr>
          <w:rFonts w:hint="eastAsia" w:ascii="Times New Roman" w:hAnsi="Times New Roman" w:eastAsia="仿宋_GB2312"/>
          <w:color w:val="000000"/>
          <w:kern w:val="0"/>
          <w:sz w:val="32"/>
          <w:szCs w:val="32"/>
        </w:rPr>
        <w:t>以学习习近平总书记关于党的作风建设重要论述及中央八项规定及其实施细则精神为主线，及时跟进学习</w:t>
      </w:r>
      <w:r>
        <w:rPr>
          <w:rFonts w:hint="eastAsia" w:ascii="Times New Roman" w:hAnsi="Times New Roman" w:eastAsia="仿宋_GB2312"/>
          <w:color w:val="000000"/>
          <w:kern w:val="0"/>
          <w:sz w:val="32"/>
          <w:szCs w:val="32"/>
          <w:lang w:eastAsia="zh-CN"/>
        </w:rPr>
        <w:t>习近平总书记最新重要讲话精神</w:t>
      </w:r>
      <w:r>
        <w:rPr>
          <w:rFonts w:hint="eastAsia" w:ascii="Times New Roman" w:hAnsi="Times New Roman" w:eastAsia="仿宋_GB2312"/>
          <w:color w:val="000000"/>
          <w:kern w:val="0"/>
          <w:sz w:val="32"/>
          <w:szCs w:val="32"/>
        </w:rPr>
        <w:t>。常态化开展会前说纪11余次，组织集体学习、交流研讨各25次，观看警示教育片2次，引导全体党员干部对标先进、坚守底线，推动全面依法治国重大决策部署落地见效。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Times New Roman" w:hAnsi="Times New Roman" w:eastAsia="仿宋_GB2312"/>
          <w:color w:val="000000"/>
          <w:kern w:val="0"/>
          <w:sz w:val="32"/>
          <w:szCs w:val="32"/>
        </w:rPr>
      </w:pPr>
      <w:r>
        <w:rPr>
          <w:rFonts w:hint="eastAsia" w:ascii="楷体_GB2312" w:hAnsi="Times New Roman" w:eastAsia="楷体_GB2312"/>
          <w:color w:val="000000"/>
          <w:kern w:val="0"/>
          <w:sz w:val="32"/>
          <w:szCs w:val="32"/>
        </w:rPr>
        <w:t>（三）统筹抓实法治建设重点工作。</w:t>
      </w:r>
      <w:r>
        <w:rPr>
          <w:rFonts w:hint="eastAsia" w:ascii="Times New Roman" w:hAnsi="Times New Roman" w:eastAsia="仿宋_GB2312"/>
          <w:color w:val="000000"/>
          <w:kern w:val="0"/>
          <w:sz w:val="32"/>
          <w:szCs w:val="32"/>
        </w:rPr>
        <w:t>严格执行“三重一大”决策制度，凡涉及党建、人事、财务等重大事项均经党组会集体研究决定。锚定重大发展战略，深入落实黄河流域生态保护和高质量发展战略，制定2025年工作要点，部署23项重点任务并定期调度推进。全力服务企地协同发展，齐鲁石化鲁油鲁炼转型升级项目有序开展旧设备拆除、长周期设备订货等工作，25万吨/年聚丙烯项目工艺管线及电气、仪表安装基本完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二、推进法治政府建设的主要举措和成效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Times New Roman" w:hAnsi="Times New Roman" w:eastAsia="仿宋_GB2312"/>
          <w:color w:val="000000"/>
          <w:kern w:val="0"/>
          <w:sz w:val="32"/>
          <w:szCs w:val="32"/>
        </w:rPr>
      </w:pPr>
      <w:r>
        <w:rPr>
          <w:rFonts w:hint="eastAsia" w:ascii="楷体_GB2312" w:hAnsi="Times New Roman" w:eastAsia="楷体_GB2312"/>
          <w:color w:val="000000"/>
          <w:kern w:val="0"/>
          <w:sz w:val="32"/>
          <w:szCs w:val="32"/>
        </w:rPr>
        <w:t>（一）深化普法责任体系建设。</w:t>
      </w:r>
      <w:r>
        <w:rPr>
          <w:rFonts w:hint="eastAsia" w:ascii="Times New Roman" w:hAnsi="Times New Roman" w:eastAsia="仿宋_GB2312"/>
          <w:color w:val="000000"/>
          <w:kern w:val="0"/>
          <w:sz w:val="32"/>
          <w:szCs w:val="32"/>
        </w:rPr>
        <w:t>一是严格落实“谁执法谁普法”责任制，依据《淄博市发展改革系统开展法治宣传教育的第八个五年规划（2021-2025年）》，制定本局2025年度普法责任清单及工作计划。二是规范重大行政决策程序，聘请法律顾问，对规范性文件严格开展公平竞争审查与合法性审查，从源头防范决策风险。三是全面推进政务公开，依法办结政府信息公开申请8件，保障群众知情权与监督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（二）提升执法队伍专业能力。</w:t>
      </w:r>
      <w:r>
        <w:rPr>
          <w:rFonts w:hint="eastAsia" w:ascii="Times New Roman" w:hAnsi="Times New Roman" w:eastAsia="仿宋_GB2312"/>
          <w:color w:val="000000"/>
          <w:kern w:val="0"/>
          <w:sz w:val="32"/>
          <w:szCs w:val="32"/>
        </w:rPr>
        <w:t>一是实施执法人员“持证上岗”动态管理，全年新增持证人员1名，完成5名执法人员证件换发，现有持证人员18名；组织2025年度学法考试，参考率、通过率均达100%。二是推进行政执法检查闭环管理，通过“鲁执法”平台上报执法计划及“双随机一公开”检查计划，精准填报并公示执法结果，执法规范化水平显著提升。三是强化重点领域安全监管，全面落实国家及省市安全生产部署，开展油气管道保护、电力、粮食领域安全执法监察49家次，查处问题隐患319条，已全部整改到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（三）加大法治宣传普及力度。</w:t>
      </w:r>
      <w:r>
        <w:rPr>
          <w:rFonts w:hint="eastAsia" w:ascii="Times New Roman" w:hAnsi="Times New Roman" w:eastAsia="仿宋_GB2312"/>
          <w:color w:val="000000"/>
          <w:kern w:val="0"/>
          <w:sz w:val="32"/>
          <w:szCs w:val="32"/>
        </w:rPr>
        <w:t>结合12月国家宪法宣传月、5月民法典宣传月、节能宣传周、世界粮食日及全国粮食安全宣传周等重要节点，通过组织宪法宣誓、开展主题座谈、开展“进企业、进社区”志愿服务等形式，面向企业和群众开展精准普法，营造遵法学法守法用法的良好氛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三、推进法治政府建设存在的不足和原因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（一）法治学习实效有待提升。</w:t>
      </w:r>
      <w:r>
        <w:rPr>
          <w:rFonts w:hint="eastAsia" w:ascii="Times New Roman" w:hAnsi="Times New Roman" w:eastAsia="仿宋_GB2312"/>
          <w:color w:val="000000"/>
          <w:kern w:val="0"/>
          <w:sz w:val="32"/>
          <w:szCs w:val="32"/>
        </w:rPr>
        <w:t>学习形式较为单一，以集中宣讲为主，互动式、案例式教学占比不足，部分干部职工学法积极性不高。法治知识与发改业务融合不够深入，运用法律手段破解业务难题的能力有待进一步增强。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Times New Roman" w:hAnsi="Times New Roman" w:eastAsia="仿宋_GB2312"/>
          <w:color w:val="000000"/>
          <w:kern w:val="0"/>
          <w:sz w:val="32"/>
          <w:szCs w:val="32"/>
        </w:rPr>
      </w:pPr>
      <w:r>
        <w:rPr>
          <w:rFonts w:hint="eastAsia" w:ascii="楷体_GB2312" w:hAnsi="Times New Roman" w:eastAsia="楷体_GB2312"/>
          <w:color w:val="000000"/>
          <w:kern w:val="0"/>
          <w:sz w:val="32"/>
          <w:szCs w:val="32"/>
        </w:rPr>
        <w:t>（二）法治监管体系存在短板。</w:t>
      </w:r>
      <w:r>
        <w:rPr>
          <w:rFonts w:hint="eastAsia" w:ascii="Times New Roman" w:hAnsi="Times New Roman" w:eastAsia="仿宋_GB2312"/>
          <w:color w:val="000000"/>
          <w:kern w:val="0"/>
          <w:sz w:val="32"/>
          <w:szCs w:val="32"/>
        </w:rPr>
        <w:t>能源安全领域法治监管效能不足，因监管力量薄弱、专业法治人才匮乏，且监管方式较为传统，联合监管机制运行不畅，未能充分运用信息化手段提升监管精准度与效率。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（三）法治思维广度有待拓展。</w:t>
      </w:r>
      <w:r>
        <w:rPr>
          <w:rFonts w:hint="eastAsia" w:ascii="Times New Roman" w:hAnsi="Times New Roman" w:eastAsia="仿宋_GB2312"/>
          <w:color w:val="000000"/>
          <w:kern w:val="0"/>
          <w:sz w:val="32"/>
          <w:szCs w:val="32"/>
        </w:rPr>
        <w:t>对日常工作必需的法律法规学习较为深入，但面对临时性、突发性工作时，运用法治思维分析问题、解决问题的能力仍需加强。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四、2026年推进法治政府建设的主要计划安排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Times New Roman" w:hAnsi="Times New Roman" w:eastAsia="仿宋_GB2312"/>
          <w:color w:val="000000"/>
          <w:kern w:val="0"/>
          <w:sz w:val="32"/>
          <w:szCs w:val="32"/>
        </w:rPr>
      </w:pPr>
      <w:r>
        <w:rPr>
          <w:rFonts w:hint="eastAsia" w:ascii="楷体_GB2312" w:hAnsi="Times New Roman" w:eastAsia="楷体_GB2312"/>
          <w:color w:val="000000"/>
          <w:kern w:val="0"/>
          <w:sz w:val="32"/>
          <w:szCs w:val="32"/>
        </w:rPr>
        <w:t>（一）强化组织保障，压实法治责任。</w:t>
      </w:r>
      <w:r>
        <w:rPr>
          <w:rFonts w:hint="eastAsia" w:ascii="Times New Roman" w:hAnsi="Times New Roman" w:eastAsia="仿宋_GB2312"/>
          <w:color w:val="000000"/>
          <w:kern w:val="0"/>
          <w:sz w:val="32"/>
          <w:szCs w:val="32"/>
        </w:rPr>
        <w:t>进一步加强法治政府建设组织领导，健全完善工作机制，将遵法学法守法用法作为长期性、常态化工作，与业务工作同谋划、同部署、同检查、同落实，确保法治建设各项任务落地见效。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（二）健全监管体系，提升执法效能。</w:t>
      </w:r>
      <w:r>
        <w:rPr>
          <w:rFonts w:hint="eastAsia" w:ascii="Times New Roman" w:hAnsi="Times New Roman" w:eastAsia="仿宋_GB2312"/>
          <w:color w:val="000000"/>
          <w:kern w:val="0"/>
          <w:sz w:val="32"/>
          <w:szCs w:val="32"/>
        </w:rPr>
        <w:t>加强专业法治队伍建设，充实监管力量，提升监管专业化水平。完善跨部门联合监管机制，深化与市场监管等部门协作，聚焦重点领域开展专项整治，提高问题排查与处置效率，实现监管全覆盖、无死角。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60" w:lineRule="exact"/>
        <w:ind w:firstLine="640" w:firstLineChars="200"/>
        <w:jc w:val="left"/>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（三）创新学习模式，深化学用融合。</w:t>
      </w:r>
      <w:r>
        <w:rPr>
          <w:rFonts w:hint="eastAsia" w:ascii="Times New Roman" w:hAnsi="Times New Roman" w:eastAsia="仿宋_GB2312"/>
          <w:color w:val="000000"/>
          <w:kern w:val="0"/>
          <w:sz w:val="32"/>
          <w:szCs w:val="32"/>
        </w:rPr>
        <w:t>丰富法治学习形式，采用案例剖析、现场教学、法律知识竞赛等方式，增强学习的针对性与实效性。开展业务与法治融合专题研讨，推动法治思维、法律知识与发改业务深度融合，全面提升干部职工依法履职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10" w:usb3="00000000" w:csb0="00040000" w:csb1="00000000"/>
  </w:font>
  <w:font w:name="楷体_GB2312">
    <w:altName w:val="宋体"/>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E25"/>
    <w:rsid w:val="0004140B"/>
    <w:rsid w:val="00153E25"/>
    <w:rsid w:val="002E0B2A"/>
    <w:rsid w:val="00B02986"/>
    <w:rsid w:val="529E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
    <w:qFormat/>
    <w:uiPriority w:val="0"/>
    <w:pPr>
      <w:jc w:val="center"/>
    </w:pPr>
    <w:rPr>
      <w:rFonts w:ascii="宋体" w:hAnsi="Times New Roman" w:eastAsia="宋体" w:cs="Times New Roman"/>
      <w:sz w:val="44"/>
    </w:rPr>
  </w:style>
  <w:style w:type="paragraph" w:styleId="3">
    <w:name w:val="Body Text First Indent"/>
    <w:basedOn w:val="2"/>
    <w:link w:val="8"/>
    <w:semiHidden/>
    <w:unhideWhenUsed/>
    <w:qFormat/>
    <w:uiPriority w:val="99"/>
    <w:pPr>
      <w:spacing w:after="120"/>
      <w:ind w:firstLine="420" w:firstLineChars="100"/>
      <w:jc w:val="both"/>
    </w:pPr>
    <w:rPr>
      <w:rFonts w:asciiTheme="minorHAnsi" w:hAnsiTheme="minorHAnsi" w:eastAsiaTheme="minorEastAsia" w:cstheme="minorBidi"/>
      <w:sz w:val="21"/>
    </w:rPr>
  </w:style>
  <w:style w:type="paragraph" w:customStyle="1" w:styleId="6">
    <w:name w:val="Default"/>
    <w:qFormat/>
    <w:uiPriority w:val="99"/>
    <w:pPr>
      <w:widowControl w:val="0"/>
      <w:autoSpaceDE w:val="0"/>
      <w:autoSpaceDN w:val="0"/>
      <w:adjustRightInd w:val="0"/>
    </w:pPr>
    <w:rPr>
      <w:rFonts w:ascii="黑体" w:hAnsi="黑体" w:eastAsia="黑体" w:cs="黑体"/>
      <w:color w:val="000000"/>
      <w:kern w:val="0"/>
      <w:sz w:val="24"/>
      <w:szCs w:val="24"/>
      <w:lang w:val="en-US" w:eastAsia="zh-CN" w:bidi="ar-SA"/>
    </w:rPr>
  </w:style>
  <w:style w:type="character" w:customStyle="1" w:styleId="7">
    <w:name w:val="正文文本 Char"/>
    <w:basedOn w:val="5"/>
    <w:link w:val="2"/>
    <w:qFormat/>
    <w:uiPriority w:val="0"/>
    <w:rPr>
      <w:rFonts w:ascii="宋体" w:hAnsi="Times New Roman" w:eastAsia="宋体" w:cs="Times New Roman"/>
      <w:sz w:val="44"/>
      <w:szCs w:val="24"/>
    </w:rPr>
  </w:style>
  <w:style w:type="character" w:customStyle="1" w:styleId="8">
    <w:name w:val="正文首行缩进 Char"/>
    <w:basedOn w:val="7"/>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1552</Characters>
  <Lines>12</Lines>
  <Paragraphs>3</Paragraphs>
  <TotalTime>5</TotalTime>
  <ScaleCrop>false</ScaleCrop>
  <LinksUpToDate>false</LinksUpToDate>
  <CharactersWithSpaces>1821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2026-01-04T19:52:00Z</dcterms:created>
  <dc:creator>Lenovo</dc:creator>
  <cp:lastModifiedBy>administrator</cp:lastModifiedBy>
  <dcterms:modified xsi:type="dcterms:W3CDTF">2026-01-19T16:50:37Z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