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96"/>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临淄区民政局</w:t>
            </w:r>
          </w:p>
        </w:tc>
        <w:tc>
          <w:tcPr>
            <w:tcW w:w="1326" w:type="dxa"/>
            <w:vMerge w:val="restart"/>
            <w:vAlign w:val="center"/>
          </w:tcPr>
          <w:p>
            <w:pPr>
              <w:spacing w:line="1200" w:lineRule="exact"/>
              <w:jc w:val="center"/>
              <w:rPr>
                <w:rFonts w:hint="eastAsia" w:ascii="方正小标宋简体" w:eastAsia="方正小标宋简体"/>
                <w:color w:val="FF0000"/>
                <w:w w:val="50"/>
                <w:sz w:val="92"/>
                <w:szCs w:val="92"/>
              </w:rPr>
            </w:pPr>
            <w:r>
              <w:rPr>
                <w:rFonts w:hint="eastAsia" w:ascii="方正小标宋简体" w:eastAsia="方正小标宋简体"/>
                <w:color w:val="FF0000"/>
                <w:w w:val="50"/>
                <w:sz w:val="92"/>
                <w:szCs w:val="92"/>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中共临淄区委政法委</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临淄区人民法院</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临淄区发展和改革局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淄博区公安局临淄分局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临淄区司法局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临淄区财政局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临淄区人力资源和社会保障局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临淄区自然资源局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临淄规划管理办公室</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临淄区交通运输局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临淄区水利局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临淄区文化和旅游局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临淄区卫生健康局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临淄区退役军人事务局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临淄区教育和体育局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淄博区医疗保障局临淄分局</w:t>
            </w:r>
          </w:p>
        </w:tc>
        <w:tc>
          <w:tcPr>
            <w:tcW w:w="1326" w:type="dxa"/>
            <w:vMerge w:val="continue"/>
          </w:tcPr>
          <w:p>
            <w:pPr>
              <w:spacing w:line="5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96" w:type="dxa"/>
          </w:tcPr>
          <w:p>
            <w:pPr>
              <w:spacing w:line="500" w:lineRule="exact"/>
              <w:jc w:val="distribute"/>
              <w:rPr>
                <w:rFonts w:hint="eastAsia" w:ascii="方正小标宋简体" w:eastAsia="方正小标宋简体"/>
                <w:color w:val="FF0000"/>
                <w:sz w:val="44"/>
                <w:szCs w:val="44"/>
              </w:rPr>
            </w:pPr>
            <w:r>
              <w:rPr>
                <w:rFonts w:hint="eastAsia" w:ascii="方正小标宋简体" w:eastAsia="方正小标宋简体"/>
                <w:color w:val="FF0000"/>
                <w:sz w:val="44"/>
                <w:szCs w:val="44"/>
              </w:rPr>
              <w:t>临淄区城区综合执法局</w:t>
            </w:r>
          </w:p>
        </w:tc>
        <w:tc>
          <w:tcPr>
            <w:tcW w:w="1326" w:type="dxa"/>
            <w:vMerge w:val="continue"/>
          </w:tcPr>
          <w:p>
            <w:pPr>
              <w:spacing w:line="500" w:lineRule="exact"/>
            </w:pPr>
          </w:p>
        </w:tc>
      </w:tr>
    </w:tbl>
    <w:p>
      <w:pP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临民〔2022〕</w:t>
      </w:r>
      <w:r>
        <w:rPr>
          <w:rFonts w:hint="eastAsia" w:ascii="仿宋_GB2312" w:eastAsia="仿宋_GB2312"/>
          <w:sz w:val="32"/>
          <w:szCs w:val="32"/>
          <w:lang w:val="en-US" w:eastAsia="zh-CN"/>
        </w:rPr>
        <w:t>102</w:t>
      </w:r>
      <w:r>
        <w:rPr>
          <w:rFonts w:hint="eastAsia" w:ascii="仿宋_GB2312" w:eastAsia="仿宋_GB2312"/>
          <w:sz w:val="32"/>
          <w:szCs w:val="32"/>
        </w:rPr>
        <w:t>号</w:t>
      </w:r>
    </w:p>
    <w:p>
      <w:pPr>
        <w:rPr>
          <w:rFonts w:hint="eastAsia" w:ascii="仿宋_GB2312" w:eastAsia="仿宋_GB2312"/>
          <w:sz w:val="32"/>
          <w:szCs w:val="32"/>
        </w:rPr>
      </w:pPr>
      <w:r>
        <w:rPr>
          <w:rFonts w:hint="eastAsia" w:ascii="仿宋_GB2312" w:eastAsia="仿宋_GB2312"/>
          <w:sz w:val="32"/>
          <w:szCs w:val="32"/>
        </w:rPr>
        <w:pict>
          <v:shape id="_x0000_s1026" o:spid="_x0000_s1026" o:spt="32" type="#_x0000_t32" style="position:absolute;left:0pt;margin-left:-1.5pt;margin-top:9.6pt;height:1.5pt;width:439.5pt;z-index:251659264;mso-width-relative:page;mso-height-relative:page;" o:connectortype="straight" filled="f" stroked="t" coordsize="21600,21600">
            <v:path arrowok="t"/>
            <v:fill on="f" focussize="0,0"/>
            <v:stroke weight="1.5pt" color="#FF0000"/>
            <v:imagedata o:title=""/>
            <o:lock v:ext="edit"/>
          </v:shape>
        </w:pic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临淄区民政局等18部门</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关于印发《临淄区基本养老服务清单》的</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通    知</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rPr>
        <w:t>各镇人民政府、街道办事处，各开发区管委会，区政府各部门，有关企事业单位：</w:t>
      </w:r>
    </w:p>
    <w:p>
      <w:pPr>
        <w:spacing w:line="560" w:lineRule="exact"/>
        <w:ind w:firstLine="645"/>
        <w:rPr>
          <w:rFonts w:hint="eastAsia" w:ascii="仿宋_GB2312" w:eastAsia="仿宋_GB2312"/>
          <w:sz w:val="32"/>
          <w:szCs w:val="32"/>
        </w:rPr>
      </w:pPr>
      <w:r>
        <w:rPr>
          <w:rFonts w:hint="eastAsia" w:ascii="仿宋_GB2312" w:eastAsia="仿宋_GB2312"/>
          <w:sz w:val="32"/>
          <w:szCs w:val="32"/>
        </w:rPr>
        <w:t>根据《山东省人民政府办公厅关于推进基本养老服务体系建设的实施意见》（鲁政办发〔2022〕18号）及区民政局1</w:t>
      </w:r>
      <w:r>
        <w:rPr>
          <w:rFonts w:hint="eastAsia" w:ascii="仿宋_GB2312" w:eastAsia="仿宋_GB2312"/>
          <w:sz w:val="32"/>
          <w:szCs w:val="32"/>
          <w:lang w:val="en-US" w:eastAsia="zh-CN"/>
        </w:rPr>
        <w:t>8</w:t>
      </w:r>
      <w:bookmarkStart w:id="0" w:name="_GoBack"/>
      <w:bookmarkEnd w:id="0"/>
      <w:r>
        <w:rPr>
          <w:rFonts w:hint="eastAsia" w:ascii="仿宋_GB2312" w:eastAsia="仿宋_GB2312"/>
          <w:sz w:val="32"/>
          <w:szCs w:val="32"/>
        </w:rPr>
        <w:t>部门印发的《淄博区基本养老服务清单》（淄民〔2022〕61号）要求，结合我区实际，现制定并发布《临淄区基本养老服务清单》如下，请认真贯彻实施，并确保清单项目落实到位，不断提升基本养老服务供给水平。</w:t>
      </w:r>
    </w:p>
    <w:p>
      <w:pPr>
        <w:spacing w:line="560" w:lineRule="exact"/>
        <w:ind w:firstLine="645"/>
        <w:rPr>
          <w:rFonts w:hint="eastAsia" w:ascii="仿宋_GB2312" w:eastAsia="仿宋_GB2312"/>
          <w:sz w:val="32"/>
          <w:szCs w:val="32"/>
        </w:rPr>
      </w:pPr>
      <w:r>
        <w:rPr>
          <w:rFonts w:hint="eastAsia" w:ascii="仿宋_GB2312" w:eastAsia="仿宋_GB2312"/>
          <w:sz w:val="32"/>
          <w:szCs w:val="32"/>
        </w:rPr>
        <w:t>附：临淄区基本养老服务清单</w:t>
      </w:r>
    </w:p>
    <w:p>
      <w:pPr>
        <w:spacing w:line="560" w:lineRule="exact"/>
        <w:ind w:firstLine="645"/>
        <w:rPr>
          <w:rFonts w:hint="eastAsia" w:ascii="仿宋_GB2312" w:eastAsia="仿宋_GB2312"/>
          <w:sz w:val="32"/>
          <w:szCs w:val="32"/>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临淄区民政局</w:t>
            </w:r>
          </w:p>
        </w:tc>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中共临淄区委政法委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临淄区人民法院</w:t>
            </w:r>
          </w:p>
        </w:tc>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淄博区公安局临淄分局</w:t>
            </w:r>
          </w:p>
        </w:tc>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临淄区财政局</w:t>
            </w:r>
          </w:p>
        </w:tc>
        <w:tc>
          <w:tcPr>
            <w:tcW w:w="4261" w:type="dxa"/>
            <w:vAlign w:val="center"/>
          </w:tcPr>
          <w:p>
            <w:pPr>
              <w:spacing w:line="1800" w:lineRule="exact"/>
              <w:rPr>
                <w:rFonts w:hint="eastAsia" w:ascii="仿宋_GB2312" w:eastAsia="仿宋_GB2312"/>
                <w:w w:val="90"/>
                <w:sz w:val="32"/>
                <w:szCs w:val="32"/>
              </w:rPr>
            </w:pPr>
            <w:r>
              <w:rPr>
                <w:rFonts w:hint="eastAsia" w:ascii="仿宋_GB2312" w:eastAsia="仿宋_GB2312"/>
                <w:w w:val="90"/>
                <w:sz w:val="32"/>
                <w:szCs w:val="32"/>
              </w:rPr>
              <w:t>临淄区人力资源和社会保障局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临淄区自然资源局</w:t>
            </w:r>
          </w:p>
        </w:tc>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临淄规范管理办公室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临淄区交通运输局</w:t>
            </w:r>
          </w:p>
        </w:tc>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临淄区文化和旅游局</w:t>
            </w:r>
          </w:p>
        </w:tc>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临淄区退役军人事务局</w:t>
            </w:r>
          </w:p>
        </w:tc>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淄博区医疗保障局临淄分局</w:t>
            </w:r>
          </w:p>
        </w:tc>
        <w:tc>
          <w:tcPr>
            <w:tcW w:w="4261" w:type="dxa"/>
            <w:vAlign w:val="center"/>
          </w:tcPr>
          <w:p>
            <w:pPr>
              <w:spacing w:line="1800" w:lineRule="exact"/>
              <w:rPr>
                <w:rFonts w:hint="eastAsia" w:ascii="仿宋_GB2312" w:eastAsia="仿宋_GB2312"/>
                <w:sz w:val="32"/>
                <w:szCs w:val="32"/>
              </w:rPr>
            </w:pPr>
            <w:r>
              <w:rPr>
                <w:rFonts w:hint="eastAsia" w:ascii="仿宋_GB2312" w:eastAsia="仿宋_GB2312"/>
                <w:sz w:val="32"/>
                <w:szCs w:val="32"/>
              </w:rPr>
              <w:t>临淄区综合行政执法局</w:t>
            </w:r>
          </w:p>
        </w:tc>
      </w:tr>
    </w:tbl>
    <w:p>
      <w:pPr>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r>
        <w:rPr>
          <w:rFonts w:hint="eastAsia" w:ascii="仿宋_GB2312" w:eastAsia="仿宋_GB2312"/>
          <w:sz w:val="32"/>
          <w:szCs w:val="32"/>
        </w:rPr>
        <w:t xml:space="preserve">                            2022年12月15日</w:t>
      </w: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jc w:val="left"/>
        <w:rPr>
          <w:rFonts w:ascii="仿宋_GB2312" w:eastAsia="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（此件公开发布）</w:t>
      </w:r>
    </w:p>
    <w:p>
      <w:pPr>
        <w:spacing w:line="560" w:lineRule="exact"/>
        <w:rPr>
          <w:rFonts w:hint="eastAsia" w:ascii="仿宋_GB2312" w:hAnsi="方正小标宋简体" w:eastAsia="仿宋_GB2312" w:cs="方正小标宋简体"/>
          <w:color w:val="000000"/>
          <w:kern w:val="0"/>
          <w:sz w:val="32"/>
          <w:szCs w:val="32"/>
        </w:rPr>
      </w:pPr>
      <w:r>
        <w:rPr>
          <w:rFonts w:hint="eastAsia" w:ascii="仿宋_GB2312" w:hAnsi="方正小标宋简体" w:eastAsia="仿宋_GB2312" w:cs="方正小标宋简体"/>
          <w:color w:val="000000"/>
          <w:kern w:val="0"/>
          <w:sz w:val="32"/>
          <w:szCs w:val="32"/>
        </w:rPr>
        <w:t>附件：</w:t>
      </w:r>
    </w:p>
    <w:p>
      <w:pPr>
        <w:spacing w:line="560" w:lineRule="exact"/>
        <w:jc w:val="center"/>
        <w:rPr>
          <w:rFonts w:ascii="仿宋_GB2312" w:hAnsi="仿宋_GB2312" w:eastAsia="仿宋_GB2312" w:cs="仿宋_GB2312"/>
          <w:color w:val="000000"/>
          <w:kern w:val="0"/>
          <w:sz w:val="32"/>
          <w:szCs w:val="32"/>
        </w:rPr>
      </w:pPr>
      <w:r>
        <w:rPr>
          <w:rFonts w:hint="eastAsia" w:ascii="方正小标宋简体" w:hAnsi="方正小标宋简体" w:eastAsia="方正小标宋简体" w:cs="方正小标宋简体"/>
          <w:color w:val="000000"/>
          <w:kern w:val="0"/>
          <w:sz w:val="44"/>
          <w:szCs w:val="44"/>
        </w:rPr>
        <w:t>临淄区基本养老服务清单</w:t>
      </w:r>
    </w:p>
    <w:tbl>
      <w:tblPr>
        <w:tblStyle w:val="4"/>
        <w:tblW w:w="14565" w:type="dxa"/>
        <w:tblInd w:w="-261" w:type="dxa"/>
        <w:tblLayout w:type="fixed"/>
        <w:tblCellMar>
          <w:top w:w="0" w:type="dxa"/>
          <w:left w:w="108" w:type="dxa"/>
          <w:bottom w:w="0" w:type="dxa"/>
          <w:right w:w="108" w:type="dxa"/>
        </w:tblCellMar>
      </w:tblPr>
      <w:tblGrid>
        <w:gridCol w:w="1395"/>
        <w:gridCol w:w="570"/>
        <w:gridCol w:w="2655"/>
        <w:gridCol w:w="7470"/>
        <w:gridCol w:w="2475"/>
      </w:tblGrid>
      <w:tr>
        <w:tblPrEx>
          <w:tblCellMar>
            <w:top w:w="0" w:type="dxa"/>
            <w:left w:w="108" w:type="dxa"/>
            <w:bottom w:w="0" w:type="dxa"/>
            <w:right w:w="108" w:type="dxa"/>
          </w:tblCellMar>
        </w:tblPrEx>
        <w:trPr>
          <w:trHeight w:val="640" w:hRule="atLeast"/>
          <w:tblHeader/>
        </w:trPr>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服务对象</w:t>
            </w:r>
          </w:p>
        </w:tc>
        <w:tc>
          <w:tcPr>
            <w:tcW w:w="322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服务项目</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服务内容及标准</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责任部门</w:t>
            </w:r>
          </w:p>
        </w:tc>
      </w:tr>
      <w:tr>
        <w:tblPrEx>
          <w:tblCellMar>
            <w:top w:w="0" w:type="dxa"/>
            <w:left w:w="108" w:type="dxa"/>
            <w:bottom w:w="0" w:type="dxa"/>
            <w:right w:w="108" w:type="dxa"/>
          </w:tblCellMar>
        </w:tblPrEx>
        <w:trPr>
          <w:trHeight w:val="773"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60周岁及以上老年人</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职工基本养老保险</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对符合条件的参保老年人按时足额发放基本养老金。</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区人力资源社会保障局</w:t>
            </w:r>
            <w:r>
              <w:rPr>
                <w:rStyle w:val="10"/>
                <w:rFonts w:hint="default" w:hAnsi="宋体"/>
              </w:rPr>
              <w:t>、区财政局</w:t>
            </w:r>
          </w:p>
        </w:tc>
      </w:tr>
      <w:tr>
        <w:tblPrEx>
          <w:tblCellMar>
            <w:top w:w="0" w:type="dxa"/>
            <w:left w:w="108" w:type="dxa"/>
            <w:bottom w:w="0" w:type="dxa"/>
            <w:right w:w="108" w:type="dxa"/>
          </w:tblCellMar>
        </w:tblPrEx>
        <w:trPr>
          <w:trHeight w:val="88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城乡居民基本养老保险</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对符合条件的参保老年人发放基础养老金和个人账户养老金。</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区人力资源社会保障局</w:t>
            </w:r>
            <w:r>
              <w:rPr>
                <w:rStyle w:val="10"/>
                <w:rFonts w:hint="default" w:hAnsi="宋体"/>
              </w:rPr>
              <w:t>、区财政局</w:t>
            </w:r>
          </w:p>
        </w:tc>
      </w:tr>
      <w:tr>
        <w:tblPrEx>
          <w:tblCellMar>
            <w:top w:w="0" w:type="dxa"/>
            <w:left w:w="108" w:type="dxa"/>
            <w:bottom w:w="0" w:type="dxa"/>
            <w:right w:w="108" w:type="dxa"/>
          </w:tblCellMar>
        </w:tblPrEx>
        <w:trPr>
          <w:trHeight w:val="74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就医便利服务</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优先就诊、化验、检查、交费、取药，需要住院的，优先安排住院。</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区卫生健康局</w:t>
            </w:r>
          </w:p>
        </w:tc>
      </w:tr>
      <w:tr>
        <w:tblPrEx>
          <w:tblCellMar>
            <w:top w:w="0" w:type="dxa"/>
            <w:left w:w="108" w:type="dxa"/>
            <w:bottom w:w="0" w:type="dxa"/>
            <w:right w:w="108" w:type="dxa"/>
          </w:tblCellMar>
        </w:tblPrEx>
        <w:trPr>
          <w:trHeight w:val="908"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4</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自愿随子女迁移户口</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按照有关政策规定办理随子女迁移户口手续，依法依规享受迁入地基本公共服务。</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区公安局</w:t>
            </w:r>
          </w:p>
        </w:tc>
      </w:tr>
      <w:tr>
        <w:tblPrEx>
          <w:tblCellMar>
            <w:top w:w="0" w:type="dxa"/>
            <w:left w:w="108" w:type="dxa"/>
            <w:bottom w:w="0" w:type="dxa"/>
            <w:right w:w="108" w:type="dxa"/>
          </w:tblCellMar>
        </w:tblPrEx>
        <w:trPr>
          <w:trHeight w:val="90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5</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乘坐城区公共交通工具</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免费乘坐城区公共交通工具。</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区交通运输局</w:t>
            </w:r>
          </w:p>
        </w:tc>
      </w:tr>
      <w:tr>
        <w:tblPrEx>
          <w:tblCellMar>
            <w:top w:w="0" w:type="dxa"/>
            <w:left w:w="108" w:type="dxa"/>
            <w:bottom w:w="0" w:type="dxa"/>
            <w:right w:w="108" w:type="dxa"/>
          </w:tblCellMar>
        </w:tblPrEx>
        <w:trPr>
          <w:trHeight w:val="163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6</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参观公园和景点</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政府兴办或支持的公园、景点免购门票；社会力量兴办的公园、景点，70周岁以上免购门票，不满70周岁半价购买门票；半价乘坐政府投资建设的国有景区内的观光车、缆车等代步工具。</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区发展改革局、区自然资源局、临淄规划管理办公室、区水利局、区文化和旅游局、区综合行政执法局</w:t>
            </w:r>
          </w:p>
        </w:tc>
      </w:tr>
      <w:tr>
        <w:tblPrEx>
          <w:tblCellMar>
            <w:top w:w="0" w:type="dxa"/>
            <w:left w:w="108" w:type="dxa"/>
            <w:bottom w:w="0" w:type="dxa"/>
            <w:right w:w="108" w:type="dxa"/>
          </w:tblCellMar>
        </w:tblPrEx>
        <w:trPr>
          <w:trHeight w:val="1135"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7</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进入公共文化设施</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免费进入公共文化馆、图书馆、博物馆、科技馆、美术馆、展览馆、纪念馆等。</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区文化和旅游局</w:t>
            </w:r>
          </w:p>
        </w:tc>
      </w:tr>
      <w:tr>
        <w:tblPrEx>
          <w:tblCellMar>
            <w:top w:w="0" w:type="dxa"/>
            <w:left w:w="108" w:type="dxa"/>
            <w:bottom w:w="0" w:type="dxa"/>
            <w:right w:w="108" w:type="dxa"/>
          </w:tblCellMar>
        </w:tblPrEx>
        <w:trPr>
          <w:trHeight w:val="620" w:hRule="atLeast"/>
        </w:trPr>
        <w:tc>
          <w:tcPr>
            <w:tcW w:w="1395"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60周岁及以上老年人</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8</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使用公共体育设施</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按照时段免费或半价进入政府兴办或支持的公共体育健身场所健身。</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区教育和体育局</w:t>
            </w:r>
          </w:p>
        </w:tc>
      </w:tr>
      <w:tr>
        <w:tblPrEx>
          <w:tblCellMar>
            <w:top w:w="0" w:type="dxa"/>
            <w:left w:w="108" w:type="dxa"/>
            <w:bottom w:w="0" w:type="dxa"/>
            <w:right w:w="108" w:type="dxa"/>
          </w:tblCellMar>
        </w:tblPrEx>
        <w:trPr>
          <w:trHeight w:val="620" w:hRule="atLeast"/>
        </w:trPr>
        <w:tc>
          <w:tcPr>
            <w:tcW w:w="1395" w:type="dxa"/>
            <w:vMerge w:val="continue"/>
            <w:tcBorders>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9</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进入社区公共服务设施</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免费进入日间照料中心、幸福院、社区养老服务站等社区公共服务设施，无偿或低偿的方式参与图书阅读、文化娱乐等城乡社区照料服务。</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sz w:val="24"/>
              </w:rPr>
              <w:t>区民政局</w:t>
            </w:r>
          </w:p>
        </w:tc>
      </w:tr>
      <w:tr>
        <w:tblPrEx>
          <w:tblCellMar>
            <w:top w:w="0" w:type="dxa"/>
            <w:left w:w="108" w:type="dxa"/>
            <w:bottom w:w="0" w:type="dxa"/>
            <w:right w:w="108" w:type="dxa"/>
          </w:tblCellMar>
        </w:tblPrEx>
        <w:trPr>
          <w:trHeight w:val="1060" w:hRule="atLeast"/>
        </w:trPr>
        <w:tc>
          <w:tcPr>
            <w:tcW w:w="1395"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10</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法律诉讼服务</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老年人因其合法权益受侵害提起诉讼交纳诉讼费确有困难的，可以缓交、减交或者免交；需要获得律师帮助,但是无力支付律师费用的，可以获得法律援助。</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区司法局、区法院</w:t>
            </w:r>
          </w:p>
        </w:tc>
      </w:tr>
      <w:tr>
        <w:tblPrEx>
          <w:tblCellMar>
            <w:top w:w="0" w:type="dxa"/>
            <w:left w:w="108" w:type="dxa"/>
            <w:bottom w:w="0" w:type="dxa"/>
            <w:right w:w="108" w:type="dxa"/>
          </w:tblCellMar>
        </w:tblPrEx>
        <w:trPr>
          <w:trHeight w:val="860" w:hRule="atLeast"/>
        </w:trPr>
        <w:tc>
          <w:tcPr>
            <w:tcW w:w="1395" w:type="dxa"/>
            <w:vMerge w:val="continue"/>
            <w:tcBorders>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11</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老年人能力综合评估</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以委托第三方的形式，依申请为60周岁及以上老年人提供能力综合评估，评估结果作为具备相关资格条件的老年人享受养老服务补贴、职工长期护理保险服务的依据。</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区民政局、临淄医保分局</w:t>
            </w:r>
          </w:p>
        </w:tc>
      </w:tr>
      <w:tr>
        <w:tblPrEx>
          <w:tblCellMar>
            <w:top w:w="0" w:type="dxa"/>
            <w:left w:w="108" w:type="dxa"/>
            <w:bottom w:w="0" w:type="dxa"/>
            <w:right w:w="108" w:type="dxa"/>
          </w:tblCellMar>
        </w:tblPrEx>
        <w:trPr>
          <w:trHeight w:val="1020" w:hRule="atLeast"/>
        </w:trPr>
        <w:tc>
          <w:tcPr>
            <w:tcW w:w="139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12</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老年人助餐补贴</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本区户籍，年满60周岁以上且长期居住本区的老年人，可就近就便在长者食堂、助餐点登记就餐，补贴标准为午餐每人每餐1元，补贴发放至助餐机构</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9"/>
                <w:rFonts w:hint="default" w:hAnsi="宋体"/>
              </w:rPr>
            </w:pPr>
            <w:r>
              <w:rPr>
                <w:rStyle w:val="9"/>
                <w:rFonts w:hint="default" w:hAnsi="宋体"/>
              </w:rPr>
              <w:t>区民政局、</w:t>
            </w:r>
            <w:r>
              <w:rPr>
                <w:rStyle w:val="9"/>
                <w:rFonts w:hint="default" w:hAnsi="宋体"/>
                <w:b w:val="0"/>
              </w:rPr>
              <w:t>区财政局</w:t>
            </w:r>
          </w:p>
        </w:tc>
      </w:tr>
      <w:tr>
        <w:tblPrEx>
          <w:tblCellMar>
            <w:top w:w="0" w:type="dxa"/>
            <w:left w:w="108" w:type="dxa"/>
            <w:bottom w:w="0" w:type="dxa"/>
            <w:right w:w="108" w:type="dxa"/>
          </w:tblCellMar>
        </w:tblPrEx>
        <w:trPr>
          <w:trHeight w:val="1020" w:hRule="atLeast"/>
        </w:trPr>
        <w:tc>
          <w:tcPr>
            <w:tcW w:w="139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65周岁及以上老年人</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13</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老年人健康管理</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每年提供1次免费健康管理服务，建立健康档案，包括生活方式和健康状况评估、体格检查、辅助检查、健康指导等，做好健康状况评估与老年人能力综合评估的衔接。</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区卫生健康局、区医保局、区民政局、</w:t>
            </w:r>
            <w:r>
              <w:rPr>
                <w:rStyle w:val="10"/>
                <w:rFonts w:hint="default" w:hAnsi="宋体"/>
              </w:rPr>
              <w:t>区财政局</w:t>
            </w:r>
          </w:p>
        </w:tc>
      </w:tr>
      <w:tr>
        <w:tblPrEx>
          <w:tblCellMar>
            <w:top w:w="0" w:type="dxa"/>
            <w:left w:w="108" w:type="dxa"/>
            <w:bottom w:w="0" w:type="dxa"/>
            <w:right w:w="108" w:type="dxa"/>
          </w:tblCellMar>
        </w:tblPrEx>
        <w:trPr>
          <w:trHeight w:val="821" w:hRule="atLeast"/>
        </w:trPr>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80周岁及以上老年人</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14</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高龄津贴</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按规定向80周岁及以上老年人发放高龄津贴，百岁以上老年人每人每月不少于320元。</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区卫生健康委、</w:t>
            </w:r>
            <w:r>
              <w:rPr>
                <w:rStyle w:val="10"/>
                <w:rFonts w:hint="default" w:hAnsi="宋体"/>
              </w:rPr>
              <w:t>区财政局</w:t>
            </w:r>
          </w:p>
        </w:tc>
      </w:tr>
      <w:tr>
        <w:tblPrEx>
          <w:tblCellMar>
            <w:top w:w="0" w:type="dxa"/>
            <w:left w:w="108" w:type="dxa"/>
            <w:bottom w:w="0" w:type="dxa"/>
            <w:right w:w="108" w:type="dxa"/>
          </w:tblCellMar>
        </w:tblPrEx>
        <w:trPr>
          <w:trHeight w:val="1240"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特困老年人</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15</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分散供养</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对选择分散供养的特困老年人，依照有关规定提供基本生活、照料护理等事宜，基本生活标准不低于当地城乡低保标准的1.3倍，对生活不能自理的给予照料。</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区民政局、</w:t>
            </w:r>
            <w:r>
              <w:rPr>
                <w:rStyle w:val="10"/>
                <w:rFonts w:hint="default" w:hAnsi="宋体"/>
              </w:rPr>
              <w:t>区财政局</w:t>
            </w:r>
          </w:p>
        </w:tc>
      </w:tr>
      <w:tr>
        <w:tblPrEx>
          <w:tblCellMar>
            <w:top w:w="0" w:type="dxa"/>
            <w:left w:w="108" w:type="dxa"/>
            <w:bottom w:w="0" w:type="dxa"/>
            <w:right w:w="108" w:type="dxa"/>
          </w:tblCellMar>
        </w:tblPrEx>
        <w:trPr>
          <w:trHeight w:val="114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16</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集中供养</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对符合集中供养条件且具备特困供养意愿的特困老年人，就近安排到相应的供养服务机构，提供基本生活、照料护理、疾病治疗等事宜，基本生活标准不低于当地城乡低保标准的1.3倍。</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区民政局、</w:t>
            </w:r>
            <w:r>
              <w:rPr>
                <w:rStyle w:val="10"/>
                <w:rFonts w:hint="default" w:hAnsi="宋体"/>
              </w:rPr>
              <w:t>区财政局</w:t>
            </w:r>
          </w:p>
        </w:tc>
      </w:tr>
      <w:tr>
        <w:tblPrEx>
          <w:tblCellMar>
            <w:top w:w="0" w:type="dxa"/>
            <w:left w:w="108" w:type="dxa"/>
            <w:bottom w:w="0" w:type="dxa"/>
            <w:right w:w="108" w:type="dxa"/>
          </w:tblCellMar>
        </w:tblPrEx>
        <w:trPr>
          <w:trHeight w:val="113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17</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分散供养特困老年人家庭适老化改造</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通过政府补贴等方式，对分散供养的特困失能以及高龄、残疾老年人家庭实施居家适老化改造，范围可逐步扩大到城乡低保对象中的失能、高龄、残疾老年人家庭。</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区民政局、</w:t>
            </w:r>
            <w:r>
              <w:rPr>
                <w:rStyle w:val="10"/>
                <w:rFonts w:hint="default" w:hAnsi="宋体"/>
              </w:rPr>
              <w:t>区财政局</w:t>
            </w:r>
          </w:p>
        </w:tc>
      </w:tr>
      <w:tr>
        <w:tblPrEx>
          <w:tblCellMar>
            <w:top w:w="0" w:type="dxa"/>
            <w:left w:w="108" w:type="dxa"/>
            <w:bottom w:w="0" w:type="dxa"/>
            <w:right w:w="108" w:type="dxa"/>
          </w:tblCellMar>
        </w:tblPrEx>
        <w:trPr>
          <w:trHeight w:val="760" w:hRule="atLeast"/>
        </w:trPr>
        <w:tc>
          <w:tcPr>
            <w:tcW w:w="139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经济困难老年人</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18</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临时救助</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对获取城乡最低生活保障金后生活仍有困难的老年人，符合临时救助条件的，给予临时救助等保障。</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区民政局、</w:t>
            </w:r>
            <w:r>
              <w:rPr>
                <w:rStyle w:val="10"/>
                <w:rFonts w:hint="default" w:hAnsi="宋体"/>
              </w:rPr>
              <w:t>区财政局</w:t>
            </w:r>
          </w:p>
        </w:tc>
      </w:tr>
      <w:tr>
        <w:tblPrEx>
          <w:tblCellMar>
            <w:top w:w="0" w:type="dxa"/>
            <w:left w:w="108" w:type="dxa"/>
            <w:bottom w:w="0" w:type="dxa"/>
            <w:right w:w="108" w:type="dxa"/>
          </w:tblCellMar>
        </w:tblPrEx>
        <w:trPr>
          <w:trHeight w:val="1740" w:hRule="atLeast"/>
        </w:trPr>
        <w:tc>
          <w:tcPr>
            <w:tcW w:w="1395"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19</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经济困难老年人补贴</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对60-79岁、80-89岁、90-99周岁的低保老年人，每人每月分别发放80元、100元、200元生活补贴，100周岁及以上老年人按照《山东省人民政府关于印发山东省优待老年人规定的通知》（鲁政发〔2011〕54号）文件补助；对身体能力评估为2-3级的低保老年人，每人每月发放80元经济困难老年人护理补贴，此项补贴与重度残疾人补贴不得重复享受。</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区民政局、</w:t>
            </w:r>
            <w:r>
              <w:rPr>
                <w:rStyle w:val="10"/>
                <w:rFonts w:hint="default" w:hAnsi="宋体"/>
              </w:rPr>
              <w:t>区财政局</w:t>
            </w:r>
          </w:p>
        </w:tc>
      </w:tr>
      <w:tr>
        <w:tblPrEx>
          <w:tblCellMar>
            <w:top w:w="0" w:type="dxa"/>
            <w:left w:w="108" w:type="dxa"/>
            <w:bottom w:w="0" w:type="dxa"/>
            <w:right w:w="108" w:type="dxa"/>
          </w:tblCellMar>
        </w:tblPrEx>
        <w:trPr>
          <w:trHeight w:val="600" w:hRule="atLeast"/>
        </w:trPr>
        <w:tc>
          <w:tcPr>
            <w:tcW w:w="1395" w:type="dxa"/>
            <w:vMerge w:val="continue"/>
            <w:tcBorders>
              <w:left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20</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居家养老服务</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城乡低保中60岁以上老人，照护人符合无照护能力认定，轻度失能的以政府购买第三方服务形式提供每月30小时入户居家养老服务；中度失能的每月45小时；重度失能的每月60小时</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区民政局、</w:t>
            </w:r>
            <w:r>
              <w:rPr>
                <w:rStyle w:val="10"/>
                <w:rFonts w:hint="default" w:hAnsi="宋体"/>
              </w:rPr>
              <w:t>区财政局</w:t>
            </w:r>
          </w:p>
        </w:tc>
      </w:tr>
      <w:tr>
        <w:tblPrEx>
          <w:tblCellMar>
            <w:top w:w="0" w:type="dxa"/>
            <w:left w:w="108" w:type="dxa"/>
            <w:bottom w:w="0" w:type="dxa"/>
            <w:right w:w="108" w:type="dxa"/>
          </w:tblCellMar>
        </w:tblPrEx>
        <w:trPr>
          <w:trHeight w:val="1020" w:hRule="atLeast"/>
        </w:trPr>
        <w:tc>
          <w:tcPr>
            <w:tcW w:w="1395"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21</w:t>
            </w:r>
          </w:p>
        </w:tc>
        <w:tc>
          <w:tcPr>
            <w:tcW w:w="265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集中托养试点服务</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24"/>
              </w:rPr>
            </w:pPr>
            <w:r>
              <w:rPr>
                <w:rFonts w:hint="eastAsia" w:ascii="仿宋_GB2312" w:hAnsi="宋体" w:eastAsia="仿宋_GB2312" w:cs="仿宋_GB2312"/>
                <w:color w:val="000000"/>
                <w:kern w:val="0"/>
                <w:sz w:val="24"/>
              </w:rPr>
              <w:t>城乡低保中60岁以上老人，经第三方组织评估为中度失能、自失能的，按照自愿的形式，接受集中供养，供养标准为中度失能1388元/月、重度失能1712元/月，费用自城乡最低生活保障金、特殊困难家庭人员失能照护费中负担，不足部分由所在镇街道补齐</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区民政局、</w:t>
            </w:r>
            <w:r>
              <w:rPr>
                <w:rStyle w:val="10"/>
                <w:rFonts w:hint="default" w:hAnsi="宋体"/>
              </w:rPr>
              <w:t>区财政局</w:t>
            </w:r>
          </w:p>
        </w:tc>
      </w:tr>
      <w:tr>
        <w:tblPrEx>
          <w:tblCellMar>
            <w:top w:w="0" w:type="dxa"/>
            <w:left w:w="108" w:type="dxa"/>
            <w:bottom w:w="0" w:type="dxa"/>
            <w:right w:w="108" w:type="dxa"/>
          </w:tblCellMar>
        </w:tblPrEx>
        <w:trPr>
          <w:trHeight w:val="1020" w:hRule="atLeast"/>
        </w:trPr>
        <w:tc>
          <w:tcPr>
            <w:tcW w:w="139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22</w:t>
            </w:r>
          </w:p>
        </w:tc>
        <w:tc>
          <w:tcPr>
            <w:tcW w:w="265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公证服务</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对经济困难且符合法律援助条件的老年人申办公证，减免公证费。</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区司法局</w:t>
            </w:r>
          </w:p>
        </w:tc>
      </w:tr>
      <w:tr>
        <w:tblPrEx>
          <w:tblCellMar>
            <w:top w:w="0" w:type="dxa"/>
            <w:left w:w="108" w:type="dxa"/>
            <w:bottom w:w="0" w:type="dxa"/>
            <w:right w:w="108" w:type="dxa"/>
          </w:tblCellMar>
        </w:tblPrEx>
        <w:trPr>
          <w:trHeight w:val="1020"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特殊困难老年人</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23</w:t>
            </w:r>
          </w:p>
        </w:tc>
        <w:tc>
          <w:tcPr>
            <w:tcW w:w="265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探访服务</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面向独居、空巢、留守、失能、重残、计划生育特殊家庭等特殊困难老年人提供探访关爱服务。</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区民政局、</w:t>
            </w:r>
            <w:r>
              <w:rPr>
                <w:rStyle w:val="10"/>
                <w:rFonts w:hint="default" w:hAnsi="宋体"/>
              </w:rPr>
              <w:t>区委政法委、区卫健局</w:t>
            </w:r>
          </w:p>
        </w:tc>
      </w:tr>
      <w:tr>
        <w:tblPrEx>
          <w:tblCellMar>
            <w:top w:w="0" w:type="dxa"/>
            <w:left w:w="108" w:type="dxa"/>
            <w:bottom w:w="0" w:type="dxa"/>
            <w:right w:w="108" w:type="dxa"/>
          </w:tblCellMar>
        </w:tblPrEx>
        <w:trPr>
          <w:trHeight w:val="86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24</w:t>
            </w:r>
          </w:p>
        </w:tc>
        <w:tc>
          <w:tcPr>
            <w:tcW w:w="265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优先入住公办养老机构</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保障经济困难的独居、空巢、留守、失能、重残、计划生育特殊家庭以及做出特殊贡献的老年人优先入住公办或公办民营养老机构。</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区民政局、区卫健局</w:t>
            </w:r>
          </w:p>
        </w:tc>
      </w:tr>
      <w:tr>
        <w:tblPrEx>
          <w:tblCellMar>
            <w:top w:w="0" w:type="dxa"/>
            <w:left w:w="108" w:type="dxa"/>
            <w:bottom w:w="0" w:type="dxa"/>
            <w:right w:w="108" w:type="dxa"/>
          </w:tblCellMar>
        </w:tblPrEx>
        <w:trPr>
          <w:trHeight w:val="116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25</w:t>
            </w:r>
          </w:p>
        </w:tc>
        <w:tc>
          <w:tcPr>
            <w:tcW w:w="265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委托服务</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委托有资质的社会组织接受独居、空巢、留守、失能、重残、计划生育特殊家庭等特殊困难老年人或其监护人委托，依法代为办理入住养老机构、就医等事务。</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区民政局、区法院</w:t>
            </w:r>
          </w:p>
        </w:tc>
      </w:tr>
      <w:tr>
        <w:tblPrEx>
          <w:tblCellMar>
            <w:top w:w="0" w:type="dxa"/>
            <w:left w:w="108" w:type="dxa"/>
            <w:bottom w:w="0" w:type="dxa"/>
            <w:right w:w="108" w:type="dxa"/>
          </w:tblCellMar>
        </w:tblPrEx>
        <w:trPr>
          <w:trHeight w:val="1680" w:hRule="atLeast"/>
        </w:trPr>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对国家和社会作出特殊贡献的老年人</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26</w:t>
            </w:r>
          </w:p>
        </w:tc>
        <w:tc>
          <w:tcPr>
            <w:tcW w:w="265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优抚供养</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老年烈士遗属、因公牺牲军人遗属、病故军人遗属和进入老年的残疾军人、复员军人、退伍军人，无法定赡养扶养人或者其法定义务人无赡养扶养能力且享受国家定期抚恤补助待遇的，提供集中供养、医疗等保障</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区退役军人局</w:t>
            </w:r>
          </w:p>
        </w:tc>
      </w:tr>
      <w:tr>
        <w:tblPrEx>
          <w:tblCellMar>
            <w:top w:w="0" w:type="dxa"/>
            <w:left w:w="108" w:type="dxa"/>
            <w:bottom w:w="0" w:type="dxa"/>
            <w:right w:w="108" w:type="dxa"/>
          </w:tblCellMar>
        </w:tblPrEx>
        <w:trPr>
          <w:trHeight w:val="1100" w:hRule="atLeast"/>
        </w:trPr>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经认定符合条件的残疾老年人</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27</w:t>
            </w:r>
          </w:p>
        </w:tc>
        <w:tc>
          <w:tcPr>
            <w:tcW w:w="265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困难残疾人生活补贴</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为低保中的一至四级残疾老年人发放每人每月220元的困难残疾人生活补贴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区民政局、</w:t>
            </w:r>
            <w:r>
              <w:rPr>
                <w:rStyle w:val="10"/>
                <w:rFonts w:hint="default" w:hAnsi="宋体"/>
              </w:rPr>
              <w:t>区财政局</w:t>
            </w:r>
          </w:p>
        </w:tc>
      </w:tr>
      <w:tr>
        <w:tblPrEx>
          <w:tblCellMar>
            <w:top w:w="0" w:type="dxa"/>
            <w:left w:w="108" w:type="dxa"/>
            <w:bottom w:w="0" w:type="dxa"/>
            <w:right w:w="108" w:type="dxa"/>
          </w:tblCellMar>
        </w:tblPrEx>
        <w:trPr>
          <w:trHeight w:val="1620" w:hRule="atLeast"/>
        </w:trPr>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28</w:t>
            </w:r>
          </w:p>
        </w:tc>
        <w:tc>
          <w:tcPr>
            <w:tcW w:w="265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重度残疾人护理补贴</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为残疾等级评定为一级且需要长期照护的重度残疾老年人发放每人每月161元重度残疾护理补贴，二级且需要长期照护的重度残疾老年人发放每人每月140元重度残疾护理补贴。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区民政局、</w:t>
            </w:r>
            <w:r>
              <w:rPr>
                <w:rStyle w:val="10"/>
                <w:rFonts w:hint="default" w:hAnsi="宋体"/>
              </w:rPr>
              <w:t>区财政局</w:t>
            </w:r>
          </w:p>
        </w:tc>
      </w:tr>
      <w:tr>
        <w:tblPrEx>
          <w:tblCellMar>
            <w:top w:w="0" w:type="dxa"/>
            <w:left w:w="108" w:type="dxa"/>
            <w:bottom w:w="0" w:type="dxa"/>
            <w:right w:w="108" w:type="dxa"/>
          </w:tblCellMar>
        </w:tblPrEx>
        <w:trPr>
          <w:trHeight w:val="1600" w:hRule="atLeast"/>
        </w:trPr>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计划生育特殊家庭老年人</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29</w:t>
            </w:r>
          </w:p>
        </w:tc>
        <w:tc>
          <w:tcPr>
            <w:tcW w:w="265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计划生育特别扶助金</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对符合独生子女死亡特别扶助条件的老年人，每人每月发放990元特别扶助金；对符合独生子女伤残特别扶助条件的老年人，每人每月发放810元特别扶助金。</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区卫健局、</w:t>
            </w:r>
            <w:r>
              <w:rPr>
                <w:rStyle w:val="10"/>
                <w:rFonts w:hint="default" w:hAnsi="宋体"/>
              </w:rPr>
              <w:t>区财政局</w:t>
            </w:r>
          </w:p>
        </w:tc>
      </w:tr>
      <w:tr>
        <w:tblPrEx>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经认定生活不能自理的老年人</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30</w:t>
            </w:r>
          </w:p>
        </w:tc>
        <w:tc>
          <w:tcPr>
            <w:tcW w:w="265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家庭养老支持服务</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符合条件的失能老年人家庭，成员参加照护培训等相关职业技能培训的，按规定给予职业技能补贴。</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区人力资源社会保障局</w:t>
            </w:r>
            <w:r>
              <w:rPr>
                <w:rStyle w:val="10"/>
                <w:rFonts w:hint="default" w:hAnsi="宋体"/>
              </w:rPr>
              <w:t>、区财政局、区民政局</w:t>
            </w:r>
          </w:p>
        </w:tc>
      </w:tr>
      <w:tr>
        <w:tblPrEx>
          <w:tblCellMar>
            <w:top w:w="0" w:type="dxa"/>
            <w:left w:w="108" w:type="dxa"/>
            <w:bottom w:w="0" w:type="dxa"/>
            <w:right w:w="108" w:type="dxa"/>
          </w:tblCellMar>
        </w:tblPrEx>
        <w:trPr>
          <w:trHeight w:val="1140" w:hRule="atLeast"/>
        </w:trPr>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生活无着的流浪、乞讨老年人</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31</w:t>
            </w:r>
          </w:p>
        </w:tc>
        <w:tc>
          <w:tcPr>
            <w:tcW w:w="265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流浪乞讨救助</w:t>
            </w:r>
          </w:p>
        </w:tc>
        <w:tc>
          <w:tcPr>
            <w:tcW w:w="74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依照有关规定给予救助。</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宋体" w:eastAsia="仿宋_GB2312" w:cs="仿宋_GB2312"/>
                <w:b/>
                <w:color w:val="000000"/>
                <w:sz w:val="24"/>
              </w:rPr>
            </w:pPr>
            <w:r>
              <w:rPr>
                <w:rStyle w:val="9"/>
                <w:rFonts w:hint="default" w:hAnsi="宋体"/>
              </w:rPr>
              <w:t>区民政局</w:t>
            </w:r>
            <w:r>
              <w:rPr>
                <w:rStyle w:val="10"/>
                <w:rFonts w:hint="default" w:hAnsi="宋体"/>
              </w:rPr>
              <w:t>、区财政局</w:t>
            </w:r>
          </w:p>
        </w:tc>
      </w:tr>
      <w:tr>
        <w:tblPrEx>
          <w:tblCellMar>
            <w:top w:w="0" w:type="dxa"/>
            <w:left w:w="108" w:type="dxa"/>
            <w:bottom w:w="0" w:type="dxa"/>
            <w:right w:w="108" w:type="dxa"/>
          </w:tblCellMar>
        </w:tblPrEx>
        <w:trPr>
          <w:trHeight w:val="500" w:hRule="atLeast"/>
        </w:trPr>
        <w:tc>
          <w:tcPr>
            <w:tcW w:w="14565" w:type="dxa"/>
            <w:gridSpan w:val="5"/>
            <w:tcBorders>
              <w:top w:val="nil"/>
              <w:left w:val="nil"/>
              <w:bottom w:val="nil"/>
              <w:right w:val="nil"/>
            </w:tcBorders>
            <w:vAlign w:val="center"/>
          </w:tcPr>
          <w:p>
            <w:pPr>
              <w:widowControl/>
              <w:jc w:val="lef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注：标黑为牵头部门。</w:t>
            </w:r>
          </w:p>
        </w:tc>
      </w:tr>
    </w:tbl>
    <w:p>
      <w:pPr>
        <w:spacing w:line="560" w:lineRule="exact"/>
        <w:ind w:firstLine="640"/>
        <w:rPr>
          <w:rFonts w:ascii="仿宋_GB2312" w:hAnsi="仿宋_GB2312" w:eastAsia="仿宋_GB2312" w:cs="仿宋_GB2312"/>
          <w:color w:val="000000"/>
          <w:kern w:val="0"/>
          <w:sz w:val="32"/>
          <w:szCs w:val="32"/>
        </w:rPr>
      </w:pPr>
    </w:p>
    <w:p>
      <w:pPr>
        <w:jc w:val="left"/>
        <w:rPr>
          <w:rFonts w:hint="eastAsia" w:ascii="仿宋_GB2312" w:eastAsia="仿宋_GB2312"/>
          <w:sz w:val="32"/>
          <w:szCs w:val="32"/>
        </w:rPr>
      </w:pPr>
    </w:p>
    <w:sectPr>
      <w:footerReference r:id="rId3" w:type="default"/>
      <w:pgSz w:w="16838" w:h="11906" w:orient="landscape"/>
      <w:pgMar w:top="1587" w:right="2098" w:bottom="1474"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rPr>
                    <w:rFonts w:ascii="楷体_GB2312" w:hAnsi="楷体_GB2312" w:eastAsia="楷体_GB2312" w:cs="楷体_GB2312"/>
                    <w:sz w:val="24"/>
                    <w:szCs w:val="40"/>
                  </w:rPr>
                </w:pPr>
                <w:r>
                  <w:rPr>
                    <w:rFonts w:hint="eastAsia" w:ascii="楷体_GB2312" w:hAnsi="楷体_GB2312" w:eastAsia="楷体_GB2312" w:cs="楷体_GB2312"/>
                    <w:sz w:val="24"/>
                    <w:szCs w:val="40"/>
                  </w:rPr>
                  <w:fldChar w:fldCharType="begin"/>
                </w:r>
                <w:r>
                  <w:rPr>
                    <w:rFonts w:hint="eastAsia" w:ascii="楷体_GB2312" w:hAnsi="楷体_GB2312" w:eastAsia="楷体_GB2312" w:cs="楷体_GB2312"/>
                    <w:sz w:val="24"/>
                    <w:szCs w:val="40"/>
                  </w:rPr>
                  <w:instrText xml:space="preserve"> PAGE  \* MERGEFORMAT </w:instrText>
                </w:r>
                <w:r>
                  <w:rPr>
                    <w:rFonts w:hint="eastAsia" w:ascii="楷体_GB2312" w:hAnsi="楷体_GB2312" w:eastAsia="楷体_GB2312" w:cs="楷体_GB2312"/>
                    <w:sz w:val="24"/>
                    <w:szCs w:val="40"/>
                  </w:rPr>
                  <w:fldChar w:fldCharType="separate"/>
                </w:r>
                <w:r>
                  <w:rPr>
                    <w:rFonts w:ascii="楷体_GB2312" w:hAnsi="楷体_GB2312" w:eastAsia="楷体_GB2312" w:cs="楷体_GB2312"/>
                    <w:sz w:val="24"/>
                    <w:szCs w:val="40"/>
                  </w:rPr>
                  <w:t>8</w:t>
                </w:r>
                <w:r>
                  <w:rPr>
                    <w:rFonts w:hint="eastAsia" w:ascii="楷体_GB2312" w:hAnsi="楷体_GB2312" w:eastAsia="楷体_GB2312" w:cs="楷体_GB2312"/>
                    <w:sz w:val="24"/>
                    <w:szCs w:val="40"/>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4ZDMzNjg4MTUxYjAzZDAxOTQwMWEyOGJiY2FiMTQifQ=="/>
  </w:docVars>
  <w:rsids>
    <w:rsidRoot w:val="00424D4D"/>
    <w:rsid w:val="000044E5"/>
    <w:rsid w:val="000622CB"/>
    <w:rsid w:val="00062588"/>
    <w:rsid w:val="00221BD6"/>
    <w:rsid w:val="003C0BCC"/>
    <w:rsid w:val="003E7B4E"/>
    <w:rsid w:val="00424D4D"/>
    <w:rsid w:val="004D3EE5"/>
    <w:rsid w:val="005564D1"/>
    <w:rsid w:val="005D2222"/>
    <w:rsid w:val="00744A9E"/>
    <w:rsid w:val="0076467C"/>
    <w:rsid w:val="00AE172C"/>
    <w:rsid w:val="00C1567B"/>
    <w:rsid w:val="00D013D4"/>
    <w:rsid w:val="00D52DF4"/>
    <w:rsid w:val="00D92178"/>
    <w:rsid w:val="00DF6B98"/>
    <w:rsid w:val="00EC320E"/>
    <w:rsid w:val="00ED759C"/>
    <w:rsid w:val="00F36D02"/>
    <w:rsid w:val="00FF7F71"/>
    <w:rsid w:val="4F6B7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footer"/>
    <w:basedOn w:val="1"/>
    <w:link w:val="8"/>
    <w:uiPriority w:val="0"/>
    <w:pPr>
      <w:tabs>
        <w:tab w:val="center" w:pos="4153"/>
        <w:tab w:val="right" w:pos="8306"/>
      </w:tabs>
      <w:suppressAutoHyphens/>
      <w:snapToGrid w:val="0"/>
      <w:jc w:val="left"/>
    </w:pPr>
    <w:rPr>
      <w:rFonts w:ascii="Calibri" w:hAnsi="Calibri" w:eastAsia="宋体" w:cs="Times New Roman"/>
      <w:sz w:val="18"/>
      <w:szCs w:val="24"/>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日期 Char"/>
    <w:basedOn w:val="6"/>
    <w:link w:val="2"/>
    <w:semiHidden/>
    <w:uiPriority w:val="99"/>
  </w:style>
  <w:style w:type="character" w:customStyle="1" w:styleId="8">
    <w:name w:val="页脚 Char"/>
    <w:basedOn w:val="6"/>
    <w:link w:val="3"/>
    <w:uiPriority w:val="0"/>
    <w:rPr>
      <w:rFonts w:ascii="Calibri" w:hAnsi="Calibri" w:eastAsia="宋体" w:cs="Times New Roman"/>
      <w:sz w:val="18"/>
      <w:szCs w:val="24"/>
    </w:rPr>
  </w:style>
  <w:style w:type="character" w:customStyle="1" w:styleId="9">
    <w:name w:val="font01"/>
    <w:basedOn w:val="6"/>
    <w:uiPriority w:val="0"/>
    <w:rPr>
      <w:rFonts w:hint="eastAsia" w:ascii="仿宋_GB2312" w:eastAsia="仿宋_GB2312" w:cs="仿宋_GB2312"/>
      <w:b/>
      <w:color w:val="000000"/>
      <w:sz w:val="24"/>
      <w:szCs w:val="24"/>
      <w:u w:val="none"/>
    </w:rPr>
  </w:style>
  <w:style w:type="character" w:customStyle="1" w:styleId="10">
    <w:name w:val="font11"/>
    <w:basedOn w:val="6"/>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E46D8B-90B2-44B2-89F0-A78542B6311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3088</Words>
  <Characters>3190</Characters>
  <Lines>24</Lines>
  <Paragraphs>7</Paragraphs>
  <TotalTime>415</TotalTime>
  <ScaleCrop>false</ScaleCrop>
  <LinksUpToDate>false</LinksUpToDate>
  <CharactersWithSpaces>3224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2022-12-15T00:54:00Z</dcterms:created>
  <dc:creator>freeuser</dc:creator>
  <cp:lastModifiedBy>徐薄荷</cp:lastModifiedBy>
  <dcterms:modified xsi:type="dcterms:W3CDTF">2022-12-15T08:23:11Z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86B2019AA9D849ADB9454F08211DBEEE</vt:lpwstr>
  </property>
</Properties>
</file>