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hAnsi="微软雅黑" w:eastAsia="微软雅黑" w:cs="宋体"/>
          <w:kern w:val="36"/>
          <w:sz w:val="45"/>
          <w:szCs w:val="45"/>
        </w:rPr>
      </w:pPr>
    </w:p>
    <w:p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hAnsi="微软雅黑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36"/>
          <w:sz w:val="44"/>
          <w:szCs w:val="44"/>
        </w:rPr>
        <w:t>养老机构投资指南</w:t>
      </w: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一、投资环境</w:t>
      </w:r>
    </w:p>
    <w:p>
      <w:pPr>
        <w:widowControl/>
        <w:shd w:val="clear" w:color="auto" w:fill="FFFFFF"/>
        <w:spacing w:line="540" w:lineRule="atLeast"/>
        <w:ind w:firstLine="6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截止202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年12月底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，全区总人口61.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万人，其中60岁以上老年人口15.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万人，人口老龄化比率达25.2%。全区共有养老机构9家，设计养老床位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2865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张，其中护理型养老床位占比为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%。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二、申请条件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、文物勘探、水源地保护等相关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5.法律法规规定的其他条件。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办理部门：临淄区民政局救助养老和社会事务科，咨询电话：0533-7220394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ZDMzNjg4MTUxYjAzZDAxOTQwMWEyOGJiY2FiMTQifQ=="/>
  </w:docVars>
  <w:rsids>
    <w:rsidRoot w:val="00ED5EEF"/>
    <w:rsid w:val="00155F76"/>
    <w:rsid w:val="002A63D3"/>
    <w:rsid w:val="0041707C"/>
    <w:rsid w:val="00476097"/>
    <w:rsid w:val="005D1D84"/>
    <w:rsid w:val="00667B62"/>
    <w:rsid w:val="00BD50C1"/>
    <w:rsid w:val="00D9188B"/>
    <w:rsid w:val="00ED5EEF"/>
    <w:rsid w:val="00EF442D"/>
    <w:rsid w:val="3EC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iz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607</Words>
  <Characters>655</Characters>
  <Lines>4</Lines>
  <Paragraphs>1</Paragraphs>
  <TotalTime>21</TotalTime>
  <ScaleCrop>false</ScaleCrop>
  <LinksUpToDate>false</LinksUpToDate>
  <CharactersWithSpaces>656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2021-04-13T03:57:00Z</dcterms:created>
  <dc:creator>dell</dc:creator>
  <cp:lastModifiedBy>徐薄荷</cp:lastModifiedBy>
  <dcterms:modified xsi:type="dcterms:W3CDTF">2022-11-30T03:42:26Z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EFE845D24A5F48279E9DF92952DB111C</vt:lpwstr>
  </property>
</Properties>
</file>