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DB001">
      <w:pPr>
        <w:pStyle w:val="3"/>
        <w:rPr>
          <w:rFonts w:ascii="宋体" w:hAnsi="宋体" w:eastAsia="宋体"/>
          <w:b/>
        </w:rPr>
      </w:pPr>
      <w:bookmarkStart w:id="0" w:name="_Toc41469252"/>
      <w:r>
        <w:rPr>
          <w:rFonts w:hint="eastAsia" w:ascii="宋体" w:hAnsi="宋体" w:eastAsia="宋体"/>
          <w:b/>
          <w:lang w:val="en-US" w:eastAsia="zh-CN"/>
        </w:rPr>
        <w:t>1</w:t>
      </w:r>
      <w:r>
        <w:rPr>
          <w:rFonts w:hint="eastAsia" w:ascii="宋体" w:hAnsi="宋体" w:eastAsia="宋体"/>
          <w:b/>
        </w:rPr>
        <w:t>.</w:t>
      </w:r>
      <w:r>
        <w:rPr>
          <w:rFonts w:hint="eastAsia" w:ascii="宋体" w:hAnsi="宋体" w:eastAsia="宋体"/>
          <w:b/>
          <w:lang w:eastAsia="zh-CN"/>
        </w:rPr>
        <w:t>区划地名</w:t>
      </w:r>
      <w:r>
        <w:rPr>
          <w:rFonts w:hint="eastAsia" w:ascii="宋体" w:hAnsi="宋体" w:eastAsia="宋体"/>
          <w:b/>
        </w:rPr>
        <w:t>科基层群众性自治组织特别法人统一社会信用代码证发放工作流程</w:t>
      </w:r>
      <w:bookmarkEnd w:id="0"/>
    </w:p>
    <w:p w14:paraId="692C68AD">
      <w:pPr>
        <w:spacing w:line="560" w:lineRule="exact"/>
        <w:jc w:val="center"/>
        <w:rPr>
          <w:rFonts w:ascii="仿宋_GB2312" w:eastAsia="仿宋_GB2312"/>
          <w:sz w:val="32"/>
          <w:szCs w:val="32"/>
        </w:rPr>
      </w:pPr>
    </w:p>
    <w:p w14:paraId="35EBD008">
      <w:pPr>
        <w:numPr>
          <w:ilvl w:val="0"/>
          <w:numId w:val="1"/>
        </w:numPr>
        <w:spacing w:line="560" w:lineRule="exact"/>
        <w:rPr>
          <w:rFonts w:ascii="黑体" w:hAnsi="黑体" w:eastAsia="黑体"/>
          <w:sz w:val="32"/>
          <w:szCs w:val="32"/>
        </w:rPr>
      </w:pPr>
      <w:r>
        <w:rPr>
          <w:rFonts w:hint="eastAsia" w:ascii="黑体" w:hAnsi="黑体" w:eastAsia="黑体"/>
          <w:sz w:val="32"/>
          <w:szCs w:val="32"/>
        </w:rPr>
        <w:t>事项名称</w:t>
      </w:r>
    </w:p>
    <w:p w14:paraId="2385EA44">
      <w:pPr>
        <w:spacing w:line="560" w:lineRule="exact"/>
        <w:ind w:firstLine="640" w:firstLineChars="200"/>
        <w:rPr>
          <w:rFonts w:ascii="仿宋_GB2312" w:eastAsia="仿宋_GB2312"/>
          <w:sz w:val="32"/>
          <w:szCs w:val="32"/>
        </w:rPr>
      </w:pPr>
      <w:r>
        <w:rPr>
          <w:rFonts w:hint="eastAsia" w:ascii="仿宋_GB2312" w:eastAsia="仿宋_GB2312"/>
          <w:sz w:val="32"/>
          <w:szCs w:val="32"/>
        </w:rPr>
        <w:t>基层群众性自治组织特别法人统一社会信用代码证发放工作</w:t>
      </w:r>
    </w:p>
    <w:p w14:paraId="1263B5A5">
      <w:pPr>
        <w:spacing w:line="560" w:lineRule="exact"/>
        <w:ind w:firstLine="640" w:firstLineChars="200"/>
        <w:rPr>
          <w:rFonts w:ascii="黑体" w:hAnsi="黑体" w:eastAsia="黑体"/>
          <w:sz w:val="32"/>
          <w:szCs w:val="32"/>
        </w:rPr>
      </w:pPr>
      <w:r>
        <w:rPr>
          <w:rFonts w:hint="eastAsia" w:ascii="黑体" w:hAnsi="黑体" w:eastAsia="黑体"/>
          <w:sz w:val="32"/>
          <w:szCs w:val="32"/>
        </w:rPr>
        <w:t>二、岗位规范</w:t>
      </w:r>
    </w:p>
    <w:p w14:paraId="44DA3630">
      <w:pPr>
        <w:spacing w:line="560" w:lineRule="exact"/>
        <w:ind w:firstLine="640" w:firstLineChars="200"/>
        <w:rPr>
          <w:rFonts w:ascii="仿宋_GB2312" w:eastAsia="仿宋_GB2312"/>
          <w:sz w:val="32"/>
          <w:szCs w:val="32"/>
        </w:rPr>
      </w:pPr>
      <w:r>
        <w:rPr>
          <w:rFonts w:hint="eastAsia" w:ascii="仿宋_GB2312" w:eastAsia="仿宋_GB2312"/>
          <w:sz w:val="32"/>
          <w:szCs w:val="32"/>
        </w:rPr>
        <w:t>1.了解</w:t>
      </w:r>
      <w:r>
        <w:rPr>
          <w:rFonts w:hint="eastAsia" w:ascii="仿宋_GB2312" w:eastAsia="仿宋_GB2312"/>
          <w:sz w:val="32"/>
          <w:szCs w:val="32"/>
          <w:lang w:eastAsia="zh-CN"/>
        </w:rPr>
        <w:t>临淄</w:t>
      </w:r>
      <w:r>
        <w:rPr>
          <w:rFonts w:hint="eastAsia" w:ascii="仿宋_GB2312" w:eastAsia="仿宋_GB2312"/>
          <w:sz w:val="32"/>
          <w:szCs w:val="32"/>
        </w:rPr>
        <w:t>区村、社区基本情况，熟悉村居换届选举相应要求和规程。</w:t>
      </w:r>
    </w:p>
    <w:p w14:paraId="1CA379F2">
      <w:pPr>
        <w:spacing w:line="560" w:lineRule="exact"/>
        <w:ind w:firstLine="640" w:firstLineChars="200"/>
        <w:rPr>
          <w:rFonts w:ascii="仿宋_GB2312" w:eastAsia="仿宋_GB2312"/>
          <w:sz w:val="32"/>
          <w:szCs w:val="32"/>
        </w:rPr>
      </w:pPr>
      <w:r>
        <w:rPr>
          <w:rFonts w:hint="eastAsia" w:ascii="仿宋_GB2312" w:eastAsia="仿宋_GB2312"/>
          <w:sz w:val="32"/>
          <w:szCs w:val="32"/>
        </w:rPr>
        <w:t>2.掌握网上登记、线下打印和基本分析能力。</w:t>
      </w:r>
    </w:p>
    <w:p w14:paraId="3423FA88">
      <w:pPr>
        <w:spacing w:line="560" w:lineRule="exact"/>
        <w:ind w:firstLine="640" w:firstLineChars="200"/>
        <w:rPr>
          <w:rFonts w:ascii="仿宋_GB2312" w:eastAsia="仿宋_GB2312"/>
          <w:sz w:val="32"/>
          <w:szCs w:val="32"/>
        </w:rPr>
      </w:pPr>
      <w:r>
        <w:rPr>
          <w:rFonts w:hint="eastAsia" w:ascii="仿宋_GB2312" w:eastAsia="仿宋_GB2312"/>
          <w:sz w:val="32"/>
          <w:szCs w:val="32"/>
        </w:rPr>
        <w:t>3.具有良好的服务意识、保密意识和责任感。</w:t>
      </w:r>
    </w:p>
    <w:p w14:paraId="04A83D9C">
      <w:pPr>
        <w:spacing w:line="560" w:lineRule="exact"/>
        <w:ind w:firstLine="640" w:firstLineChars="200"/>
        <w:rPr>
          <w:rFonts w:ascii="黑体" w:hAnsi="黑体" w:eastAsia="黑体"/>
          <w:sz w:val="32"/>
          <w:szCs w:val="32"/>
        </w:rPr>
      </w:pPr>
      <w:r>
        <w:rPr>
          <w:rFonts w:hint="eastAsia" w:ascii="黑体" w:hAnsi="黑体" w:eastAsia="黑体"/>
          <w:sz w:val="32"/>
          <w:szCs w:val="32"/>
        </w:rPr>
        <w:t>三、流程标准</w:t>
      </w:r>
    </w:p>
    <w:p w14:paraId="3F2B2393">
      <w:pPr>
        <w:spacing w:line="560" w:lineRule="exact"/>
        <w:ind w:firstLine="640" w:firstLineChars="200"/>
        <w:rPr>
          <w:rFonts w:ascii="仿宋_GB2312" w:eastAsia="仿宋_GB2312"/>
          <w:sz w:val="32"/>
          <w:szCs w:val="32"/>
        </w:rPr>
      </w:pPr>
      <w:r>
        <w:rPr>
          <w:rFonts w:hint="eastAsia" w:ascii="楷体_GB2312" w:hAnsi="黑体" w:eastAsia="仿宋_GB2312"/>
          <w:sz w:val="32"/>
          <w:szCs w:val="32"/>
        </w:rPr>
        <w:t>1.接收街道办事处或社区更换或发放</w:t>
      </w:r>
      <w:r>
        <w:rPr>
          <w:rFonts w:hint="eastAsia" w:ascii="仿宋_GB2312" w:eastAsia="仿宋_GB2312"/>
          <w:sz w:val="32"/>
          <w:szCs w:val="32"/>
        </w:rPr>
        <w:t>基层群众性自治组织特别法人统一社会信用代码证的申请。</w:t>
      </w:r>
    </w:p>
    <w:p w14:paraId="4C575273">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2.核对申请街道办事处或社区提供的原代码证原件（更换时）或换届选举结果报告单（新发放时）的真实、准确及合法性。</w:t>
      </w:r>
    </w:p>
    <w:p w14:paraId="05541229">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3.经核对后对符合规定的申请进行网上登记，更新数据库资料。</w:t>
      </w:r>
    </w:p>
    <w:p w14:paraId="6654F6E1">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4.按照统一制式打印代码证书并加盖公章，由申请街道办事处或社区进行领取备案后发放。</w:t>
      </w:r>
    </w:p>
    <w:p w14:paraId="2A1DB2E4">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5.收回的原代码证原件（更换时）进行登记作废。</w:t>
      </w:r>
    </w:p>
    <w:p w14:paraId="6B2686BC">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14:paraId="0DA19D2E">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14:paraId="1D6738AA">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bookmarkStart w:id="5" w:name="_GoBack"/>
      <w:bookmarkEnd w:id="5"/>
    </w:p>
    <w:p w14:paraId="67990C59">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14:paraId="04161589">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14:paraId="1F98AC37">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14:paraId="385595BF">
      <w:pPr>
        <w:spacing w:line="560" w:lineRule="exact"/>
        <w:ind w:firstLine="645"/>
        <w:rPr>
          <w:rFonts w:ascii="仿宋_GB2312" w:hAnsi="仿宋" w:eastAsia="仿宋_GB2312" w:cs="仿宋"/>
          <w:sz w:val="32"/>
          <w:szCs w:val="32"/>
        </w:rPr>
      </w:pPr>
    </w:p>
    <w:p w14:paraId="146E0084">
      <w:pPr>
        <w:spacing w:line="560" w:lineRule="exact"/>
      </w:pPr>
    </w:p>
    <w:p w14:paraId="3297256B">
      <w:pPr>
        <w:spacing w:line="560" w:lineRule="exact"/>
      </w:pPr>
    </w:p>
    <w:p w14:paraId="7DC50BAB">
      <w:pPr>
        <w:spacing w:line="560" w:lineRule="exact"/>
      </w:pPr>
    </w:p>
    <w:p w14:paraId="41BC8451">
      <w:pPr>
        <w:spacing w:line="560" w:lineRule="exact"/>
      </w:pPr>
    </w:p>
    <w:p w14:paraId="0BCA4E0C">
      <w:pPr>
        <w:spacing w:line="560" w:lineRule="exact"/>
      </w:pPr>
    </w:p>
    <w:p w14:paraId="7534AF2A">
      <w:pPr>
        <w:spacing w:line="560" w:lineRule="exact"/>
      </w:pPr>
    </w:p>
    <w:p w14:paraId="7CCF88AE">
      <w:pPr>
        <w:spacing w:line="560" w:lineRule="exact"/>
      </w:pPr>
    </w:p>
    <w:p w14:paraId="4A35DE4A">
      <w:pPr>
        <w:spacing w:line="560" w:lineRule="exact"/>
      </w:pPr>
    </w:p>
    <w:p w14:paraId="32C95C48">
      <w:pPr>
        <w:spacing w:line="560" w:lineRule="exact"/>
      </w:pPr>
    </w:p>
    <w:p w14:paraId="36865D7A">
      <w:pPr>
        <w:spacing w:line="560" w:lineRule="exact"/>
      </w:pPr>
    </w:p>
    <w:p w14:paraId="7281816F">
      <w:pPr>
        <w:spacing w:line="560" w:lineRule="exact"/>
      </w:pPr>
    </w:p>
    <w:p w14:paraId="60336EB7">
      <w:pPr>
        <w:spacing w:line="560" w:lineRule="exact"/>
      </w:pPr>
    </w:p>
    <w:p w14:paraId="0DA46D32">
      <w:pPr>
        <w:spacing w:line="560" w:lineRule="exact"/>
      </w:pPr>
    </w:p>
    <w:p w14:paraId="1987242B">
      <w:pPr>
        <w:spacing w:line="560" w:lineRule="exact"/>
      </w:pPr>
    </w:p>
    <w:p w14:paraId="0E87ED75">
      <w:pPr>
        <w:pStyle w:val="3"/>
        <w:rPr>
          <w:rFonts w:ascii="宋体" w:hAnsi="宋体" w:eastAsia="宋体"/>
          <w:b/>
        </w:rPr>
      </w:pPr>
      <w:bookmarkStart w:id="1" w:name="_Toc41469253"/>
      <w:r>
        <w:rPr>
          <w:rFonts w:hint="eastAsia" w:ascii="宋体" w:hAnsi="宋体" w:eastAsia="宋体"/>
          <w:b/>
          <w:lang w:val="en-US" w:eastAsia="zh-CN"/>
        </w:rPr>
        <w:t>2</w:t>
      </w:r>
      <w:r>
        <w:rPr>
          <w:rFonts w:hint="eastAsia" w:ascii="宋体" w:hAnsi="宋体" w:eastAsia="宋体"/>
          <w:b/>
        </w:rPr>
        <w:t>.社会组织管理科区属社会团体监督管理职责岗位规范工作流程</w:t>
      </w:r>
      <w:bookmarkEnd w:id="1"/>
    </w:p>
    <w:p w14:paraId="24F6D03F">
      <w:pPr>
        <w:spacing w:line="560" w:lineRule="exact"/>
        <w:ind w:firstLine="640" w:firstLineChars="200"/>
        <w:rPr>
          <w:rFonts w:ascii="黑体" w:hAnsi="黑体" w:eastAsia="黑体" w:cs="仿宋"/>
          <w:sz w:val="32"/>
          <w:szCs w:val="32"/>
        </w:rPr>
      </w:pPr>
    </w:p>
    <w:p w14:paraId="06A70DDA">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14:paraId="2E0C8EED">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负责区属社会团体监督管理工作，按照管理权限对社会团体进行管理。</w:t>
      </w:r>
    </w:p>
    <w:p w14:paraId="5B2A3D8E">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14:paraId="27127704">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（一）熟悉并掌握《社会团体登记管理条例》等法律法规和具体工作要求、标准。</w:t>
      </w:r>
    </w:p>
    <w:p w14:paraId="545E40A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（二）组织开展社会团体评估工作，指导社会团体规范化建设，促进社会组织依法、规范、有序承接和履行政府职能部门转移或委托的有关职能。</w:t>
      </w:r>
    </w:p>
    <w:p w14:paraId="1528BA6A">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（三）负责社会团体信用管理工作，推动、支持社会团体参与社会治理和公共服务，承担全区性社会组织信息化管理工作，协助开展社会团体党组织建设。</w:t>
      </w:r>
    </w:p>
    <w:p w14:paraId="233B54F0">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14:paraId="61646CCF">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14:paraId="6C153C40">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社会团体评估流程：</w:t>
      </w:r>
    </w:p>
    <w:p w14:paraId="69021A48">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1.申请初核。凡符合条件且自愿参加评估的区属社会组织，按照要求填写《社会组织评估申请表》,将申请表报送至评估办公室，并将电子表格发送至邮箱</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评估办公室负责审核社会组织参评资格</w:t>
      </w:r>
      <w:r>
        <w:rPr>
          <w:rFonts w:hint="eastAsia" w:ascii="仿宋_GB2312" w:hAnsi="仿宋" w:eastAsia="仿宋_GB2312" w:cs="仿宋"/>
          <w:sz w:val="32"/>
          <w:szCs w:val="32"/>
          <w:lang w:eastAsia="zh-CN"/>
        </w:rPr>
        <w:t>。</w:t>
      </w:r>
    </w:p>
    <w:p w14:paraId="21C62B58">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2.自我评估。符合参评条件的社会组织对照评估指标进行自评，准备评估材料并装订成册，报送评估办公室。</w:t>
      </w:r>
    </w:p>
    <w:p w14:paraId="24DE4D11">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3.实地评估。在对参加评估的社会组织提交的自评材料进行审核后，由评估办公室组织人员对参评社会组织进行实地考察和初评，并将初评结果报评估委员会。</w:t>
      </w:r>
    </w:p>
    <w:p w14:paraId="203F86F6">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4.审核公示。评估委员会审议，并将审议初评结果向社会进行公示；复核委员会受理复核申请和举报，提出复核意见并向社会公示。</w:t>
      </w:r>
    </w:p>
    <w:p w14:paraId="2174C345">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5.公告颁证。登记管理机关按照评估委员会和复核委员会的审议结果，授予评估等级，向社会公告，并颁发证书和牌匾。</w:t>
      </w:r>
    </w:p>
    <w:p w14:paraId="7D33D5D5">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14:paraId="32D371D2">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14:paraId="175E1735">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14:paraId="4D7DDF0D">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val="en-US" w:eastAsia="zh-CN"/>
        </w:rPr>
        <w:t>张晓静</w:t>
      </w:r>
    </w:p>
    <w:p w14:paraId="2CCCF3D0">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14:paraId="72BCEF4C">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14:paraId="4FC79D32">
      <w:pPr>
        <w:spacing w:line="560" w:lineRule="exact"/>
        <w:ind w:firstLine="640" w:firstLineChars="200"/>
        <w:rPr>
          <w:rFonts w:ascii="黑体" w:hAnsi="黑体" w:eastAsia="黑体" w:cs="仿宋"/>
          <w:sz w:val="32"/>
          <w:szCs w:val="32"/>
        </w:rPr>
      </w:pPr>
    </w:p>
    <w:p w14:paraId="1D13C62A">
      <w:pPr>
        <w:spacing w:line="560" w:lineRule="exact"/>
        <w:ind w:firstLine="640" w:firstLineChars="200"/>
        <w:rPr>
          <w:rFonts w:ascii="黑体" w:hAnsi="黑体" w:eastAsia="黑体" w:cs="仿宋"/>
          <w:sz w:val="32"/>
          <w:szCs w:val="32"/>
        </w:rPr>
      </w:pPr>
    </w:p>
    <w:p w14:paraId="6AAEDA13">
      <w:pPr>
        <w:pStyle w:val="3"/>
        <w:jc w:val="both"/>
        <w:rPr>
          <w:rFonts w:hint="eastAsia" w:ascii="宋体" w:hAnsi="宋体" w:eastAsia="宋体"/>
          <w:b/>
        </w:rPr>
      </w:pPr>
      <w:bookmarkStart w:id="2" w:name="_Toc41469254"/>
    </w:p>
    <w:p w14:paraId="2CA11AB9">
      <w:pPr>
        <w:rPr>
          <w:rFonts w:hint="eastAsia"/>
        </w:rPr>
      </w:pPr>
    </w:p>
    <w:p w14:paraId="360A138A">
      <w:pPr>
        <w:pStyle w:val="3"/>
        <w:rPr>
          <w:rFonts w:ascii="宋体" w:hAnsi="宋体" w:eastAsia="宋体"/>
          <w:b/>
        </w:rPr>
      </w:pPr>
      <w:r>
        <w:rPr>
          <w:rFonts w:hint="eastAsia" w:ascii="宋体" w:hAnsi="宋体" w:eastAsia="宋体"/>
          <w:b/>
          <w:lang w:val="en-US" w:eastAsia="zh-CN"/>
        </w:rPr>
        <w:t>3</w:t>
      </w:r>
      <w:r>
        <w:rPr>
          <w:rFonts w:hint="eastAsia" w:ascii="宋体" w:hAnsi="宋体" w:eastAsia="宋体"/>
          <w:b/>
        </w:rPr>
        <w:t>.社会组织管理科区属民办非企业单位监督管理职责岗位规范工作流程</w:t>
      </w:r>
      <w:bookmarkEnd w:id="2"/>
    </w:p>
    <w:p w14:paraId="2344E1E0">
      <w:pPr>
        <w:spacing w:line="560" w:lineRule="exact"/>
        <w:rPr>
          <w:rFonts w:ascii="黑体" w:hAnsi="黑体" w:eastAsia="黑体" w:cs="仿宋"/>
          <w:sz w:val="32"/>
          <w:szCs w:val="32"/>
        </w:rPr>
      </w:pPr>
    </w:p>
    <w:p w14:paraId="0909E490">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14:paraId="39E068F2">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负责区属民办非企业单位监督管理工作，按照管理权限对民办非企业单位进行管理。</w:t>
      </w:r>
    </w:p>
    <w:p w14:paraId="68839CBA">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14:paraId="74F7E96A">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（一）熟悉并掌握《民办非企业单位登记管理暂行条例》等法律法规和具体工作要求、标准。</w:t>
      </w:r>
    </w:p>
    <w:p w14:paraId="27F08AE9">
      <w:pPr>
        <w:spacing w:line="56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rPr>
        <w:t>（二）指导民办非企业单位规范化建设</w:t>
      </w:r>
      <w:r>
        <w:rPr>
          <w:rFonts w:hint="eastAsia" w:ascii="仿宋_GB2312" w:hAnsi="仿宋" w:eastAsia="仿宋_GB2312" w:cs="仿宋"/>
          <w:sz w:val="32"/>
          <w:szCs w:val="32"/>
          <w:lang w:eastAsia="zh-CN"/>
        </w:rPr>
        <w:t>。</w:t>
      </w:r>
    </w:p>
    <w:p w14:paraId="50B30FE1">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（三）承担民办非企业单位培训、服务等工作，协助开展民办非企业单位党组织建设。</w:t>
      </w:r>
    </w:p>
    <w:p w14:paraId="71BDFB1F">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14:paraId="6B6B49F7">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14:paraId="462BC8AA">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民办非企业单位评估流程：</w:t>
      </w:r>
    </w:p>
    <w:p w14:paraId="2C9F529A">
      <w:pPr>
        <w:widowControl/>
        <w:numPr>
          <w:ilvl w:val="0"/>
          <w:numId w:val="0"/>
        </w:numPr>
        <w:spacing w:line="560" w:lineRule="exact"/>
        <w:ind w:firstLine="640" w:firstLineChars="200"/>
        <w:jc w:val="left"/>
        <w:rPr>
          <w:rFonts w:hint="eastAsia" w:ascii="仿宋_GB2312" w:hAnsi="仿宋" w:eastAsia="仿宋_GB2312" w:cs="仿宋"/>
          <w:sz w:val="32"/>
          <w:szCs w:val="32"/>
          <w:lang w:eastAsia="zh-CN"/>
        </w:rPr>
      </w:pPr>
      <w:r>
        <w:rPr>
          <w:rFonts w:hint="eastAsia" w:ascii="仿宋_GB2312" w:hAnsi="仿宋" w:eastAsia="仿宋_GB2312" w:cs="仿宋"/>
          <w:sz w:val="32"/>
          <w:szCs w:val="32"/>
          <w:lang w:val="en-US" w:eastAsia="zh-CN"/>
        </w:rPr>
        <w:t>1.</w:t>
      </w:r>
      <w:r>
        <w:rPr>
          <w:rFonts w:hint="eastAsia" w:ascii="仿宋_GB2312" w:hAnsi="仿宋" w:eastAsia="仿宋_GB2312" w:cs="仿宋"/>
          <w:sz w:val="32"/>
          <w:szCs w:val="32"/>
        </w:rPr>
        <w:t>申请初核。凡符合条件且自愿参加评估的区属社会组织，按照要求填写《社会组织评估申请表》,将申请表报送至评估办公室，并将电子表格发送至邮箱</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评估办公室负责审核社会组织参评资格</w:t>
      </w:r>
      <w:r>
        <w:rPr>
          <w:rFonts w:hint="eastAsia" w:ascii="仿宋_GB2312" w:hAnsi="仿宋" w:eastAsia="仿宋_GB2312" w:cs="仿宋"/>
          <w:sz w:val="32"/>
          <w:szCs w:val="32"/>
          <w:lang w:eastAsia="zh-CN"/>
        </w:rPr>
        <w:t>。</w:t>
      </w:r>
    </w:p>
    <w:p w14:paraId="6FE9372C">
      <w:pPr>
        <w:widowControl/>
        <w:numPr>
          <w:ilvl w:val="0"/>
          <w:numId w:val="0"/>
        </w:num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2.自我评估。符合参评条件的社会组织对照评估指标进行自评，准备评估材料并装订成册，报送评估办公室。</w:t>
      </w:r>
    </w:p>
    <w:p w14:paraId="4BD9FCB6">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3.实地评估。在对参加评估的社会组织提交的自评材料进行审核后，由评估办公室组织人员对参评社会组织进行实地考察和初评，并将初评结果报评估委员会。</w:t>
      </w:r>
    </w:p>
    <w:p w14:paraId="46C485EE">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4.审核公示。评估委员会审议，并将审议初评结果向社会进行公示；复核委员会受理复核申请和举报，提出复核意见并向社会公示。</w:t>
      </w:r>
    </w:p>
    <w:p w14:paraId="71C9B99F">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5.公告颁证。登记管理机关按照评估委员会和复核委员会的审议结果，授予评估等级，向社会公告，并颁发证书和牌匾。</w:t>
      </w:r>
    </w:p>
    <w:p w14:paraId="7AAF1463">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14:paraId="68893637">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14:paraId="1EF420C7">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14:paraId="6E0C361A">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val="en-US" w:eastAsia="zh-CN"/>
        </w:rPr>
        <w:t>张晓静</w:t>
      </w:r>
    </w:p>
    <w:p w14:paraId="431A150C">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14:paraId="791C4FAF">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14:paraId="2CB9F57D">
      <w:pPr>
        <w:adjustRightInd w:val="0"/>
        <w:snapToGrid w:val="0"/>
        <w:spacing w:line="560" w:lineRule="exact"/>
        <w:ind w:firstLine="627" w:firstLineChars="196"/>
        <w:rPr>
          <w:rFonts w:ascii="仿宋_GB2312" w:hAnsi="仿宋" w:eastAsia="仿宋_GB2312"/>
          <w:sz w:val="32"/>
          <w:szCs w:val="32"/>
        </w:rPr>
      </w:pPr>
    </w:p>
    <w:p w14:paraId="0D5EFC9F">
      <w:pPr>
        <w:adjustRightInd w:val="0"/>
        <w:snapToGrid w:val="0"/>
        <w:spacing w:line="560" w:lineRule="exact"/>
        <w:ind w:firstLine="627" w:firstLineChars="196"/>
        <w:rPr>
          <w:rFonts w:ascii="仿宋_GB2312" w:hAnsi="仿宋" w:eastAsia="仿宋_GB2312"/>
          <w:sz w:val="32"/>
          <w:szCs w:val="32"/>
        </w:rPr>
      </w:pPr>
    </w:p>
    <w:p w14:paraId="1133C6E9">
      <w:pPr>
        <w:adjustRightInd w:val="0"/>
        <w:snapToGrid w:val="0"/>
        <w:spacing w:line="560" w:lineRule="exact"/>
        <w:ind w:firstLine="627" w:firstLineChars="196"/>
        <w:rPr>
          <w:rFonts w:ascii="仿宋_GB2312" w:hAnsi="仿宋" w:eastAsia="仿宋_GB2312"/>
          <w:sz w:val="32"/>
          <w:szCs w:val="32"/>
        </w:rPr>
      </w:pPr>
    </w:p>
    <w:p w14:paraId="46CE006E">
      <w:pPr>
        <w:adjustRightInd w:val="0"/>
        <w:snapToGrid w:val="0"/>
        <w:spacing w:line="560" w:lineRule="exact"/>
        <w:ind w:firstLine="627" w:firstLineChars="196"/>
        <w:rPr>
          <w:rFonts w:ascii="仿宋_GB2312" w:hAnsi="仿宋" w:eastAsia="仿宋_GB2312"/>
          <w:sz w:val="32"/>
          <w:szCs w:val="32"/>
        </w:rPr>
      </w:pPr>
    </w:p>
    <w:p w14:paraId="1E69E26F">
      <w:pPr>
        <w:adjustRightInd w:val="0"/>
        <w:snapToGrid w:val="0"/>
        <w:spacing w:line="560" w:lineRule="exact"/>
        <w:ind w:firstLine="627" w:firstLineChars="196"/>
        <w:rPr>
          <w:rFonts w:ascii="仿宋_GB2312" w:hAnsi="仿宋" w:eastAsia="仿宋_GB2312"/>
          <w:sz w:val="32"/>
          <w:szCs w:val="32"/>
        </w:rPr>
      </w:pPr>
    </w:p>
    <w:p w14:paraId="34C516AC">
      <w:pPr>
        <w:adjustRightInd w:val="0"/>
        <w:snapToGrid w:val="0"/>
        <w:spacing w:line="560" w:lineRule="exact"/>
        <w:ind w:firstLine="627" w:firstLineChars="196"/>
        <w:rPr>
          <w:rFonts w:ascii="仿宋_GB2312" w:hAnsi="仿宋" w:eastAsia="仿宋_GB2312"/>
          <w:sz w:val="32"/>
          <w:szCs w:val="32"/>
        </w:rPr>
      </w:pPr>
    </w:p>
    <w:p w14:paraId="28788D94">
      <w:pPr>
        <w:adjustRightInd w:val="0"/>
        <w:snapToGrid w:val="0"/>
        <w:spacing w:line="560" w:lineRule="exact"/>
        <w:ind w:firstLine="627" w:firstLineChars="196"/>
        <w:rPr>
          <w:rFonts w:ascii="仿宋_GB2312" w:hAnsi="仿宋" w:eastAsia="仿宋_GB2312"/>
          <w:sz w:val="32"/>
          <w:szCs w:val="32"/>
        </w:rPr>
      </w:pPr>
    </w:p>
    <w:p w14:paraId="353708B3">
      <w:pPr>
        <w:pStyle w:val="3"/>
        <w:rPr>
          <w:rFonts w:ascii="宋体" w:hAnsi="宋体" w:eastAsia="宋体"/>
          <w:b/>
        </w:rPr>
      </w:pPr>
      <w:bookmarkStart w:id="3" w:name="_Toc41469256"/>
      <w:r>
        <w:rPr>
          <w:rFonts w:hint="eastAsia" w:ascii="宋体" w:hAnsi="宋体" w:eastAsia="宋体"/>
          <w:b/>
          <w:lang w:val="en-US" w:eastAsia="zh-CN"/>
        </w:rPr>
        <w:t>4</w:t>
      </w:r>
      <w:r>
        <w:rPr>
          <w:rFonts w:hint="eastAsia" w:ascii="宋体" w:hAnsi="宋体" w:eastAsia="宋体"/>
          <w:b/>
        </w:rPr>
        <w:t>.社会组织管理科区属社会团体执法监督职责岗位规范工作流程</w:t>
      </w:r>
      <w:bookmarkEnd w:id="3"/>
    </w:p>
    <w:p w14:paraId="0C69F106">
      <w:pPr>
        <w:spacing w:line="560" w:lineRule="exact"/>
        <w:rPr>
          <w:rFonts w:ascii="黑体" w:hAnsi="黑体" w:eastAsia="黑体" w:cs="仿宋"/>
          <w:sz w:val="32"/>
          <w:szCs w:val="32"/>
        </w:rPr>
      </w:pPr>
    </w:p>
    <w:p w14:paraId="2FA549BC">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14:paraId="3C5D841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负责对区属社会团体的行政执法监督工作。</w:t>
      </w:r>
    </w:p>
    <w:p w14:paraId="30DBEE11">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14:paraId="427D3FA2">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（一）熟悉并掌握《社会团体登记管理条例》等法律法规和具体工作要求、标准。</w:t>
      </w:r>
    </w:p>
    <w:p w14:paraId="0A3B6AE6">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（二）负责查处本区范围内未经核准登记擅自以社会团体名义进行活动的非法社会组织。</w:t>
      </w:r>
    </w:p>
    <w:p w14:paraId="64CF6B6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（三）监督社会团体活动，依法查处其违法违规行为，严格遵循法定程序,依法保障行政管理相对人、利害关系人的知情权、参与权和救济权。</w:t>
      </w:r>
    </w:p>
    <w:p w14:paraId="4584D5DB">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14:paraId="4F08FB25">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14:paraId="6070FCC2">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（一）立案</w:t>
      </w:r>
    </w:p>
    <w:p w14:paraId="376DCB83">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符合条件的，填写立案审批表，报登记管理机关负责人审批。</w:t>
      </w:r>
    </w:p>
    <w:p w14:paraId="5E493E9B">
      <w:pPr>
        <w:numPr>
          <w:ilvl w:val="0"/>
          <w:numId w:val="2"/>
        </w:num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调查取证</w:t>
      </w:r>
    </w:p>
    <w:p w14:paraId="0DFF8845">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调查和收集证据，制作案件调查终结报告，报法制工作机构审核后，报登记管理机关负责人审批，制作案件调查终结报告，拟定处罚意见。</w:t>
      </w:r>
    </w:p>
    <w:p w14:paraId="028F768B">
      <w:pPr>
        <w:spacing w:line="560" w:lineRule="exact"/>
        <w:ind w:firstLine="640" w:firstLineChars="200"/>
        <w:rPr>
          <w:rFonts w:ascii="仿宋_GB2312" w:hAnsi="仿宋" w:eastAsia="仿宋_GB2312" w:cs="仿宋"/>
          <w:sz w:val="32"/>
          <w:szCs w:val="32"/>
        </w:rPr>
      </w:pPr>
      <w:r>
        <w:rPr>
          <w:rFonts w:hint="eastAsia" w:ascii="楷体_GB2312" w:hAnsi="黑体" w:eastAsia="楷体_GB2312" w:cs="仿宋"/>
          <w:sz w:val="32"/>
          <w:szCs w:val="32"/>
        </w:rPr>
        <w:t>（三）行政处罚事先（听证）告知</w:t>
      </w:r>
    </w:p>
    <w:p w14:paraId="121B68D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告知当事人拟作出行政处罚的事实、理由及依据,并告知当事人依法享有陈述、申辩的权利和其他权利。送达行政处罚事先（听证）告知书，听取陈述、申辩意见，符合听证条件的，组织听证。</w:t>
      </w:r>
    </w:p>
    <w:p w14:paraId="6BB0F9FE">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（四）行政处罚决定</w:t>
      </w:r>
    </w:p>
    <w:p w14:paraId="1471A70A">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确有应受行政处罚的违法行为的，根据情节轻重及具体情况，作出行政处罚决定; 违法行为轻微，依法可以不予行政处罚的，不予行政处罚;违法事实不能成立的，不得给予行政处罚;违法行为涉嫌构成犯罪的，移送司法机关。负责人审查作出行政处罚决定，对案件情节复杂或者重大违法行为给予限期停止活动、撤销登记以及较大数额罚款等较重处罚的，登记管理机关的负责人应当集体讨论决定。</w:t>
      </w:r>
    </w:p>
    <w:p w14:paraId="4D139834">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作出行政处罚决定并送达当事人</w:t>
      </w:r>
    </w:p>
    <w:p w14:paraId="500C431D">
      <w:pPr>
        <w:spacing w:line="560" w:lineRule="exact"/>
        <w:ind w:firstLine="640" w:firstLineChars="200"/>
        <w:rPr>
          <w:rFonts w:ascii="仿宋_GB2312" w:hAnsi="仿宋" w:eastAsia="楷体_GB2312" w:cs="仿宋"/>
          <w:sz w:val="32"/>
          <w:szCs w:val="32"/>
        </w:rPr>
      </w:pPr>
      <w:r>
        <w:rPr>
          <w:rFonts w:hint="eastAsia" w:ascii="楷体_GB2312" w:hAnsi="黑体" w:eastAsia="楷体_GB2312" w:cs="仿宋"/>
          <w:sz w:val="32"/>
          <w:szCs w:val="32"/>
        </w:rPr>
        <w:t>（五）执行</w:t>
      </w:r>
    </w:p>
    <w:p w14:paraId="3014946E">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登记管理机关对当事人作出罚款处罚的，应当严格执行罚款收缴分离制度。登记管理机关及办案人员不得自行收缴罚款。当事人应当自收到行政处罚决定书之日起15日内到指定银行缴纳罚款。依法没收的非法财物，按照国家有关规定处理。社会组织被限期停止活动的，由登记管理机关封存登记证书(含正本、副本)、印章和财务凭证。停止活动的期间届满，社会组织应当向登记管理机关提交整改报告。登记管理机关依法责令社会组织撤换直接负责的主管人员的，社会组织应当在登记管理机关规定的期限内执行。登记管理机关对社会组织作出撤销登记决定的，应当收缴登记证书(含正本、副本)和印章。社会组织拒不缴回或者无法缴回的，登记管理机关可以公告作废。当事人逾期不履行行政处罚决定的，登记管理机关可以采取下列措施:(1)到期不缴纳罚款的，每日按罚款数额的百分之三加处罚款，加处罚款的标准应当告知当事人，加处罚款的数额不得超出原罚款数额;(2)申请人民法院强制执行;(3)法律规定的其他措施。</w:t>
      </w:r>
    </w:p>
    <w:p w14:paraId="421047B2">
      <w:pPr>
        <w:numPr>
          <w:ilvl w:val="0"/>
          <w:numId w:val="0"/>
        </w:numPr>
        <w:spacing w:line="560" w:lineRule="exact"/>
        <w:ind w:firstLine="640" w:firstLineChars="200"/>
        <w:rPr>
          <w:rFonts w:hint="eastAsia" w:ascii="仿宋" w:hAnsi="仿宋" w:eastAsia="仿宋" w:cs="仿宋"/>
          <w:sz w:val="32"/>
          <w:szCs w:val="32"/>
        </w:rPr>
      </w:pPr>
      <w:r>
        <w:rPr>
          <w:rFonts w:hint="eastAsia" w:ascii="黑体" w:hAnsi="黑体" w:eastAsia="黑体" w:cs="仿宋"/>
          <w:sz w:val="32"/>
          <w:szCs w:val="32"/>
          <w:lang w:eastAsia="zh-CN"/>
        </w:rPr>
        <w:t>四、</w:t>
      </w:r>
      <w:r>
        <w:rPr>
          <w:rFonts w:hint="eastAsia" w:ascii="黑体" w:hAnsi="黑体" w:eastAsia="黑体" w:cs="仿宋"/>
          <w:sz w:val="32"/>
          <w:szCs w:val="32"/>
        </w:rPr>
        <w:t>协同科室</w:t>
      </w:r>
    </w:p>
    <w:p w14:paraId="610934EC">
      <w:pPr>
        <w:numPr>
          <w:ilvl w:val="0"/>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1522B017">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14:paraId="268760D8">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val="en-US" w:eastAsia="zh-CN"/>
        </w:rPr>
        <w:t>张晓静</w:t>
      </w:r>
    </w:p>
    <w:p w14:paraId="4796EFD0">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14:paraId="4A21AD6D">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14:paraId="545B9988">
      <w:pPr>
        <w:spacing w:line="560" w:lineRule="exact"/>
        <w:ind w:firstLine="640" w:firstLineChars="200"/>
        <w:rPr>
          <w:rFonts w:ascii="仿宋_GB2312" w:hAnsi="黑体" w:eastAsia="仿宋_GB2312" w:cs="仿宋"/>
          <w:sz w:val="32"/>
          <w:szCs w:val="32"/>
        </w:rPr>
      </w:pPr>
    </w:p>
    <w:p w14:paraId="2FDA1BE8">
      <w:pPr>
        <w:adjustRightInd w:val="0"/>
        <w:snapToGrid w:val="0"/>
        <w:spacing w:line="560" w:lineRule="exact"/>
        <w:ind w:firstLine="627" w:firstLineChars="196"/>
        <w:rPr>
          <w:rFonts w:ascii="仿宋_GB2312" w:hAnsi="仿宋" w:eastAsia="仿宋_GB2312"/>
          <w:sz w:val="32"/>
          <w:szCs w:val="32"/>
        </w:rPr>
      </w:pPr>
    </w:p>
    <w:p w14:paraId="1EFDE6F7">
      <w:pPr>
        <w:spacing w:line="560" w:lineRule="exact"/>
        <w:ind w:firstLine="640" w:firstLineChars="200"/>
        <w:rPr>
          <w:rFonts w:ascii="黑体" w:hAnsi="黑体" w:eastAsia="黑体" w:cs="仿宋"/>
          <w:sz w:val="32"/>
          <w:szCs w:val="32"/>
        </w:rPr>
      </w:pPr>
    </w:p>
    <w:p w14:paraId="6DF4648A">
      <w:pPr>
        <w:spacing w:line="560" w:lineRule="exact"/>
        <w:ind w:firstLine="640" w:firstLineChars="200"/>
        <w:rPr>
          <w:rFonts w:ascii="黑体" w:hAnsi="黑体" w:eastAsia="黑体" w:cs="仿宋"/>
          <w:sz w:val="32"/>
          <w:szCs w:val="32"/>
        </w:rPr>
      </w:pPr>
    </w:p>
    <w:p w14:paraId="003DB3CA">
      <w:pPr>
        <w:spacing w:line="560" w:lineRule="exact"/>
        <w:ind w:firstLine="640" w:firstLineChars="200"/>
        <w:rPr>
          <w:rFonts w:ascii="黑体" w:hAnsi="黑体" w:eastAsia="黑体" w:cs="仿宋"/>
          <w:sz w:val="32"/>
          <w:szCs w:val="32"/>
        </w:rPr>
      </w:pPr>
    </w:p>
    <w:p w14:paraId="38FB3BAD">
      <w:pPr>
        <w:spacing w:line="560" w:lineRule="exact"/>
        <w:ind w:firstLine="640" w:firstLineChars="200"/>
        <w:rPr>
          <w:rFonts w:ascii="黑体" w:hAnsi="黑体" w:eastAsia="黑体" w:cs="仿宋"/>
          <w:sz w:val="32"/>
          <w:szCs w:val="32"/>
        </w:rPr>
      </w:pPr>
    </w:p>
    <w:p w14:paraId="3E3B9180">
      <w:pPr>
        <w:spacing w:line="560" w:lineRule="exact"/>
        <w:ind w:firstLine="640" w:firstLineChars="200"/>
        <w:rPr>
          <w:rFonts w:ascii="黑体" w:hAnsi="黑体" w:eastAsia="黑体" w:cs="仿宋"/>
          <w:sz w:val="32"/>
          <w:szCs w:val="32"/>
        </w:rPr>
      </w:pPr>
    </w:p>
    <w:p w14:paraId="2EC506EC">
      <w:pPr>
        <w:spacing w:line="560" w:lineRule="exact"/>
        <w:ind w:firstLine="640" w:firstLineChars="200"/>
        <w:rPr>
          <w:rFonts w:ascii="黑体" w:hAnsi="黑体" w:eastAsia="黑体" w:cs="仿宋"/>
          <w:sz w:val="32"/>
          <w:szCs w:val="32"/>
        </w:rPr>
      </w:pPr>
    </w:p>
    <w:p w14:paraId="037B076D">
      <w:pPr>
        <w:pStyle w:val="3"/>
        <w:rPr>
          <w:rFonts w:ascii="宋体" w:hAnsi="宋体" w:eastAsia="宋体"/>
          <w:b/>
        </w:rPr>
      </w:pPr>
      <w:bookmarkStart w:id="4" w:name="_Toc41469257"/>
      <w:r>
        <w:rPr>
          <w:rFonts w:hint="eastAsia" w:ascii="宋体" w:hAnsi="宋体" w:eastAsia="宋体"/>
          <w:b/>
          <w:lang w:val="en-US" w:eastAsia="zh-CN"/>
        </w:rPr>
        <w:t>5</w:t>
      </w:r>
      <w:r>
        <w:rPr>
          <w:rFonts w:hint="eastAsia" w:ascii="宋体" w:hAnsi="宋体" w:eastAsia="宋体"/>
          <w:b/>
        </w:rPr>
        <w:t>.社会组织管理科区属民办非企业单位执法监督职责岗位规范工作流程</w:t>
      </w:r>
      <w:bookmarkEnd w:id="4"/>
    </w:p>
    <w:p w14:paraId="00FD16AE">
      <w:pPr>
        <w:spacing w:line="560" w:lineRule="exact"/>
        <w:rPr>
          <w:rFonts w:ascii="黑体" w:hAnsi="黑体" w:eastAsia="黑体" w:cs="仿宋"/>
          <w:sz w:val="32"/>
          <w:szCs w:val="32"/>
        </w:rPr>
      </w:pPr>
    </w:p>
    <w:p w14:paraId="4B2549EC">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14:paraId="6D1D837D">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负责对区属民办非企业单位的行政执法监督工作。</w:t>
      </w:r>
    </w:p>
    <w:p w14:paraId="7C5D24F3">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14:paraId="0A3DCEC9">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（一）熟悉并掌握《民办非企业单位登记管理暂行条例》等法律法规和具体工作要求、标准。</w:t>
      </w:r>
    </w:p>
    <w:p w14:paraId="330922FD">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（二）负责查处本区范围内未经核准登记擅自以民办非企业单位名义进行活动的非法社会组织。</w:t>
      </w:r>
    </w:p>
    <w:p w14:paraId="3D7762A9">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（三）监督民办非企业单位活动，依法查处其违法违规行为，严格遵循法定程序,依法保障行政管理相对人、利害关系人的知情权、参与权和救济权。</w:t>
      </w:r>
    </w:p>
    <w:p w14:paraId="65502CE0">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（四）工作人员在履行相关职责过程中存在滥用职权、玩忽职守、徇私舞弊等行为的，依法依规给予处理。</w:t>
      </w:r>
    </w:p>
    <w:p w14:paraId="539D9D24">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14:paraId="70AB726D">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（一）立案</w:t>
      </w:r>
    </w:p>
    <w:p w14:paraId="1329FC8C">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符合条件的，填写立案审批表，报登记管理机关负责人审批。</w:t>
      </w:r>
    </w:p>
    <w:p w14:paraId="1EFED7FC">
      <w:pPr>
        <w:numPr>
          <w:ilvl w:val="0"/>
          <w:numId w:val="2"/>
        </w:num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调查取证</w:t>
      </w:r>
    </w:p>
    <w:p w14:paraId="3D46927E">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调查和收集证据，制作案件调查终结报告，报法制工作机构审核后，报登记管理机关负责人审批，制作案件调查终结报告，拟定处罚意见。</w:t>
      </w:r>
    </w:p>
    <w:p w14:paraId="6D130C0D">
      <w:pPr>
        <w:spacing w:line="560" w:lineRule="exact"/>
        <w:ind w:firstLine="640" w:firstLineChars="200"/>
        <w:rPr>
          <w:rFonts w:ascii="仿宋_GB2312" w:hAnsi="仿宋" w:eastAsia="仿宋_GB2312" w:cs="仿宋"/>
          <w:sz w:val="32"/>
          <w:szCs w:val="32"/>
        </w:rPr>
      </w:pPr>
      <w:r>
        <w:rPr>
          <w:rFonts w:hint="eastAsia" w:ascii="楷体_GB2312" w:hAnsi="黑体" w:eastAsia="楷体_GB2312" w:cs="仿宋"/>
          <w:sz w:val="32"/>
          <w:szCs w:val="32"/>
        </w:rPr>
        <w:t>（三）行政处罚事先（听证）告知</w:t>
      </w:r>
    </w:p>
    <w:p w14:paraId="01E096AA">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告知当事人拟作出行政处罚的事实、理由及依据,并告知当事人依法享有陈述、申辩的权利和其他权利。送达行政处罚事先（听证）告知书，听取陈述、申辩意见，符合听证条件的，组织听证。</w:t>
      </w:r>
    </w:p>
    <w:p w14:paraId="27E2AD9B">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（四）行政处罚决定</w:t>
      </w:r>
    </w:p>
    <w:p w14:paraId="0FD612D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确有应受行政处罚的违法行为的，根据情节轻重及具体情况，作出行政处罚决定; 违法行为轻微，依法可以不予行政处罚的，不予行政处罚;违法事实不能成立的，不得给予行政处罚;违法行为涉嫌构成犯罪的，移送司法机关。负责人审查作出行政处罚决定，对案件情节复杂或者重大违法行为给予限期停止活动、撤销登记以及较大数额罚款等较重处罚的，登记管理机关的负责人应当集体讨论决定。</w:t>
      </w:r>
    </w:p>
    <w:p w14:paraId="4A52AC1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作出行政处罚决定并送达当事人</w:t>
      </w:r>
    </w:p>
    <w:p w14:paraId="39F9FEC7">
      <w:pPr>
        <w:spacing w:line="560" w:lineRule="exact"/>
        <w:ind w:firstLine="640" w:firstLineChars="200"/>
        <w:rPr>
          <w:rFonts w:ascii="仿宋_GB2312" w:hAnsi="仿宋" w:eastAsia="楷体_GB2312" w:cs="仿宋"/>
          <w:sz w:val="32"/>
          <w:szCs w:val="32"/>
        </w:rPr>
      </w:pPr>
      <w:r>
        <w:rPr>
          <w:rFonts w:hint="eastAsia" w:ascii="楷体_GB2312" w:hAnsi="黑体" w:eastAsia="楷体_GB2312" w:cs="仿宋"/>
          <w:sz w:val="32"/>
          <w:szCs w:val="32"/>
        </w:rPr>
        <w:t>（五）执行</w:t>
      </w:r>
    </w:p>
    <w:p w14:paraId="41F777C2">
      <w:pPr>
        <w:spacing w:line="560" w:lineRule="exact"/>
        <w:ind w:firstLine="640" w:firstLineChars="200"/>
        <w:rPr>
          <w:rFonts w:ascii="黑体" w:hAnsi="黑体" w:eastAsia="黑体" w:cs="仿宋"/>
          <w:sz w:val="32"/>
          <w:szCs w:val="32"/>
        </w:rPr>
      </w:pPr>
      <w:r>
        <w:rPr>
          <w:rFonts w:hint="eastAsia" w:ascii="仿宋_GB2312" w:hAnsi="仿宋" w:eastAsia="仿宋_GB2312" w:cs="仿宋"/>
          <w:sz w:val="32"/>
          <w:szCs w:val="32"/>
        </w:rPr>
        <w:t>登记管理机关对当事人作出罚款处罚的，应当严格执行罚款收缴分离制度。登记管理机关及办案人员不得自行收缴罚款。当事人应当自收到行政处罚决定书之日起15日内到指定银行缴纳罚款。依法没收的非法财物，按照国家有关规定处理。社会组织被限期停止活动的，由登记管理机关封存登记证书(含正本、副本)、印章和财务凭证。停止活动的期间届满，社会组织应当向登记管理机关提交整改报告。登记管理机关依法责令社会组织撤换直接负责的主管人员的，社会组织应当在登记管理机关规定的期限内执行。登记管理机关对社会组织作出撤销登记决定的，应当收缴登记证书(含正本、副本)和印章。社会组织拒不缴回或者无法缴回的，登记管理机关可以公告作废。当事人逾期不履行行政处罚决定的，登记管理机关可以采取下列措施:(1)到期不缴纳罚款的，每日按罚款数额的百分之三加处罚款，加处罚款的标准应当告知当事人，加处罚款的数额不得超出原罚款数额;(2)申请人民法院强制执行;(3)法律规定的其他措施。</w:t>
      </w:r>
    </w:p>
    <w:p w14:paraId="3D4C2236">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14:paraId="48C61E95">
      <w:pPr>
        <w:spacing w:line="560" w:lineRule="exact"/>
        <w:ind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无</w:t>
      </w:r>
    </w:p>
    <w:p w14:paraId="069EA1A2">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14:paraId="401975D6">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val="en-US" w:eastAsia="zh-CN"/>
        </w:rPr>
        <w:t>张晓静</w:t>
      </w:r>
    </w:p>
    <w:p w14:paraId="43527AD3">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14:paraId="1FD45F66">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14:paraId="7F03F900">
      <w:pPr>
        <w:spacing w:line="560" w:lineRule="exact"/>
        <w:ind w:firstLine="640" w:firstLineChars="200"/>
        <w:rPr>
          <w:rFonts w:ascii="黑体" w:hAnsi="黑体" w:eastAsia="黑体" w:cs="仿宋"/>
          <w:sz w:val="32"/>
          <w:szCs w:val="32"/>
        </w:rPr>
      </w:pPr>
    </w:p>
    <w:p w14:paraId="77381CFA">
      <w:pPr>
        <w:adjustRightInd w:val="0"/>
        <w:snapToGrid w:val="0"/>
        <w:spacing w:line="560" w:lineRule="exact"/>
        <w:ind w:firstLine="627" w:firstLineChars="196"/>
        <w:rPr>
          <w:rFonts w:ascii="仿宋_GB2312" w:hAnsi="仿宋" w:eastAsia="仿宋_GB2312" w:cs="仿宋"/>
          <w:sz w:val="32"/>
          <w:szCs w:val="32"/>
        </w:rPr>
      </w:pPr>
    </w:p>
    <w:p w14:paraId="5B14A00A">
      <w:pPr>
        <w:adjustRightInd w:val="0"/>
        <w:snapToGrid w:val="0"/>
        <w:spacing w:line="560" w:lineRule="exact"/>
        <w:ind w:firstLine="627" w:firstLineChars="196"/>
        <w:rPr>
          <w:rFonts w:ascii="仿宋_GB2312" w:hAnsi="仿宋" w:eastAsia="仿宋_GB2312" w:cs="仿宋"/>
          <w:sz w:val="32"/>
          <w:szCs w:val="32"/>
        </w:rPr>
      </w:pPr>
    </w:p>
    <w:p w14:paraId="6CF94F3D">
      <w:pPr>
        <w:adjustRightInd w:val="0"/>
        <w:snapToGrid w:val="0"/>
        <w:spacing w:line="560" w:lineRule="exact"/>
        <w:ind w:firstLine="627" w:firstLineChars="196"/>
        <w:rPr>
          <w:rFonts w:ascii="仿宋_GB2312" w:hAnsi="仿宋" w:eastAsia="仿宋_GB2312" w:cs="仿宋"/>
          <w:sz w:val="32"/>
          <w:szCs w:val="32"/>
        </w:rPr>
      </w:pPr>
    </w:p>
    <w:p w14:paraId="1E2CDB3E">
      <w:pPr>
        <w:adjustRightInd w:val="0"/>
        <w:snapToGrid w:val="0"/>
        <w:spacing w:line="560" w:lineRule="exact"/>
        <w:ind w:firstLine="627" w:firstLineChars="196"/>
        <w:rPr>
          <w:rFonts w:ascii="仿宋_GB2312" w:hAnsi="仿宋" w:eastAsia="仿宋_GB2312" w:cs="仿宋"/>
          <w:sz w:val="32"/>
          <w:szCs w:val="32"/>
        </w:rPr>
      </w:pPr>
    </w:p>
    <w:p w14:paraId="42F60869">
      <w:pPr>
        <w:adjustRightInd w:val="0"/>
        <w:snapToGrid w:val="0"/>
        <w:spacing w:line="560" w:lineRule="exact"/>
        <w:ind w:firstLine="627" w:firstLineChars="196"/>
        <w:rPr>
          <w:rFonts w:ascii="仿宋_GB2312" w:hAnsi="仿宋" w:eastAsia="仿宋_GB2312" w:cs="仿宋"/>
          <w:sz w:val="32"/>
          <w:szCs w:val="32"/>
        </w:rPr>
      </w:pPr>
    </w:p>
    <w:p w14:paraId="21A867E9">
      <w:pPr>
        <w:adjustRightInd w:val="0"/>
        <w:snapToGrid w:val="0"/>
        <w:spacing w:line="560" w:lineRule="exact"/>
        <w:ind w:firstLine="627" w:firstLineChars="196"/>
        <w:rPr>
          <w:rFonts w:ascii="仿宋_GB2312" w:hAnsi="仿宋" w:eastAsia="仿宋_GB2312" w:cs="仿宋"/>
          <w:sz w:val="32"/>
          <w:szCs w:val="32"/>
        </w:rPr>
      </w:pPr>
    </w:p>
    <w:p w14:paraId="6CB0DE52">
      <w:pPr>
        <w:adjustRightInd w:val="0"/>
        <w:snapToGrid w:val="0"/>
        <w:spacing w:line="560" w:lineRule="exact"/>
        <w:ind w:firstLine="627" w:firstLineChars="196"/>
        <w:rPr>
          <w:rFonts w:ascii="仿宋_GB2312" w:hAnsi="仿宋" w:eastAsia="仿宋_GB2312" w:cs="仿宋"/>
          <w:sz w:val="32"/>
          <w:szCs w:val="32"/>
        </w:rPr>
      </w:pPr>
    </w:p>
    <w:p w14:paraId="438AF6EB"/>
    <w:sectPr>
      <w:footerReference r:id="rId3" w:type="default"/>
      <w:pgSz w:w="11906" w:h="16838"/>
      <w:pgMar w:top="1701" w:right="1587" w:bottom="1701" w:left="158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819065"/>
      <w:docPartObj>
        <w:docPartGallery w:val="autotext"/>
      </w:docPartObj>
    </w:sdtPr>
    <w:sdtContent>
      <w:p w14:paraId="6A7E321A">
        <w:pPr>
          <w:pStyle w:val="4"/>
          <w:jc w:val="center"/>
        </w:pPr>
        <w:r>
          <w:fldChar w:fldCharType="begin"/>
        </w:r>
        <w:r>
          <w:instrText xml:space="preserve">PAGE   \* MERGEFORMAT</w:instrText>
        </w:r>
        <w:r>
          <w:fldChar w:fldCharType="separate"/>
        </w:r>
        <w:r>
          <w:rPr>
            <w:lang w:val="zh-CN"/>
          </w:rPr>
          <w:t>60</w:t>
        </w:r>
        <w:r>
          <w:fldChar w:fldCharType="end"/>
        </w:r>
      </w:p>
    </w:sdtContent>
  </w:sdt>
  <w:p w14:paraId="3DD3FE1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B033F"/>
    <w:multiLevelType w:val="multilevel"/>
    <w:tmpl w:val="09FB033F"/>
    <w:lvl w:ilvl="0" w:tentative="0">
      <w:start w:val="1"/>
      <w:numFmt w:val="none"/>
      <w:lvlText w:val="一、"/>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72715BE"/>
    <w:multiLevelType w:val="singleLevel"/>
    <w:tmpl w:val="372715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kNGU4ODFiZDU3ZTMzNTc5YTQ3YmU5ODE5NDQzNDQifQ=="/>
  </w:docVars>
  <w:rsids>
    <w:rsidRoot w:val="471F529B"/>
    <w:rsid w:val="1BEE234F"/>
    <w:rsid w:val="218B609A"/>
    <w:rsid w:val="3E9847ED"/>
    <w:rsid w:val="471F529B"/>
    <w:rsid w:val="51F55A16"/>
    <w:rsid w:val="64F8164D"/>
    <w:rsid w:val="660421F3"/>
    <w:rsid w:val="71E76CD1"/>
    <w:rsid w:val="726A16B0"/>
    <w:rsid w:val="74E4574A"/>
    <w:rsid w:val="75680129"/>
    <w:rsid w:val="77E1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jc w:val="center"/>
      <w:outlineLvl w:val="1"/>
    </w:pPr>
    <w:rPr>
      <w:rFonts w:eastAsia="宋体" w:asciiTheme="majorHAnsi" w:hAnsiTheme="majorHAnsi" w:cstheme="majorBidi"/>
      <w:bCs/>
      <w:sz w:val="22"/>
      <w:szCs w:val="32"/>
    </w:rPr>
  </w:style>
  <w:style w:type="paragraph" w:styleId="3">
    <w:name w:val="heading 3"/>
    <w:basedOn w:val="1"/>
    <w:next w:val="1"/>
    <w:unhideWhenUsed/>
    <w:qFormat/>
    <w:uiPriority w:val="0"/>
    <w:pPr>
      <w:keepNext/>
      <w:keepLines/>
      <w:spacing w:before="260" w:after="260" w:line="416" w:lineRule="auto"/>
      <w:jc w:val="center"/>
      <w:outlineLvl w:val="2"/>
    </w:pPr>
    <w:rPr>
      <w:rFonts w:eastAsia="华文中宋"/>
      <w:bCs/>
      <w:sz w:val="44"/>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7">
    <w:name w:val="List Paragraph"/>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3845</Words>
  <Characters>3928</Characters>
  <Lines>0</Lines>
  <Paragraphs>0</Paragraphs>
  <TotalTime>248</TotalTime>
  <ScaleCrop>false</ScaleCrop>
  <LinksUpToDate>false</LinksUpToDate>
  <CharactersWithSpaces>3930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2020-06-05T01:52:00Z</dcterms:created>
  <dc:creator>Yuetong_CHEN</dc:creator>
  <cp:lastModifiedBy>&amp;</cp:lastModifiedBy>
  <dcterms:modified xsi:type="dcterms:W3CDTF">2026-03-20T01:24:27Z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40A6062AF21F4369B9C9A212253C8A76_12</vt:lpwstr>
  </property>
  <property fmtid="{D5CDD505-2E9C-101B-9397-08002B2CF9AE}" pid="4" name="KSOTemplateDocerSaveRecord">
    <vt:lpwstr>eyJoZGlkIjoiMTQ0OTRjZDRiYTVkMmUzMWE4MGVjNDhhMzI3MGM2OWUiLCJ1c2VySWQiOiI2NTAxMDc4NTYifQ==</vt:lpwstr>
  </property>
</Properties>
</file>