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64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区能源事业发展中心</w:t>
      </w:r>
      <w:r>
        <w:rPr>
          <w:rFonts w:hint="eastAsia" w:ascii="方正小标宋简体" w:hAnsi="黑体" w:eastAsia="方正小标宋简体"/>
          <w:sz w:val="44"/>
          <w:szCs w:val="44"/>
          <w:lang w:val="en-US" w:eastAsia="zh-CN"/>
        </w:rPr>
        <w:t>2020</w:t>
      </w:r>
      <w:r>
        <w:rPr>
          <w:rFonts w:hint="eastAsia" w:ascii="方正小标宋简体" w:hAnsi="黑体" w:eastAsia="方正小标宋简体"/>
          <w:sz w:val="44"/>
          <w:szCs w:val="44"/>
        </w:rPr>
        <w:t>年政府信息公开工作年度报告</w:t>
      </w:r>
    </w:p>
    <w:p>
      <w:pPr>
        <w:ind w:firstLine="640" w:firstLineChars="200"/>
        <w:rPr>
          <w:rFonts w:hint="eastAsia" w:ascii="黑体" w:hAnsi="黑体" w:eastAsia="黑体"/>
          <w:color w:val="auto"/>
          <w:sz w:val="32"/>
          <w:szCs w:val="32"/>
          <w:lang w:val="en-US" w:eastAsia="zh-CN"/>
        </w:rPr>
      </w:pPr>
    </w:p>
    <w:p>
      <w:pPr>
        <w:ind w:firstLine="640" w:firstLineChars="200"/>
        <w:rPr>
          <w:rFonts w:ascii="黑体" w:hAnsi="黑体" w:eastAsia="黑体"/>
          <w:color w:val="auto"/>
          <w:sz w:val="32"/>
          <w:szCs w:val="32"/>
        </w:rPr>
      </w:pPr>
      <w:r>
        <w:rPr>
          <w:rFonts w:hint="eastAsia" w:ascii="黑体" w:hAnsi="黑体" w:eastAsia="黑体"/>
          <w:color w:val="auto"/>
          <w:sz w:val="32"/>
          <w:szCs w:val="32"/>
          <w:lang w:val="en-US" w:eastAsia="zh-CN"/>
        </w:rPr>
        <w:t>1.</w:t>
      </w:r>
      <w:r>
        <w:rPr>
          <w:rFonts w:hint="eastAsia" w:ascii="黑体" w:hAnsi="黑体" w:eastAsia="黑体"/>
          <w:color w:val="auto"/>
          <w:sz w:val="32"/>
          <w:szCs w:val="32"/>
        </w:rPr>
        <w:t>总体情况</w:t>
      </w:r>
    </w:p>
    <w:p>
      <w:pPr>
        <w:pStyle w:val="5"/>
        <w:ind w:firstLine="640" w:firstLineChars="200"/>
        <w:rPr>
          <w:rFonts w:ascii="仿宋_GB2312" w:hAnsi="仿宋" w:eastAsia="仿宋_GB2312" w:cs="Arial"/>
          <w:color w:val="auto"/>
          <w:sz w:val="32"/>
          <w:szCs w:val="32"/>
        </w:rPr>
      </w:pPr>
      <w:r>
        <w:rPr>
          <w:rFonts w:hint="eastAsia" w:ascii="仿宋_GB2312" w:eastAsia="仿宋_GB2312"/>
          <w:color w:val="auto"/>
          <w:sz w:val="32"/>
          <w:szCs w:val="32"/>
        </w:rPr>
        <w:t>20</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年以来，区能源事业发展中心</w:t>
      </w:r>
      <w:r>
        <w:rPr>
          <w:rFonts w:hint="eastAsia" w:ascii="仿宋_GB2312" w:hAnsi="仿宋" w:eastAsia="仿宋_GB2312" w:cs="Arial"/>
          <w:color w:val="auto"/>
          <w:sz w:val="32"/>
          <w:szCs w:val="32"/>
        </w:rPr>
        <w:t>高度重视政府信息公开工作，</w:t>
      </w:r>
      <w:r>
        <w:rPr>
          <w:rFonts w:hint="eastAsia" w:ascii="仿宋_GB2312" w:eastAsia="仿宋_GB2312"/>
          <w:color w:val="auto"/>
          <w:sz w:val="32"/>
          <w:szCs w:val="32"/>
        </w:rPr>
        <w:t>认真贯彻落实《中华人民共和国政府信息公开条例》及《关于政府信息公开工作年度报告有关事项的通知》（国办公开办函</w:t>
      </w:r>
      <w:r>
        <w:rPr>
          <w:rFonts w:hint="eastAsia" w:ascii="仿宋_GB2312" w:eastAsia="仿宋_GB2312" w:hAnsiTheme="minorEastAsia"/>
          <w:color w:val="auto"/>
          <w:sz w:val="32"/>
          <w:szCs w:val="32"/>
        </w:rPr>
        <w:t>〔2019〕60号</w:t>
      </w:r>
      <w:r>
        <w:rPr>
          <w:rFonts w:hint="eastAsia" w:ascii="仿宋_GB2312" w:eastAsia="仿宋_GB2312"/>
          <w:color w:val="auto"/>
          <w:sz w:val="32"/>
          <w:szCs w:val="32"/>
        </w:rPr>
        <w:t>）文件精神，</w:t>
      </w:r>
      <w:r>
        <w:rPr>
          <w:rFonts w:hint="eastAsia" w:ascii="仿宋_GB2312" w:hAnsi="仿宋" w:eastAsia="仿宋_GB2312" w:cs="Arial"/>
          <w:color w:val="auto"/>
          <w:sz w:val="32"/>
          <w:szCs w:val="32"/>
        </w:rPr>
        <w:t>按照党中央和国务院有关决策部署和区政府办公室要求，加快政府信息公开网络平台维护与更新，深化政府信息公开内容，规范申请处理工作，积极推进政府信息公开工作，不断加强政府信息公开工作的制度建设，切实做好我中心政府信息公开工作。</w:t>
      </w:r>
      <w:r>
        <w:rPr>
          <w:rFonts w:ascii="仿宋_GB2312" w:hAnsi="仿宋" w:eastAsia="仿宋_GB2312" w:cs="Arial"/>
          <w:color w:val="auto"/>
          <w:sz w:val="32"/>
          <w:szCs w:val="32"/>
        </w:rPr>
        <w:t>本年度报告根据《中华人民共和国政府信息公开条例》《山东省政府信息公开办法》有关规定要求，结合本单位工作实际编制而成。报告中所列数据的统计期限从20</w:t>
      </w:r>
      <w:r>
        <w:rPr>
          <w:rFonts w:hint="eastAsia" w:ascii="仿宋_GB2312" w:hAnsi="仿宋" w:eastAsia="仿宋_GB2312" w:cs="Arial"/>
          <w:color w:val="auto"/>
          <w:sz w:val="32"/>
          <w:szCs w:val="32"/>
          <w:lang w:val="en-US" w:eastAsia="zh-CN"/>
        </w:rPr>
        <w:t>20</w:t>
      </w:r>
      <w:r>
        <w:rPr>
          <w:rFonts w:ascii="仿宋_GB2312" w:hAnsi="仿宋" w:eastAsia="仿宋_GB2312" w:cs="Arial"/>
          <w:color w:val="auto"/>
          <w:sz w:val="32"/>
          <w:szCs w:val="32"/>
        </w:rPr>
        <w:t>年1月1日到12月31日止。</w:t>
      </w:r>
    </w:p>
    <w:p>
      <w:pPr>
        <w:numPr>
          <w:numId w:val="0"/>
        </w:numPr>
        <w:spacing w:line="560" w:lineRule="exact"/>
        <w:ind w:firstLine="640" w:firstLineChars="200"/>
        <w:rPr>
          <w:rFonts w:hint="eastAsia" w:ascii="仿宋_GB2312" w:hAnsi="仿宋" w:eastAsia="仿宋_GB2312" w:cs="Arial"/>
          <w:color w:val="auto"/>
          <w:sz w:val="32"/>
          <w:szCs w:val="32"/>
        </w:rPr>
      </w:pPr>
      <w:r>
        <w:rPr>
          <w:rFonts w:hint="eastAsia" w:ascii="楷体_GB2312" w:hAnsi="仿宋" w:eastAsia="楷体_GB2312" w:cs="Arial"/>
          <w:color w:val="auto"/>
          <w:kern w:val="0"/>
          <w:sz w:val="32"/>
          <w:szCs w:val="32"/>
          <w:lang w:eastAsia="zh-CN"/>
        </w:rPr>
        <w:t>（</w:t>
      </w:r>
      <w:r>
        <w:rPr>
          <w:rFonts w:hint="eastAsia" w:ascii="楷体_GB2312" w:hAnsi="仿宋" w:eastAsia="楷体_GB2312" w:cs="Arial"/>
          <w:color w:val="auto"/>
          <w:kern w:val="0"/>
          <w:sz w:val="32"/>
          <w:szCs w:val="32"/>
          <w:lang w:val="en-US" w:eastAsia="zh-CN"/>
        </w:rPr>
        <w:t>一</w:t>
      </w:r>
      <w:r>
        <w:rPr>
          <w:rFonts w:hint="eastAsia" w:ascii="楷体_GB2312" w:hAnsi="仿宋" w:eastAsia="楷体_GB2312" w:cs="Arial"/>
          <w:color w:val="auto"/>
          <w:kern w:val="0"/>
          <w:sz w:val="32"/>
          <w:szCs w:val="32"/>
          <w:lang w:eastAsia="zh-CN"/>
        </w:rPr>
        <w:t>）</w:t>
      </w:r>
      <w:r>
        <w:rPr>
          <w:rFonts w:hint="eastAsia" w:ascii="楷体_GB2312" w:hAnsi="仿宋" w:eastAsia="楷体_GB2312" w:cs="Arial"/>
          <w:color w:val="auto"/>
          <w:kern w:val="0"/>
          <w:sz w:val="32"/>
          <w:szCs w:val="32"/>
        </w:rPr>
        <w:t>主动公开情况。</w:t>
      </w:r>
      <w:r>
        <w:rPr>
          <w:rFonts w:ascii="仿宋_GB2312" w:hAnsi="仿宋" w:eastAsia="仿宋_GB2312" w:cs="Arial"/>
          <w:color w:val="auto"/>
          <w:kern w:val="0"/>
          <w:sz w:val="32"/>
          <w:szCs w:val="32"/>
        </w:rPr>
        <w:t>20</w:t>
      </w:r>
      <w:r>
        <w:rPr>
          <w:rFonts w:hint="eastAsia" w:ascii="仿宋_GB2312" w:hAnsi="仿宋" w:eastAsia="仿宋_GB2312" w:cs="Arial"/>
          <w:color w:val="auto"/>
          <w:kern w:val="0"/>
          <w:sz w:val="32"/>
          <w:szCs w:val="32"/>
          <w:lang w:val="en-US" w:eastAsia="zh-CN"/>
        </w:rPr>
        <w:t>20</w:t>
      </w:r>
      <w:r>
        <w:rPr>
          <w:rFonts w:ascii="仿宋_GB2312" w:hAnsi="仿宋" w:eastAsia="仿宋_GB2312" w:cs="Arial"/>
          <w:color w:val="auto"/>
          <w:kern w:val="0"/>
          <w:sz w:val="32"/>
          <w:szCs w:val="32"/>
        </w:rPr>
        <w:t>年</w:t>
      </w:r>
      <w:r>
        <w:rPr>
          <w:rFonts w:hint="eastAsia" w:ascii="仿宋_GB2312" w:hAnsi="仿宋" w:eastAsia="仿宋_GB2312" w:cs="Arial"/>
          <w:color w:val="auto"/>
          <w:kern w:val="0"/>
          <w:sz w:val="32"/>
          <w:szCs w:val="32"/>
        </w:rPr>
        <w:t>度</w:t>
      </w:r>
      <w:r>
        <w:rPr>
          <w:rFonts w:ascii="仿宋_GB2312" w:hAnsi="仿宋" w:eastAsia="仿宋_GB2312" w:cs="Arial"/>
          <w:color w:val="auto"/>
          <w:kern w:val="0"/>
          <w:sz w:val="32"/>
          <w:szCs w:val="32"/>
        </w:rPr>
        <w:t>，</w:t>
      </w:r>
      <w:r>
        <w:rPr>
          <w:rFonts w:hint="eastAsia" w:ascii="仿宋_GB2312" w:hAnsi="仿宋" w:eastAsia="仿宋_GB2312" w:cs="Arial"/>
          <w:color w:val="auto"/>
          <w:kern w:val="0"/>
          <w:sz w:val="32"/>
          <w:szCs w:val="32"/>
        </w:rPr>
        <w:t>我中心</w:t>
      </w:r>
      <w:r>
        <w:rPr>
          <w:rFonts w:ascii="仿宋_GB2312" w:hAnsi="仿宋" w:eastAsia="仿宋_GB2312" w:cs="Arial"/>
          <w:color w:val="auto"/>
          <w:kern w:val="0"/>
          <w:sz w:val="32"/>
          <w:szCs w:val="32"/>
        </w:rPr>
        <w:t>在区政府门户网站政府信息公开专栏公开信息</w:t>
      </w:r>
      <w:r>
        <w:rPr>
          <w:rFonts w:hint="eastAsia" w:ascii="仿宋_GB2312" w:hAnsi="仿宋" w:eastAsia="仿宋_GB2312" w:cs="Arial"/>
          <w:color w:val="auto"/>
          <w:kern w:val="0"/>
          <w:sz w:val="32"/>
          <w:szCs w:val="32"/>
          <w:lang w:val="en-US" w:eastAsia="zh-CN"/>
        </w:rPr>
        <w:t>130</w:t>
      </w:r>
      <w:r>
        <w:rPr>
          <w:rFonts w:ascii="仿宋_GB2312" w:hAnsi="仿宋" w:eastAsia="仿宋_GB2312" w:cs="Arial"/>
          <w:color w:val="auto"/>
          <w:kern w:val="0"/>
          <w:sz w:val="32"/>
          <w:szCs w:val="32"/>
        </w:rPr>
        <w:t>条，</w:t>
      </w:r>
      <w:r>
        <w:rPr>
          <w:rFonts w:hint="eastAsia" w:ascii="仿宋_GB2312" w:hAnsi="仿宋" w:eastAsia="仿宋_GB2312" w:cs="Arial"/>
          <w:color w:val="auto"/>
          <w:kern w:val="0"/>
          <w:sz w:val="32"/>
          <w:szCs w:val="32"/>
        </w:rPr>
        <w:t>包括业务</w:t>
      </w:r>
      <w:r>
        <w:rPr>
          <w:rFonts w:hint="eastAsia" w:ascii="仿宋_GB2312" w:hAnsi="仿宋" w:eastAsia="仿宋_GB2312" w:cs="Arial"/>
          <w:color w:val="auto"/>
          <w:kern w:val="0"/>
          <w:sz w:val="32"/>
          <w:szCs w:val="32"/>
          <w:lang w:val="en-US" w:eastAsia="zh-CN"/>
        </w:rPr>
        <w:t>工作</w:t>
      </w:r>
      <w:r>
        <w:rPr>
          <w:rFonts w:hint="eastAsia" w:ascii="仿宋_GB2312" w:hAnsi="仿宋" w:eastAsia="仿宋_GB2312" w:cs="Arial"/>
          <w:color w:val="auto"/>
          <w:kern w:val="0"/>
          <w:sz w:val="32"/>
          <w:szCs w:val="32"/>
        </w:rPr>
        <w:t>、机构职能、规划计划等，</w:t>
      </w:r>
      <w:r>
        <w:rPr>
          <w:rFonts w:ascii="仿宋_GB2312" w:hAnsi="仿宋" w:eastAsia="仿宋_GB2312" w:cs="Arial"/>
          <w:color w:val="auto"/>
          <w:kern w:val="0"/>
          <w:sz w:val="32"/>
          <w:szCs w:val="32"/>
        </w:rPr>
        <w:t>其中201</w:t>
      </w:r>
      <w:r>
        <w:rPr>
          <w:rFonts w:hint="eastAsia" w:ascii="仿宋_GB2312" w:hAnsi="仿宋" w:eastAsia="仿宋_GB2312" w:cs="Arial"/>
          <w:color w:val="auto"/>
          <w:kern w:val="0"/>
          <w:sz w:val="32"/>
          <w:szCs w:val="32"/>
          <w:lang w:val="en-US" w:eastAsia="zh-CN"/>
        </w:rPr>
        <w:t>9</w:t>
      </w:r>
      <w:r>
        <w:rPr>
          <w:rFonts w:ascii="仿宋_GB2312" w:hAnsi="仿宋" w:eastAsia="仿宋_GB2312" w:cs="Arial"/>
          <w:color w:val="auto"/>
          <w:kern w:val="0"/>
          <w:sz w:val="32"/>
          <w:szCs w:val="32"/>
        </w:rPr>
        <w:t>年信息公开年报1篇</w:t>
      </w:r>
      <w:r>
        <w:rPr>
          <w:rFonts w:hint="eastAsia" w:ascii="仿宋_GB2312" w:hAnsi="仿宋" w:eastAsia="仿宋_GB2312" w:cs="Arial"/>
          <w:color w:val="auto"/>
          <w:sz w:val="32"/>
          <w:szCs w:val="32"/>
        </w:rPr>
        <w:t>。</w:t>
      </w:r>
    </w:p>
    <w:p>
      <w:pPr>
        <w:numPr>
          <w:numId w:val="0"/>
        </w:numPr>
        <w:spacing w:line="560" w:lineRule="exact"/>
        <w:ind w:firstLine="640" w:firstLineChars="200"/>
        <w:rPr>
          <w:rFonts w:hint="eastAsia" w:ascii="仿宋_GB2312" w:hAnsi="仿宋" w:eastAsia="仿宋_GB2312" w:cs="Arial"/>
          <w:color w:val="auto"/>
          <w:sz w:val="32"/>
          <w:szCs w:val="32"/>
        </w:rPr>
      </w:pPr>
      <w:r>
        <w:rPr>
          <w:rFonts w:hint="eastAsia" w:ascii="楷体_GB2312" w:hAnsi="仿宋" w:eastAsia="楷体_GB2312" w:cs="Arial"/>
          <w:color w:val="auto"/>
          <w:sz w:val="32"/>
          <w:szCs w:val="32"/>
          <w:lang w:eastAsia="zh-CN"/>
        </w:rPr>
        <w:t>（</w:t>
      </w:r>
      <w:r>
        <w:rPr>
          <w:rFonts w:hint="eastAsia" w:ascii="楷体_GB2312" w:hAnsi="仿宋" w:eastAsia="楷体_GB2312" w:cs="Arial"/>
          <w:color w:val="auto"/>
          <w:sz w:val="32"/>
          <w:szCs w:val="32"/>
          <w:lang w:val="en-US" w:eastAsia="zh-CN"/>
        </w:rPr>
        <w:t>二</w:t>
      </w:r>
      <w:r>
        <w:rPr>
          <w:rFonts w:hint="eastAsia" w:ascii="楷体_GB2312" w:hAnsi="仿宋" w:eastAsia="楷体_GB2312" w:cs="Arial"/>
          <w:color w:val="auto"/>
          <w:sz w:val="32"/>
          <w:szCs w:val="32"/>
          <w:lang w:eastAsia="zh-CN"/>
        </w:rPr>
        <w:t>）</w:t>
      </w:r>
      <w:r>
        <w:rPr>
          <w:rFonts w:ascii="楷体_GB2312" w:hAnsi="仿宋" w:eastAsia="楷体_GB2312" w:cs="Arial"/>
          <w:color w:val="auto"/>
          <w:sz w:val="32"/>
          <w:szCs w:val="32"/>
        </w:rPr>
        <w:t>依申请公开情况。</w:t>
      </w:r>
      <w:r>
        <w:rPr>
          <w:rFonts w:hint="eastAsia" w:ascii="仿宋_GB2312" w:hAnsi="仿宋" w:eastAsia="仿宋_GB2312" w:cs="Arial"/>
          <w:color w:val="auto"/>
          <w:sz w:val="32"/>
          <w:szCs w:val="32"/>
        </w:rPr>
        <w:t>20</w:t>
      </w:r>
      <w:r>
        <w:rPr>
          <w:rFonts w:hint="eastAsia" w:ascii="仿宋_GB2312" w:hAnsi="仿宋" w:eastAsia="仿宋_GB2312" w:cs="Arial"/>
          <w:color w:val="auto"/>
          <w:sz w:val="32"/>
          <w:szCs w:val="32"/>
          <w:lang w:val="en-US" w:eastAsia="zh-CN"/>
        </w:rPr>
        <w:t>20</w:t>
      </w:r>
      <w:r>
        <w:rPr>
          <w:rFonts w:hint="eastAsia" w:ascii="仿宋_GB2312" w:hAnsi="仿宋" w:eastAsia="仿宋_GB2312" w:cs="Arial"/>
          <w:color w:val="auto"/>
          <w:sz w:val="32"/>
          <w:szCs w:val="32"/>
        </w:rPr>
        <w:t>年，我中心收到依申请公开事项0件；收到和处理政府信息公开申请事项0项；政府信息公开行政复议、行政诉讼事项0项。</w:t>
      </w:r>
    </w:p>
    <w:p>
      <w:pPr>
        <w:spacing w:line="560" w:lineRule="exact"/>
        <w:ind w:firstLine="640" w:firstLineChars="200"/>
        <w:rPr>
          <w:rFonts w:hint="eastAsia" w:ascii="仿宋_GB2312" w:hAnsi="仿宋" w:eastAsia="仿宋_GB2312" w:cs="Arial"/>
          <w:color w:val="auto"/>
          <w:kern w:val="0"/>
          <w:sz w:val="32"/>
          <w:szCs w:val="32"/>
          <w:lang w:val="en-US" w:eastAsia="zh-CN"/>
        </w:rPr>
      </w:pPr>
      <w:r>
        <w:rPr>
          <w:rFonts w:hint="eastAsia" w:ascii="楷体_GB2312" w:hAnsi="仿宋" w:eastAsia="楷体_GB2312" w:cs="Arial"/>
          <w:color w:val="auto"/>
          <w:kern w:val="0"/>
          <w:sz w:val="32"/>
          <w:szCs w:val="32"/>
          <w:lang w:val="en-US" w:eastAsia="zh-CN" w:bidi="ar-SA"/>
        </w:rPr>
        <w:t>（三）政府信息管理情况。</w:t>
      </w:r>
      <w:r>
        <w:rPr>
          <w:rFonts w:hint="eastAsia" w:ascii="仿宋_GB2312" w:hAnsi="仿宋" w:eastAsia="仿宋_GB2312" w:cs="Arial"/>
          <w:color w:val="auto"/>
          <w:kern w:val="0"/>
          <w:sz w:val="32"/>
          <w:szCs w:val="32"/>
          <w:lang w:val="en-US" w:eastAsia="zh-CN"/>
        </w:rPr>
        <w:t>严格按照信息公开工作要求进行信息公开及管理，编制了《临淄区能源事业发展中心信息公开指南》、《临淄区能源事业发展中心标准化目录》《临淄区能源事业发展中心主动公开基本目录》，加强日常信息维护，切实做到信息公开格式规范、内容全面、数据准确、文字精炼。</w:t>
      </w:r>
    </w:p>
    <w:p>
      <w:pPr>
        <w:spacing w:line="560" w:lineRule="exact"/>
        <w:ind w:firstLine="640" w:firstLineChars="200"/>
        <w:rPr>
          <w:rFonts w:hint="default" w:ascii="仿宋_GB2312" w:hAnsi="仿宋" w:eastAsia="仿宋_GB2312" w:cs="Arial"/>
          <w:color w:val="auto"/>
          <w:sz w:val="32"/>
          <w:szCs w:val="32"/>
          <w:lang w:val="en-US" w:eastAsia="zh-CN"/>
        </w:rPr>
      </w:pPr>
      <w:r>
        <w:rPr>
          <w:rFonts w:hint="eastAsia" w:ascii="楷体_GB2312" w:hAnsi="仿宋" w:eastAsia="楷体_GB2312" w:cs="Arial"/>
          <w:color w:val="auto"/>
          <w:kern w:val="0"/>
          <w:sz w:val="32"/>
          <w:szCs w:val="32"/>
          <w:lang w:val="en-US" w:eastAsia="zh-CN" w:bidi="ar-SA"/>
        </w:rPr>
        <w:t>（四）平台建设情况。</w:t>
      </w:r>
      <w:r>
        <w:rPr>
          <w:rFonts w:hint="eastAsia" w:ascii="仿宋_GB2312" w:hAnsi="仿宋" w:eastAsia="仿宋_GB2312" w:cs="Arial"/>
          <w:color w:val="auto"/>
          <w:kern w:val="0"/>
          <w:sz w:val="32"/>
          <w:szCs w:val="32"/>
          <w:lang w:val="en-US" w:eastAsia="zh-CN"/>
        </w:rPr>
        <w:t>按照信息公开工作要求，加强对</w:t>
      </w:r>
      <w:r>
        <w:rPr>
          <w:rFonts w:hint="eastAsia" w:ascii="仿宋_GB2312" w:hAnsi="仿宋" w:eastAsia="仿宋_GB2312" w:cs="Arial"/>
          <w:color w:val="auto"/>
          <w:sz w:val="32"/>
          <w:szCs w:val="32"/>
        </w:rPr>
        <w:t>政府信息公开网络平台维护与更新，</w:t>
      </w:r>
      <w:r>
        <w:rPr>
          <w:rFonts w:hint="eastAsia" w:ascii="仿宋_GB2312" w:hAnsi="仿宋" w:eastAsia="仿宋_GB2312" w:cs="Arial"/>
          <w:color w:val="auto"/>
          <w:sz w:val="32"/>
          <w:szCs w:val="32"/>
          <w:lang w:val="en-US" w:eastAsia="zh-CN"/>
        </w:rPr>
        <w:t>不断规范信息公开流程，及时公开相关信息，切实将信息公开工作落到实处。</w:t>
      </w:r>
    </w:p>
    <w:p>
      <w:pPr>
        <w:spacing w:line="540" w:lineRule="exact"/>
        <w:ind w:firstLine="640" w:firstLineChars="200"/>
        <w:rPr>
          <w:rFonts w:ascii="仿宋_GB2312" w:hAnsi="仿宋" w:eastAsia="仿宋_GB2312" w:cs="Arial"/>
          <w:kern w:val="0"/>
          <w:sz w:val="32"/>
          <w:szCs w:val="32"/>
        </w:rPr>
      </w:pPr>
      <w:r>
        <w:rPr>
          <w:rFonts w:hint="eastAsia" w:ascii="楷体_GB2312" w:hAnsi="仿宋" w:eastAsia="楷体_GB2312" w:cs="Arial"/>
          <w:color w:val="auto"/>
          <w:kern w:val="0"/>
          <w:sz w:val="32"/>
          <w:szCs w:val="32"/>
          <w:lang w:val="en-US" w:eastAsia="zh-CN" w:bidi="ar-SA"/>
        </w:rPr>
        <w:t>（五）监督保障情况。</w:t>
      </w:r>
      <w:r>
        <w:rPr>
          <w:rFonts w:ascii="仿宋_GB2312" w:hAnsi="仿宋" w:eastAsia="仿宋_GB2312" w:cs="Arial"/>
          <w:color w:val="auto"/>
          <w:kern w:val="0"/>
          <w:sz w:val="32"/>
          <w:szCs w:val="32"/>
        </w:rPr>
        <w:t>将政务公开工作纳入重要议事日程</w:t>
      </w:r>
      <w:r>
        <w:rPr>
          <w:rFonts w:hint="eastAsia" w:ascii="仿宋_GB2312" w:hAnsi="仿宋" w:eastAsia="仿宋_GB2312" w:cs="Arial"/>
          <w:color w:val="auto"/>
          <w:kern w:val="0"/>
          <w:sz w:val="32"/>
          <w:szCs w:val="32"/>
          <w:lang w:eastAsia="zh-CN"/>
        </w:rPr>
        <w:t>，</w:t>
      </w:r>
      <w:r>
        <w:rPr>
          <w:rFonts w:ascii="仿宋_GB2312" w:hAnsi="宋体" w:eastAsia="仿宋_GB2312" w:cs="仿宋_GB2312"/>
          <w:i w:val="0"/>
          <w:caps w:val="0"/>
          <w:color w:val="000000"/>
          <w:spacing w:val="0"/>
          <w:sz w:val="32"/>
          <w:szCs w:val="32"/>
          <w:shd w:val="clear" w:fill="FFFFFF"/>
        </w:rPr>
        <w:t>成立政务公开工作领导小组</w:t>
      </w:r>
      <w:r>
        <w:rPr>
          <w:rFonts w:ascii="仿宋_GB2312" w:hAnsi="仿宋" w:eastAsia="仿宋_GB2312" w:cs="Arial"/>
          <w:color w:val="auto"/>
          <w:kern w:val="0"/>
          <w:sz w:val="32"/>
          <w:szCs w:val="32"/>
        </w:rPr>
        <w:t>，</w:t>
      </w:r>
      <w:r>
        <w:rPr>
          <w:rFonts w:ascii="仿宋_GB2312" w:hAnsi="仿宋" w:eastAsia="仿宋_GB2312" w:cs="Arial"/>
          <w:kern w:val="0"/>
          <w:sz w:val="32"/>
          <w:szCs w:val="32"/>
        </w:rPr>
        <w:t>明确分管领导，并安排专人从事政务公开具体工作。</w:t>
      </w:r>
    </w:p>
    <w:p>
      <w:pPr>
        <w:ind w:firstLine="640" w:firstLineChars="200"/>
        <w:rPr>
          <w:rFonts w:hint="eastAsia" w:ascii="黑体" w:hAnsi="黑体" w:eastAsia="黑体"/>
          <w:sz w:val="32"/>
          <w:szCs w:val="32"/>
        </w:rPr>
      </w:pPr>
      <w:r>
        <w:rPr>
          <w:rFonts w:hint="eastAsia" w:ascii="黑体" w:hAnsi="黑体" w:eastAsia="黑体"/>
          <w:sz w:val="32"/>
          <w:szCs w:val="32"/>
          <w:lang w:val="en-US" w:eastAsia="zh-CN"/>
        </w:rPr>
        <w:t>2.</w:t>
      </w:r>
      <w:r>
        <w:rPr>
          <w:rFonts w:hint="eastAsia" w:ascii="黑体" w:hAnsi="黑体" w:eastAsia="黑体"/>
          <w:sz w:val="32"/>
          <w:szCs w:val="32"/>
        </w:rPr>
        <w:t>主动公开政府信息情况</w:t>
      </w:r>
    </w:p>
    <w:tbl>
      <w:tblPr>
        <w:tblStyle w:val="6"/>
        <w:tblW w:w="823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509"/>
        <w:gridCol w:w="1842"/>
        <w:gridCol w:w="1888"/>
        <w:gridCol w:w="19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8234" w:type="dxa"/>
            <w:gridSpan w:val="4"/>
            <w:tcBorders>
              <w:bottom w:val="single" w:color="000000" w:sz="2" w:space="0"/>
            </w:tcBorders>
            <w:vAlign w:val="center"/>
          </w:tcPr>
          <w:p>
            <w:pPr>
              <w:jc w:val="center"/>
              <w:rPr>
                <w:sz w:val="21"/>
                <w:szCs w:val="21"/>
              </w:rPr>
            </w:pPr>
            <w:r>
              <w:rPr>
                <w:rFonts w:hint="eastAsia" w:ascii="黑体" w:hAnsi="黑体" w:eastAsia="黑体" w:cs="黑体"/>
                <w:sz w:val="21"/>
                <w:szCs w:val="21"/>
              </w:rPr>
              <w:t>第二十条第（一）项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2509"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本年新制作数量</w:t>
            </w:r>
          </w:p>
        </w:tc>
        <w:tc>
          <w:tcPr>
            <w:tcW w:w="188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本年新公开数量</w:t>
            </w:r>
          </w:p>
        </w:tc>
        <w:tc>
          <w:tcPr>
            <w:tcW w:w="1995" w:type="dxa"/>
            <w:tcBorders>
              <w:top w:val="single" w:color="000000" w:sz="2" w:space="0"/>
              <w:left w:val="single" w:color="000000" w:sz="2" w:space="0"/>
              <w:bottom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对外公开总数量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2509"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规章</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2509"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规范性文件</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8234" w:type="dxa"/>
            <w:gridSpan w:val="4"/>
            <w:tcBorders>
              <w:top w:val="single" w:color="000000" w:sz="2" w:space="0"/>
              <w:bottom w:val="single" w:color="000000" w:sz="2" w:space="0"/>
            </w:tcBorders>
            <w:vAlign w:val="center"/>
          </w:tcPr>
          <w:p>
            <w:pPr>
              <w:jc w:val="center"/>
              <w:rPr>
                <w:rFonts w:ascii="黑体" w:hAnsi="黑体" w:eastAsia="黑体" w:cs="黑体"/>
                <w:sz w:val="21"/>
                <w:szCs w:val="21"/>
              </w:rPr>
            </w:pPr>
            <w:r>
              <w:rPr>
                <w:rFonts w:hint="eastAsia" w:ascii="黑体" w:hAnsi="黑体" w:eastAsia="黑体" w:cs="黑体"/>
                <w:sz w:val="21"/>
                <w:szCs w:val="21"/>
              </w:rPr>
              <w:t>第二十条第（五）项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上一年项目数量</w:t>
            </w:r>
          </w:p>
        </w:tc>
        <w:tc>
          <w:tcPr>
            <w:tcW w:w="188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本年增/减</w:t>
            </w:r>
          </w:p>
        </w:tc>
        <w:tc>
          <w:tcPr>
            <w:tcW w:w="1995" w:type="dxa"/>
            <w:tcBorders>
              <w:top w:val="single" w:color="000000" w:sz="2" w:space="0"/>
              <w:left w:val="single" w:color="000000" w:sz="2" w:space="0"/>
              <w:bottom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处理决定数量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行政许可</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其他对外管理服务事项</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8234" w:type="dxa"/>
            <w:gridSpan w:val="4"/>
            <w:tcBorders>
              <w:top w:val="single" w:color="000000" w:sz="2" w:space="0"/>
              <w:bottom w:val="single" w:color="000000" w:sz="2" w:space="0"/>
            </w:tcBorders>
            <w:vAlign w:val="center"/>
          </w:tcPr>
          <w:p>
            <w:pPr>
              <w:jc w:val="center"/>
              <w:rPr>
                <w:rFonts w:ascii="黑体" w:hAnsi="黑体" w:eastAsia="黑体" w:cs="黑体"/>
                <w:sz w:val="21"/>
                <w:szCs w:val="21"/>
              </w:rPr>
            </w:pPr>
            <w:r>
              <w:rPr>
                <w:rFonts w:hint="eastAsia" w:ascii="黑体" w:hAnsi="黑体" w:eastAsia="黑体" w:cs="黑体"/>
                <w:sz w:val="21"/>
                <w:szCs w:val="21"/>
              </w:rPr>
              <w:t>第二十条第（六）项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上一年项目数量</w:t>
            </w:r>
          </w:p>
        </w:tc>
        <w:tc>
          <w:tcPr>
            <w:tcW w:w="1888"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本年增/减</w:t>
            </w:r>
          </w:p>
        </w:tc>
        <w:tc>
          <w:tcPr>
            <w:tcW w:w="1995" w:type="dxa"/>
            <w:tcBorders>
              <w:top w:val="single" w:color="000000" w:sz="2" w:space="0"/>
              <w:left w:val="single" w:color="000000" w:sz="2" w:space="0"/>
              <w:bottom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处理决定数量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行政处罚</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2509"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行政强制</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c>
          <w:tcPr>
            <w:tcW w:w="1888"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c>
          <w:tcPr>
            <w:tcW w:w="1995" w:type="dxa"/>
            <w:tcBorders>
              <w:top w:val="single" w:color="000000" w:sz="2" w:space="0"/>
              <w:left w:val="single" w:color="000000" w:sz="2" w:space="0"/>
              <w:bottom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8234" w:type="dxa"/>
            <w:gridSpan w:val="4"/>
            <w:tcBorders>
              <w:top w:val="single" w:color="000000" w:sz="2" w:space="0"/>
              <w:bottom w:val="single" w:color="000000" w:sz="2" w:space="0"/>
            </w:tcBorders>
            <w:vAlign w:val="center"/>
          </w:tcPr>
          <w:p>
            <w:pPr>
              <w:jc w:val="center"/>
              <w:rPr>
                <w:rFonts w:ascii="黑体" w:hAnsi="黑体" w:eastAsia="黑体" w:cs="黑体"/>
                <w:sz w:val="21"/>
                <w:szCs w:val="21"/>
              </w:rPr>
            </w:pPr>
            <w:r>
              <w:rPr>
                <w:rFonts w:hint="eastAsia" w:ascii="黑体" w:hAnsi="黑体" w:eastAsia="黑体" w:cs="黑体"/>
                <w:sz w:val="21"/>
                <w:szCs w:val="21"/>
              </w:rPr>
              <w:t>第二十条第（八）项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2509"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上一年项目数量</w:t>
            </w:r>
          </w:p>
        </w:tc>
        <w:tc>
          <w:tcPr>
            <w:tcW w:w="3883" w:type="dxa"/>
            <w:gridSpan w:val="2"/>
            <w:tcBorders>
              <w:top w:val="single" w:color="000000" w:sz="2" w:space="0"/>
              <w:left w:val="single" w:color="000000" w:sz="2" w:space="0"/>
              <w:bottom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本年增/减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2509"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行政事业性收费</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c>
          <w:tcPr>
            <w:tcW w:w="3883" w:type="dxa"/>
            <w:gridSpan w:val="2"/>
            <w:tcBorders>
              <w:top w:val="single" w:color="000000" w:sz="2" w:space="0"/>
              <w:left w:val="single" w:color="000000" w:sz="2" w:space="0"/>
              <w:bottom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7" w:hRule="atLeast"/>
        </w:trPr>
        <w:tc>
          <w:tcPr>
            <w:tcW w:w="8234" w:type="dxa"/>
            <w:gridSpan w:val="4"/>
            <w:tcBorders>
              <w:top w:val="single" w:color="000000" w:sz="2" w:space="0"/>
              <w:bottom w:val="single" w:color="000000" w:sz="2" w:space="0"/>
            </w:tcBorders>
            <w:vAlign w:val="center"/>
          </w:tcPr>
          <w:p>
            <w:pPr>
              <w:jc w:val="center"/>
              <w:rPr>
                <w:rFonts w:ascii="黑体" w:hAnsi="黑体" w:eastAsia="黑体" w:cs="黑体"/>
                <w:sz w:val="21"/>
                <w:szCs w:val="21"/>
              </w:rPr>
            </w:pPr>
            <w:r>
              <w:rPr>
                <w:rFonts w:hint="eastAsia" w:ascii="黑体" w:hAnsi="黑体" w:eastAsia="黑体" w:cs="黑体"/>
                <w:sz w:val="21"/>
                <w:szCs w:val="21"/>
              </w:rPr>
              <w:t>第二十条第（九）项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2509" w:type="dxa"/>
            <w:tcBorders>
              <w:top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信息内容</w:t>
            </w:r>
          </w:p>
        </w:tc>
        <w:tc>
          <w:tcPr>
            <w:tcW w:w="1842" w:type="dxa"/>
            <w:tcBorders>
              <w:top w:val="single" w:color="000000" w:sz="2" w:space="0"/>
              <w:left w:val="single" w:color="000000" w:sz="2" w:space="0"/>
              <w:bottom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采购项目数量</w:t>
            </w:r>
          </w:p>
        </w:tc>
        <w:tc>
          <w:tcPr>
            <w:tcW w:w="3883" w:type="dxa"/>
            <w:gridSpan w:val="2"/>
            <w:tcBorders>
              <w:top w:val="single" w:color="000000" w:sz="2" w:space="0"/>
              <w:left w:val="single" w:color="000000" w:sz="2" w:space="0"/>
              <w:bottom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采购总金额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trPr>
        <w:tc>
          <w:tcPr>
            <w:tcW w:w="2509" w:type="dxa"/>
            <w:tcBorders>
              <w:top w:val="single" w:color="000000" w:sz="2" w:space="0"/>
              <w:right w:val="single" w:color="000000" w:sz="2" w:space="0"/>
            </w:tcBorders>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政府集中采购</w:t>
            </w:r>
          </w:p>
        </w:tc>
        <w:tc>
          <w:tcPr>
            <w:tcW w:w="1842" w:type="dxa"/>
            <w:tcBorders>
              <w:top w:val="single" w:color="000000" w:sz="2" w:space="0"/>
              <w:left w:val="single" w:color="000000" w:sz="2" w:space="0"/>
              <w:righ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c>
          <w:tcPr>
            <w:tcW w:w="3883" w:type="dxa"/>
            <w:gridSpan w:val="2"/>
            <w:tcBorders>
              <w:top w:val="single" w:color="000000" w:sz="2" w:space="0"/>
              <w:left w:val="single" w:color="000000" w:sz="2" w:space="0"/>
            </w:tcBorders>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r>
    </w:tbl>
    <w:p>
      <w:pPr>
        <w:numPr>
          <w:ilvl w:val="0"/>
          <w:numId w:val="0"/>
        </w:numPr>
        <w:ind w:firstLine="640" w:firstLineChars="200"/>
        <w:rPr>
          <w:rFonts w:hint="eastAsia" w:ascii="黑体" w:hAnsi="黑体" w:eastAsia="黑体"/>
          <w:sz w:val="32"/>
          <w:szCs w:val="32"/>
        </w:rPr>
      </w:pPr>
      <w:r>
        <w:rPr>
          <w:rFonts w:hint="eastAsia" w:ascii="黑体" w:hAnsi="黑体" w:eastAsia="黑体"/>
          <w:sz w:val="32"/>
          <w:szCs w:val="32"/>
          <w:lang w:val="en-US" w:eastAsia="zh-CN"/>
        </w:rPr>
        <w:t>3.</w:t>
      </w:r>
      <w:r>
        <w:rPr>
          <w:rFonts w:hint="eastAsia" w:ascii="黑体" w:hAnsi="黑体" w:eastAsia="黑体"/>
          <w:sz w:val="32"/>
          <w:szCs w:val="32"/>
        </w:rPr>
        <w:t>收到和处理政府信息公开申请情况</w:t>
      </w:r>
    </w:p>
    <w:tbl>
      <w:tblPr>
        <w:tblStyle w:val="7"/>
        <w:tblpPr w:leftFromText="181" w:rightFromText="181" w:vertAnchor="text" w:horzAnchor="page" w:tblpXSpec="center" w:tblpY="28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1135"/>
        <w:gridCol w:w="1882"/>
        <w:gridCol w:w="566"/>
        <w:gridCol w:w="636"/>
        <w:gridCol w:w="636"/>
        <w:gridCol w:w="775"/>
        <w:gridCol w:w="775"/>
        <w:gridCol w:w="496"/>
        <w:gridCol w:w="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0" w:type="auto"/>
            <w:gridSpan w:val="3"/>
            <w:vMerge w:val="restart"/>
            <w:vAlign w:val="center"/>
          </w:tcPr>
          <w:p>
            <w:pPr>
              <w:jc w:val="center"/>
              <w:rPr>
                <w:rFonts w:ascii="黑体" w:hAnsi="黑体" w:eastAsia="黑体" w:cs="黑体"/>
                <w:sz w:val="21"/>
                <w:szCs w:val="21"/>
              </w:rPr>
            </w:pPr>
            <w:r>
              <w:rPr>
                <w:rFonts w:hint="eastAsia" w:ascii="黑体" w:hAnsi="黑体" w:eastAsia="黑体" w:cs="黑体"/>
                <w:sz w:val="21"/>
                <w:szCs w:val="21"/>
              </w:rPr>
              <w:t>（本列数据的勾稽关系为：第一项加第二项之和，等于第三项加第四项之和）</w:t>
            </w:r>
          </w:p>
        </w:tc>
        <w:tc>
          <w:tcPr>
            <w:tcW w:w="0" w:type="auto"/>
            <w:gridSpan w:val="7"/>
            <w:vAlign w:val="center"/>
          </w:tcPr>
          <w:p>
            <w:pPr>
              <w:jc w:val="center"/>
              <w:rPr>
                <w:rFonts w:ascii="黑体" w:hAnsi="黑体" w:eastAsia="黑体" w:cs="黑体"/>
                <w:sz w:val="21"/>
                <w:szCs w:val="21"/>
              </w:rPr>
            </w:pPr>
            <w:r>
              <w:rPr>
                <w:rFonts w:hint="eastAsia" w:ascii="黑体" w:hAnsi="黑体" w:eastAsia="黑体" w:cs="黑体"/>
                <w:sz w:val="21"/>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0" w:type="auto"/>
            <w:gridSpan w:val="3"/>
            <w:vMerge w:val="continue"/>
            <w:vAlign w:val="center"/>
          </w:tcPr>
          <w:p>
            <w:pPr>
              <w:jc w:val="center"/>
              <w:rPr>
                <w:rFonts w:ascii="黑体" w:hAnsi="黑体" w:eastAsia="黑体" w:cs="黑体"/>
                <w:sz w:val="21"/>
                <w:szCs w:val="21"/>
              </w:rPr>
            </w:pPr>
          </w:p>
        </w:tc>
        <w:tc>
          <w:tcPr>
            <w:tcW w:w="0" w:type="auto"/>
            <w:vMerge w:val="restart"/>
            <w:vAlign w:val="center"/>
          </w:tcPr>
          <w:p>
            <w:pPr>
              <w:jc w:val="center"/>
              <w:rPr>
                <w:rFonts w:ascii="黑体" w:hAnsi="黑体" w:eastAsia="黑体" w:cs="黑体"/>
                <w:sz w:val="21"/>
                <w:szCs w:val="21"/>
              </w:rPr>
            </w:pPr>
            <w:r>
              <w:rPr>
                <w:rFonts w:hint="eastAsia" w:ascii="黑体" w:hAnsi="黑体" w:eastAsia="黑体" w:cs="黑体"/>
                <w:sz w:val="21"/>
                <w:szCs w:val="21"/>
              </w:rPr>
              <w:t>自然人</w:t>
            </w:r>
          </w:p>
        </w:tc>
        <w:tc>
          <w:tcPr>
            <w:tcW w:w="0" w:type="auto"/>
            <w:gridSpan w:val="5"/>
            <w:vAlign w:val="center"/>
          </w:tcPr>
          <w:p>
            <w:pPr>
              <w:jc w:val="center"/>
              <w:rPr>
                <w:rFonts w:ascii="黑体" w:hAnsi="黑体" w:eastAsia="黑体" w:cs="黑体"/>
                <w:sz w:val="21"/>
                <w:szCs w:val="21"/>
              </w:rPr>
            </w:pPr>
            <w:r>
              <w:rPr>
                <w:rFonts w:hint="eastAsia" w:ascii="黑体" w:hAnsi="黑体" w:eastAsia="黑体" w:cs="黑体"/>
                <w:sz w:val="21"/>
                <w:szCs w:val="21"/>
              </w:rPr>
              <w:t>法人或其他组织</w:t>
            </w:r>
          </w:p>
        </w:tc>
        <w:tc>
          <w:tcPr>
            <w:tcW w:w="0" w:type="auto"/>
            <w:vMerge w:val="restart"/>
            <w:vAlign w:val="center"/>
          </w:tcPr>
          <w:p>
            <w:pPr>
              <w:jc w:val="center"/>
              <w:rPr>
                <w:rFonts w:ascii="黑体" w:hAnsi="黑体" w:eastAsia="黑体" w:cs="黑体"/>
                <w:sz w:val="21"/>
                <w:szCs w:val="21"/>
              </w:rPr>
            </w:pPr>
            <w:r>
              <w:rPr>
                <w:rFonts w:hint="eastAsia" w:ascii="黑体" w:hAnsi="黑体" w:eastAsia="黑体" w:cs="黑体"/>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0" w:type="auto"/>
            <w:gridSpan w:val="3"/>
            <w:vMerge w:val="continue"/>
            <w:vAlign w:val="center"/>
          </w:tcPr>
          <w:p>
            <w:pPr>
              <w:jc w:val="center"/>
              <w:rPr>
                <w:rFonts w:ascii="黑体" w:hAnsi="黑体" w:eastAsia="黑体" w:cs="黑体"/>
                <w:sz w:val="21"/>
                <w:szCs w:val="21"/>
              </w:rPr>
            </w:pPr>
          </w:p>
        </w:tc>
        <w:tc>
          <w:tcPr>
            <w:tcW w:w="0" w:type="auto"/>
            <w:vMerge w:val="continue"/>
            <w:vAlign w:val="center"/>
          </w:tcPr>
          <w:p>
            <w:pPr>
              <w:jc w:val="center"/>
              <w:rPr>
                <w:rFonts w:ascii="黑体" w:hAnsi="黑体" w:eastAsia="黑体" w:cs="黑体"/>
                <w:sz w:val="21"/>
                <w:szCs w:val="21"/>
              </w:rPr>
            </w:pPr>
          </w:p>
        </w:tc>
        <w:tc>
          <w:tcPr>
            <w:tcW w:w="0" w:type="auto"/>
            <w:vAlign w:val="center"/>
          </w:tcPr>
          <w:p>
            <w:pPr>
              <w:jc w:val="center"/>
              <w:rPr>
                <w:rFonts w:ascii="黑体" w:hAnsi="黑体" w:eastAsia="黑体" w:cs="黑体"/>
                <w:sz w:val="21"/>
                <w:szCs w:val="21"/>
              </w:rPr>
            </w:pPr>
            <w:r>
              <w:rPr>
                <w:rFonts w:hint="eastAsia" w:ascii="黑体" w:hAnsi="黑体" w:eastAsia="黑体" w:cs="黑体"/>
                <w:sz w:val="21"/>
                <w:szCs w:val="21"/>
              </w:rPr>
              <w:t>商业企业</w:t>
            </w:r>
          </w:p>
        </w:tc>
        <w:tc>
          <w:tcPr>
            <w:tcW w:w="0" w:type="auto"/>
            <w:vAlign w:val="center"/>
          </w:tcPr>
          <w:p>
            <w:pPr>
              <w:jc w:val="center"/>
              <w:rPr>
                <w:rFonts w:ascii="黑体" w:hAnsi="黑体" w:eastAsia="黑体" w:cs="黑体"/>
                <w:sz w:val="21"/>
                <w:szCs w:val="21"/>
              </w:rPr>
            </w:pPr>
            <w:r>
              <w:rPr>
                <w:rFonts w:hint="eastAsia" w:ascii="黑体" w:hAnsi="黑体" w:eastAsia="黑体" w:cs="黑体"/>
                <w:sz w:val="21"/>
                <w:szCs w:val="21"/>
              </w:rPr>
              <w:t>科研机构</w:t>
            </w:r>
          </w:p>
        </w:tc>
        <w:tc>
          <w:tcPr>
            <w:tcW w:w="0" w:type="auto"/>
            <w:vAlign w:val="center"/>
          </w:tcPr>
          <w:p>
            <w:pPr>
              <w:jc w:val="center"/>
              <w:rPr>
                <w:rFonts w:ascii="黑体" w:hAnsi="黑体" w:eastAsia="黑体" w:cs="黑体"/>
                <w:sz w:val="21"/>
                <w:szCs w:val="21"/>
              </w:rPr>
            </w:pPr>
            <w:r>
              <w:rPr>
                <w:rFonts w:hint="eastAsia" w:ascii="黑体" w:hAnsi="黑体" w:eastAsia="黑体" w:cs="黑体"/>
                <w:sz w:val="21"/>
                <w:szCs w:val="21"/>
              </w:rPr>
              <w:t>社会公益组织</w:t>
            </w:r>
          </w:p>
        </w:tc>
        <w:tc>
          <w:tcPr>
            <w:tcW w:w="0" w:type="auto"/>
            <w:vAlign w:val="center"/>
          </w:tcPr>
          <w:p>
            <w:pPr>
              <w:jc w:val="center"/>
              <w:rPr>
                <w:rFonts w:ascii="黑体" w:hAnsi="黑体" w:eastAsia="黑体" w:cs="黑体"/>
                <w:sz w:val="21"/>
                <w:szCs w:val="21"/>
              </w:rPr>
            </w:pPr>
            <w:r>
              <w:rPr>
                <w:rFonts w:hint="eastAsia" w:ascii="黑体" w:hAnsi="黑体" w:eastAsia="黑体" w:cs="黑体"/>
                <w:sz w:val="21"/>
                <w:szCs w:val="21"/>
              </w:rPr>
              <w:t>法律服务机构</w:t>
            </w:r>
          </w:p>
        </w:tc>
        <w:tc>
          <w:tcPr>
            <w:tcW w:w="0" w:type="auto"/>
            <w:vAlign w:val="center"/>
          </w:tcPr>
          <w:p>
            <w:pPr>
              <w:jc w:val="center"/>
              <w:rPr>
                <w:rFonts w:ascii="黑体" w:hAnsi="黑体" w:eastAsia="黑体" w:cs="黑体"/>
                <w:sz w:val="21"/>
                <w:szCs w:val="21"/>
              </w:rPr>
            </w:pPr>
            <w:r>
              <w:rPr>
                <w:rFonts w:hint="eastAsia" w:ascii="黑体" w:hAnsi="黑体" w:eastAsia="黑体" w:cs="黑体"/>
                <w:sz w:val="21"/>
                <w:szCs w:val="21"/>
              </w:rPr>
              <w:t>其他</w:t>
            </w:r>
          </w:p>
        </w:tc>
        <w:tc>
          <w:tcPr>
            <w:tcW w:w="0" w:type="auto"/>
            <w:vMerge w:val="continue"/>
            <w:vAlign w:val="center"/>
          </w:tcPr>
          <w:p>
            <w:pPr>
              <w:rPr>
                <w:rFonts w:asciiTheme="minorHAnsi" w:hAnsiTheme="minorHAnsi" w:eastAsiaTheme="minorEastAsia" w:cstheme="minorBid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0" w:type="auto"/>
            <w:gridSpan w:val="3"/>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一、本年新收政府信息公开申请数量</w:t>
            </w: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0" w:type="auto"/>
            <w:gridSpan w:val="3"/>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二、上年结转政府信息公开申请数量</w:t>
            </w: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0" w:type="auto"/>
            <w:vMerge w:val="restart"/>
            <w:vAlign w:val="center"/>
          </w:tcPr>
          <w:p>
            <w:pPr>
              <w:jc w:val="both"/>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三、本年度办理结果</w:t>
            </w:r>
          </w:p>
        </w:tc>
        <w:tc>
          <w:tcPr>
            <w:tcW w:w="0" w:type="auto"/>
            <w:gridSpan w:val="2"/>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（一）予以公开</w:t>
            </w: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r>
      <w:tr>
        <w:tblPrEx>
          <w:tblCellMar>
            <w:top w:w="0" w:type="dxa"/>
            <w:left w:w="108" w:type="dxa"/>
            <w:bottom w:w="0" w:type="dxa"/>
            <w:right w:w="108" w:type="dxa"/>
          </w:tblCellMar>
        </w:tblPrEx>
        <w:trPr>
          <w:trHeight w:val="654"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gridSpan w:val="2"/>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（二）部分公开（区分处理的，只计这一情形，不计其他情形）</w:t>
            </w: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r>
      <w:tr>
        <w:tblPrEx>
          <w:tblCellMar>
            <w:top w:w="0" w:type="dxa"/>
            <w:left w:w="108" w:type="dxa"/>
            <w:bottom w:w="0" w:type="dxa"/>
            <w:right w:w="108" w:type="dxa"/>
          </w:tblCellMar>
        </w:tblPrEx>
        <w:trPr>
          <w:trHeight w:val="516"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restart"/>
            <w:vAlign w:val="center"/>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（三）不予公开</w:t>
            </w: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1．属于国家秘密</w:t>
            </w: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r>
      <w:tr>
        <w:tblPrEx>
          <w:tblCellMar>
            <w:top w:w="0" w:type="dxa"/>
            <w:left w:w="108" w:type="dxa"/>
            <w:bottom w:w="0" w:type="dxa"/>
            <w:right w:w="108" w:type="dxa"/>
          </w:tblCellMar>
        </w:tblPrEx>
        <w:trPr>
          <w:trHeight w:val="450"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vAlign w:val="center"/>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2．其他法律行政法规禁止公开</w:t>
            </w: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r>
      <w:tr>
        <w:trPr>
          <w:trHeight w:val="443"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vAlign w:val="center"/>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3．危及“三安全一稳定”</w:t>
            </w: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r>
      <w:tr>
        <w:tblPrEx>
          <w:tblCellMar>
            <w:top w:w="0" w:type="dxa"/>
            <w:left w:w="108" w:type="dxa"/>
            <w:bottom w:w="0" w:type="dxa"/>
            <w:right w:w="108" w:type="dxa"/>
          </w:tblCellMar>
        </w:tblPrEx>
        <w:trPr>
          <w:trHeight w:val="420"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vAlign w:val="center"/>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4．保护第三方合法权益</w:t>
            </w: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vAlign w:val="center"/>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5．属于三类内部事务信息</w:t>
            </w: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vAlign w:val="center"/>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6．属于四类过程性信息</w:t>
            </w: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vAlign w:val="center"/>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7．属于行政执法案卷</w:t>
            </w: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vAlign w:val="center"/>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8．属于行政查询事项</w:t>
            </w: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r>
      <w:tr>
        <w:tblPrEx>
          <w:tblCellMar>
            <w:top w:w="0" w:type="dxa"/>
            <w:left w:w="108" w:type="dxa"/>
            <w:bottom w:w="0" w:type="dxa"/>
            <w:right w:w="108" w:type="dxa"/>
          </w:tblCellMar>
        </w:tblPrEx>
        <w:trPr>
          <w:trHeight w:val="435"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restart"/>
            <w:vAlign w:val="center"/>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（四）无法提供</w:t>
            </w: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1．本单位不掌握相关政府信息</w:t>
            </w: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vAlign w:val="center"/>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2．没有现成信息需要另行制作</w:t>
            </w: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vAlign w:val="center"/>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3．补正后申请内容仍不明确</w:t>
            </w: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restart"/>
            <w:vAlign w:val="center"/>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（五）不予处理</w:t>
            </w: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1．信访举报投诉类申请</w:t>
            </w: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2．重复申请</w:t>
            </w: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3．要求提供公开出版物</w:t>
            </w: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r>
      <w:tr>
        <w:tblPrEx>
          <w:tblCellMar>
            <w:top w:w="0" w:type="dxa"/>
            <w:left w:w="108" w:type="dxa"/>
            <w:bottom w:w="0" w:type="dxa"/>
            <w:right w:w="108" w:type="dxa"/>
          </w:tblCellMar>
        </w:tblPrEx>
        <w:trPr>
          <w:trHeight w:val="440"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tcPr>
          <w:p>
            <w:pPr>
              <w:rPr>
                <w:rFonts w:asciiTheme="minorEastAsia" w:hAnsiTheme="minorEastAsia" w:eastAsiaTheme="minorEastAsia" w:cstheme="minorEastAsia"/>
                <w:sz w:val="21"/>
                <w:szCs w:val="21"/>
              </w:rPr>
            </w:pPr>
          </w:p>
        </w:tc>
        <w:tc>
          <w:tcPr>
            <w:tcW w:w="0" w:type="auto"/>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4．无正当理由大量反复申请</w:t>
            </w: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vMerge w:val="continue"/>
          </w:tcPr>
          <w:p>
            <w:pPr>
              <w:rPr>
                <w:rFonts w:asciiTheme="minorEastAsia" w:hAnsiTheme="minorEastAsia" w:eastAsiaTheme="minorEastAsia" w:cstheme="minorEastAsia"/>
                <w:sz w:val="21"/>
                <w:szCs w:val="21"/>
              </w:rPr>
            </w:pPr>
          </w:p>
        </w:tc>
        <w:tc>
          <w:tcPr>
            <w:tcW w:w="0" w:type="auto"/>
          </w:tcPr>
          <w:p>
            <w:pPr>
              <w:ind w:left="210" w:hanging="210" w:hangingChars="1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5．要求行政机关确认或重新出具已获取信息</w:t>
            </w: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gridSpan w:val="2"/>
            <w:vAlign w:val="center"/>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（六）其他处理</w:t>
            </w: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0" w:type="auto"/>
            <w:vMerge w:val="continue"/>
          </w:tcPr>
          <w:p>
            <w:pPr>
              <w:rPr>
                <w:rFonts w:asciiTheme="minorEastAsia" w:hAnsiTheme="minorEastAsia" w:eastAsiaTheme="minorEastAsia" w:cstheme="minorEastAsia"/>
                <w:sz w:val="21"/>
                <w:szCs w:val="21"/>
              </w:rPr>
            </w:pPr>
          </w:p>
        </w:tc>
        <w:tc>
          <w:tcPr>
            <w:tcW w:w="0" w:type="auto"/>
            <w:gridSpan w:val="2"/>
            <w:vAlign w:val="center"/>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（七）总计</w:t>
            </w: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0" w:type="auto"/>
            <w:gridSpan w:val="3"/>
            <w:vAlign w:val="center"/>
          </w:tcPr>
          <w:p>
            <w:pP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四、结转下年度继续办理</w:t>
            </w: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asciiTheme="minorEastAsia" w:hAnsiTheme="minorEastAsia" w:eastAsiaTheme="minorEastAsia" w:cstheme="minorEastAsia"/>
                <w:sz w:val="21"/>
                <w:szCs w:val="21"/>
              </w:rPr>
            </w:pPr>
          </w:p>
        </w:tc>
        <w:tc>
          <w:tcPr>
            <w:tcW w:w="0" w:type="auto"/>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0</w:t>
            </w:r>
          </w:p>
        </w:tc>
      </w:tr>
    </w:tbl>
    <w:p/>
    <w:p>
      <w:pPr>
        <w:numPr>
          <w:ilvl w:val="0"/>
          <w:numId w:val="0"/>
        </w:numPr>
        <w:ind w:firstLine="640" w:firstLineChars="200"/>
        <w:rPr>
          <w:rFonts w:hint="eastAsia" w:ascii="黑体" w:hAnsi="黑体" w:eastAsia="黑体"/>
          <w:sz w:val="32"/>
          <w:szCs w:val="32"/>
        </w:rPr>
      </w:pPr>
      <w:r>
        <w:rPr>
          <w:rFonts w:hint="eastAsia" w:ascii="黑体" w:hAnsi="黑体" w:eastAsia="黑体"/>
          <w:sz w:val="32"/>
          <w:szCs w:val="32"/>
          <w:lang w:val="en-US" w:eastAsia="zh-CN"/>
        </w:rPr>
        <w:t>4.</w:t>
      </w:r>
      <w:r>
        <w:rPr>
          <w:rFonts w:hint="eastAsia" w:ascii="黑体" w:hAnsi="黑体" w:eastAsia="黑体"/>
          <w:sz w:val="32"/>
          <w:szCs w:val="32"/>
        </w:rPr>
        <w:t>政府信息公开行政复议、行政诉讼情况</w:t>
      </w:r>
    </w:p>
    <w:tbl>
      <w:tblPr>
        <w:tblStyle w:val="7"/>
        <w:tblpPr w:leftFromText="180" w:rightFromText="180" w:vertAnchor="text" w:horzAnchor="page" w:tblpX="1890" w:tblpY="4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594"/>
        <w:gridCol w:w="594"/>
        <w:gridCol w:w="594"/>
        <w:gridCol w:w="463"/>
        <w:gridCol w:w="594"/>
        <w:gridCol w:w="594"/>
        <w:gridCol w:w="594"/>
        <w:gridCol w:w="594"/>
        <w:gridCol w:w="463"/>
        <w:gridCol w:w="595"/>
        <w:gridCol w:w="595"/>
        <w:gridCol w:w="595"/>
        <w:gridCol w:w="595"/>
        <w:gridCol w:w="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0" w:type="auto"/>
            <w:gridSpan w:val="5"/>
            <w:vAlign w:val="center"/>
          </w:tcPr>
          <w:p>
            <w:pPr>
              <w:autoSpaceDE/>
              <w:autoSpaceDN/>
              <w:jc w:val="center"/>
              <w:rPr>
                <w:rFonts w:ascii="黑体" w:hAnsi="黑体" w:eastAsia="黑体" w:cs="黑体"/>
                <w:b/>
                <w:bCs/>
                <w:sz w:val="18"/>
                <w:szCs w:val="18"/>
              </w:rPr>
            </w:pPr>
            <w:r>
              <w:rPr>
                <w:rFonts w:hint="eastAsia" w:ascii="黑体" w:hAnsi="黑体" w:eastAsia="黑体" w:cs="黑体"/>
                <w:b/>
                <w:bCs/>
                <w:sz w:val="18"/>
                <w:szCs w:val="18"/>
              </w:rPr>
              <w:t>行政复议</w:t>
            </w:r>
          </w:p>
        </w:tc>
        <w:tc>
          <w:tcPr>
            <w:tcW w:w="0" w:type="auto"/>
            <w:gridSpan w:val="10"/>
            <w:vAlign w:val="center"/>
          </w:tcPr>
          <w:p>
            <w:pPr>
              <w:autoSpaceDE/>
              <w:autoSpaceDN/>
              <w:jc w:val="center"/>
              <w:rPr>
                <w:rFonts w:ascii="黑体" w:hAnsi="黑体" w:eastAsia="黑体" w:cs="黑体"/>
                <w:b/>
                <w:bCs/>
                <w:sz w:val="18"/>
                <w:szCs w:val="18"/>
              </w:rPr>
            </w:pPr>
            <w:r>
              <w:rPr>
                <w:rFonts w:hint="eastAsia" w:ascii="黑体" w:hAnsi="黑体" w:eastAsia="黑体" w:cs="黑体"/>
                <w:b/>
                <w:bCs/>
                <w:sz w:val="18"/>
                <w:szCs w:val="18"/>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0" w:type="auto"/>
            <w:vMerge w:val="restart"/>
            <w:vAlign w:val="center"/>
          </w:tcPr>
          <w:p>
            <w:pPr>
              <w:autoSpaceDE/>
              <w:autoSpaceDN/>
              <w:jc w:val="center"/>
              <w:rPr>
                <w:rFonts w:ascii="黑体" w:hAnsi="黑体" w:eastAsia="黑体" w:cs="黑体"/>
                <w:b/>
                <w:bCs/>
                <w:sz w:val="18"/>
                <w:szCs w:val="18"/>
              </w:rPr>
            </w:pPr>
            <w:r>
              <w:rPr>
                <w:rFonts w:hint="eastAsia" w:ascii="黑体" w:hAnsi="黑体" w:eastAsia="黑体" w:cs="黑体"/>
                <w:b/>
                <w:bCs/>
                <w:sz w:val="18"/>
                <w:szCs w:val="18"/>
              </w:rPr>
              <w:t>结果维持</w:t>
            </w:r>
          </w:p>
        </w:tc>
        <w:tc>
          <w:tcPr>
            <w:tcW w:w="0" w:type="auto"/>
            <w:vMerge w:val="restart"/>
            <w:vAlign w:val="center"/>
          </w:tcPr>
          <w:p>
            <w:pPr>
              <w:autoSpaceDE/>
              <w:autoSpaceDN/>
              <w:jc w:val="center"/>
              <w:rPr>
                <w:rFonts w:ascii="黑体" w:hAnsi="黑体" w:eastAsia="黑体" w:cs="黑体"/>
                <w:b/>
                <w:bCs/>
                <w:sz w:val="18"/>
                <w:szCs w:val="18"/>
              </w:rPr>
            </w:pPr>
            <w:r>
              <w:rPr>
                <w:rFonts w:hint="eastAsia" w:ascii="黑体" w:hAnsi="黑体" w:eastAsia="黑体" w:cs="黑体"/>
                <w:b/>
                <w:bCs/>
                <w:sz w:val="18"/>
                <w:szCs w:val="18"/>
              </w:rPr>
              <w:t>结果纠正</w:t>
            </w:r>
          </w:p>
        </w:tc>
        <w:tc>
          <w:tcPr>
            <w:tcW w:w="0" w:type="auto"/>
            <w:vMerge w:val="restart"/>
            <w:vAlign w:val="center"/>
          </w:tcPr>
          <w:p>
            <w:pPr>
              <w:autoSpaceDE/>
              <w:autoSpaceDN/>
              <w:jc w:val="center"/>
              <w:rPr>
                <w:rFonts w:ascii="黑体" w:hAnsi="黑体" w:eastAsia="黑体" w:cs="黑体"/>
                <w:b/>
                <w:bCs/>
                <w:sz w:val="18"/>
                <w:szCs w:val="18"/>
              </w:rPr>
            </w:pPr>
            <w:r>
              <w:rPr>
                <w:rFonts w:hint="eastAsia" w:ascii="黑体" w:hAnsi="黑体" w:eastAsia="黑体" w:cs="黑体"/>
                <w:b/>
                <w:bCs/>
                <w:sz w:val="18"/>
                <w:szCs w:val="18"/>
              </w:rPr>
              <w:t>其他结果</w:t>
            </w:r>
          </w:p>
        </w:tc>
        <w:tc>
          <w:tcPr>
            <w:tcW w:w="0" w:type="auto"/>
            <w:vMerge w:val="restart"/>
            <w:vAlign w:val="center"/>
          </w:tcPr>
          <w:p>
            <w:pPr>
              <w:autoSpaceDE/>
              <w:autoSpaceDN/>
              <w:jc w:val="center"/>
              <w:rPr>
                <w:rFonts w:ascii="黑体" w:hAnsi="黑体" w:eastAsia="黑体" w:cs="黑体"/>
                <w:b/>
                <w:bCs/>
                <w:sz w:val="18"/>
                <w:szCs w:val="18"/>
              </w:rPr>
            </w:pPr>
            <w:r>
              <w:rPr>
                <w:rFonts w:hint="eastAsia" w:ascii="黑体" w:hAnsi="黑体" w:eastAsia="黑体" w:cs="黑体"/>
                <w:b/>
                <w:bCs/>
                <w:sz w:val="18"/>
                <w:szCs w:val="18"/>
              </w:rPr>
              <w:t>尚未审结</w:t>
            </w:r>
          </w:p>
        </w:tc>
        <w:tc>
          <w:tcPr>
            <w:tcW w:w="0" w:type="auto"/>
            <w:vMerge w:val="restart"/>
            <w:vAlign w:val="center"/>
          </w:tcPr>
          <w:p>
            <w:pPr>
              <w:autoSpaceDE/>
              <w:autoSpaceDN/>
              <w:jc w:val="center"/>
              <w:rPr>
                <w:rFonts w:ascii="黑体" w:hAnsi="黑体" w:eastAsia="黑体" w:cs="黑体"/>
                <w:b/>
                <w:bCs/>
                <w:sz w:val="18"/>
                <w:szCs w:val="18"/>
              </w:rPr>
            </w:pPr>
            <w:r>
              <w:rPr>
                <w:rFonts w:hint="eastAsia" w:ascii="黑体" w:hAnsi="黑体" w:eastAsia="黑体" w:cs="黑体"/>
                <w:b/>
                <w:bCs/>
                <w:sz w:val="18"/>
                <w:szCs w:val="18"/>
              </w:rPr>
              <w:t>总计</w:t>
            </w:r>
          </w:p>
        </w:tc>
        <w:tc>
          <w:tcPr>
            <w:tcW w:w="0" w:type="auto"/>
            <w:gridSpan w:val="5"/>
            <w:vAlign w:val="center"/>
          </w:tcPr>
          <w:p>
            <w:pPr>
              <w:autoSpaceDE/>
              <w:autoSpaceDN/>
              <w:jc w:val="center"/>
              <w:rPr>
                <w:rFonts w:ascii="黑体" w:hAnsi="黑体" w:eastAsia="黑体" w:cs="黑体"/>
                <w:b/>
                <w:bCs/>
                <w:sz w:val="18"/>
                <w:szCs w:val="18"/>
              </w:rPr>
            </w:pPr>
            <w:r>
              <w:rPr>
                <w:rFonts w:hint="eastAsia" w:ascii="黑体" w:hAnsi="黑体" w:eastAsia="黑体" w:cs="黑体"/>
                <w:b/>
                <w:bCs/>
                <w:sz w:val="18"/>
                <w:szCs w:val="18"/>
              </w:rPr>
              <w:t>未经复议直接起诉</w:t>
            </w:r>
          </w:p>
        </w:tc>
        <w:tc>
          <w:tcPr>
            <w:tcW w:w="0" w:type="auto"/>
            <w:gridSpan w:val="5"/>
            <w:vAlign w:val="center"/>
          </w:tcPr>
          <w:p>
            <w:pPr>
              <w:autoSpaceDE/>
              <w:autoSpaceDN/>
              <w:jc w:val="center"/>
              <w:rPr>
                <w:rFonts w:ascii="黑体" w:hAnsi="黑体" w:eastAsia="黑体" w:cs="黑体"/>
                <w:b/>
                <w:bCs/>
                <w:sz w:val="18"/>
                <w:szCs w:val="18"/>
              </w:rPr>
            </w:pPr>
            <w:r>
              <w:rPr>
                <w:rFonts w:hint="eastAsia" w:ascii="黑体" w:hAnsi="黑体" w:eastAsia="黑体" w:cs="黑体"/>
                <w:b/>
                <w:bCs/>
                <w:sz w:val="18"/>
                <w:szCs w:val="18"/>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vAlign w:val="center"/>
          </w:tcPr>
          <w:p>
            <w:pPr>
              <w:jc w:val="center"/>
              <w:rPr>
                <w:rFonts w:ascii="黑体" w:hAnsi="黑体" w:eastAsia="黑体" w:cs="黑体"/>
                <w:b/>
                <w:bCs/>
                <w:sz w:val="18"/>
                <w:szCs w:val="18"/>
              </w:rPr>
            </w:pPr>
          </w:p>
        </w:tc>
        <w:tc>
          <w:tcPr>
            <w:tcW w:w="0" w:type="auto"/>
            <w:vMerge w:val="continue"/>
            <w:vAlign w:val="center"/>
          </w:tcPr>
          <w:p>
            <w:pPr>
              <w:jc w:val="center"/>
              <w:rPr>
                <w:rFonts w:ascii="黑体" w:hAnsi="黑体" w:eastAsia="黑体" w:cs="黑体"/>
                <w:b/>
                <w:bCs/>
                <w:sz w:val="18"/>
                <w:szCs w:val="18"/>
              </w:rPr>
            </w:pPr>
          </w:p>
        </w:tc>
        <w:tc>
          <w:tcPr>
            <w:tcW w:w="0" w:type="auto"/>
            <w:vMerge w:val="continue"/>
            <w:vAlign w:val="center"/>
          </w:tcPr>
          <w:p>
            <w:pPr>
              <w:jc w:val="center"/>
              <w:rPr>
                <w:rFonts w:ascii="黑体" w:hAnsi="黑体" w:eastAsia="黑体" w:cs="黑体"/>
                <w:b/>
                <w:bCs/>
                <w:sz w:val="18"/>
                <w:szCs w:val="18"/>
              </w:rPr>
            </w:pPr>
          </w:p>
        </w:tc>
        <w:tc>
          <w:tcPr>
            <w:tcW w:w="0" w:type="auto"/>
            <w:vMerge w:val="continue"/>
            <w:vAlign w:val="center"/>
          </w:tcPr>
          <w:p>
            <w:pPr>
              <w:jc w:val="center"/>
              <w:rPr>
                <w:rFonts w:ascii="黑体" w:hAnsi="黑体" w:eastAsia="黑体" w:cs="黑体"/>
                <w:b/>
                <w:bCs/>
                <w:sz w:val="18"/>
                <w:szCs w:val="18"/>
              </w:rPr>
            </w:pPr>
          </w:p>
        </w:tc>
        <w:tc>
          <w:tcPr>
            <w:tcW w:w="0" w:type="auto"/>
            <w:vMerge w:val="continue"/>
            <w:vAlign w:val="center"/>
          </w:tcPr>
          <w:p>
            <w:pPr>
              <w:jc w:val="center"/>
              <w:rPr>
                <w:rFonts w:ascii="黑体" w:hAnsi="黑体" w:eastAsia="黑体" w:cs="黑体"/>
                <w:b/>
                <w:bCs/>
                <w:sz w:val="18"/>
                <w:szCs w:val="18"/>
              </w:rPr>
            </w:pPr>
          </w:p>
        </w:tc>
        <w:tc>
          <w:tcPr>
            <w:tcW w:w="0" w:type="auto"/>
            <w:vAlign w:val="center"/>
          </w:tcPr>
          <w:p>
            <w:pPr>
              <w:jc w:val="center"/>
              <w:rPr>
                <w:rFonts w:ascii="黑体" w:hAnsi="黑体" w:eastAsia="黑体" w:cs="黑体"/>
                <w:b/>
                <w:bCs/>
                <w:sz w:val="18"/>
                <w:szCs w:val="18"/>
              </w:rPr>
            </w:pPr>
            <w:r>
              <w:rPr>
                <w:rFonts w:hint="eastAsia" w:ascii="黑体" w:hAnsi="黑体" w:eastAsia="黑体" w:cs="黑体"/>
                <w:b/>
                <w:bCs/>
                <w:sz w:val="18"/>
                <w:szCs w:val="18"/>
              </w:rPr>
              <w:t>结果维持</w:t>
            </w:r>
          </w:p>
        </w:tc>
        <w:tc>
          <w:tcPr>
            <w:tcW w:w="0" w:type="auto"/>
            <w:vAlign w:val="center"/>
          </w:tcPr>
          <w:p>
            <w:pPr>
              <w:jc w:val="center"/>
              <w:rPr>
                <w:rFonts w:ascii="黑体" w:hAnsi="黑体" w:eastAsia="黑体" w:cs="黑体"/>
                <w:b/>
                <w:bCs/>
                <w:sz w:val="18"/>
                <w:szCs w:val="18"/>
              </w:rPr>
            </w:pPr>
            <w:r>
              <w:rPr>
                <w:rFonts w:hint="eastAsia" w:ascii="黑体" w:hAnsi="黑体" w:eastAsia="黑体" w:cs="黑体"/>
                <w:b/>
                <w:bCs/>
                <w:sz w:val="18"/>
                <w:szCs w:val="18"/>
              </w:rPr>
              <w:t>结果纠正</w:t>
            </w:r>
          </w:p>
        </w:tc>
        <w:tc>
          <w:tcPr>
            <w:tcW w:w="0" w:type="auto"/>
            <w:vAlign w:val="center"/>
          </w:tcPr>
          <w:p>
            <w:pPr>
              <w:jc w:val="center"/>
              <w:rPr>
                <w:rFonts w:ascii="黑体" w:hAnsi="黑体" w:eastAsia="黑体" w:cs="黑体"/>
                <w:b/>
                <w:bCs/>
                <w:sz w:val="18"/>
                <w:szCs w:val="18"/>
              </w:rPr>
            </w:pPr>
            <w:r>
              <w:rPr>
                <w:rFonts w:hint="eastAsia" w:ascii="黑体" w:hAnsi="黑体" w:eastAsia="黑体" w:cs="黑体"/>
                <w:b/>
                <w:bCs/>
                <w:sz w:val="18"/>
                <w:szCs w:val="18"/>
              </w:rPr>
              <w:t>其他结果</w:t>
            </w:r>
          </w:p>
        </w:tc>
        <w:tc>
          <w:tcPr>
            <w:tcW w:w="0" w:type="auto"/>
            <w:vAlign w:val="center"/>
          </w:tcPr>
          <w:p>
            <w:pPr>
              <w:jc w:val="center"/>
              <w:rPr>
                <w:rFonts w:ascii="黑体" w:hAnsi="黑体" w:eastAsia="黑体" w:cs="黑体"/>
                <w:b/>
                <w:bCs/>
                <w:sz w:val="18"/>
                <w:szCs w:val="18"/>
              </w:rPr>
            </w:pPr>
            <w:r>
              <w:rPr>
                <w:rFonts w:hint="eastAsia" w:ascii="黑体" w:hAnsi="黑体" w:eastAsia="黑体" w:cs="黑体"/>
                <w:b/>
                <w:bCs/>
                <w:sz w:val="18"/>
                <w:szCs w:val="18"/>
              </w:rPr>
              <w:t>尚未审结</w:t>
            </w:r>
          </w:p>
        </w:tc>
        <w:tc>
          <w:tcPr>
            <w:tcW w:w="0" w:type="auto"/>
            <w:vAlign w:val="center"/>
          </w:tcPr>
          <w:p>
            <w:pPr>
              <w:jc w:val="center"/>
              <w:rPr>
                <w:rFonts w:ascii="黑体" w:hAnsi="黑体" w:eastAsia="黑体" w:cs="黑体"/>
                <w:b/>
                <w:bCs/>
                <w:sz w:val="18"/>
                <w:szCs w:val="18"/>
              </w:rPr>
            </w:pPr>
            <w:r>
              <w:rPr>
                <w:rFonts w:hint="eastAsia" w:ascii="黑体" w:hAnsi="黑体" w:eastAsia="黑体" w:cs="黑体"/>
                <w:b/>
                <w:bCs/>
                <w:sz w:val="18"/>
                <w:szCs w:val="18"/>
              </w:rPr>
              <w:t>总计</w:t>
            </w:r>
          </w:p>
        </w:tc>
        <w:tc>
          <w:tcPr>
            <w:tcW w:w="0" w:type="auto"/>
            <w:vAlign w:val="center"/>
          </w:tcPr>
          <w:p>
            <w:pPr>
              <w:jc w:val="center"/>
              <w:rPr>
                <w:rFonts w:ascii="黑体" w:hAnsi="黑体" w:eastAsia="黑体" w:cs="黑体"/>
                <w:b/>
                <w:bCs/>
                <w:sz w:val="18"/>
                <w:szCs w:val="18"/>
              </w:rPr>
            </w:pPr>
            <w:r>
              <w:rPr>
                <w:rFonts w:hint="eastAsia" w:ascii="黑体" w:hAnsi="黑体" w:eastAsia="黑体" w:cs="黑体"/>
                <w:b/>
                <w:bCs/>
                <w:sz w:val="18"/>
                <w:szCs w:val="18"/>
              </w:rPr>
              <w:t>结果维持</w:t>
            </w:r>
          </w:p>
        </w:tc>
        <w:tc>
          <w:tcPr>
            <w:tcW w:w="0" w:type="auto"/>
            <w:vAlign w:val="center"/>
          </w:tcPr>
          <w:p>
            <w:pPr>
              <w:jc w:val="center"/>
              <w:rPr>
                <w:rFonts w:ascii="黑体" w:hAnsi="黑体" w:eastAsia="黑体" w:cs="黑体"/>
                <w:b/>
                <w:bCs/>
                <w:sz w:val="18"/>
                <w:szCs w:val="18"/>
              </w:rPr>
            </w:pPr>
            <w:r>
              <w:rPr>
                <w:rFonts w:hint="eastAsia" w:ascii="黑体" w:hAnsi="黑体" w:eastAsia="黑体" w:cs="黑体"/>
                <w:b/>
                <w:bCs/>
                <w:sz w:val="18"/>
                <w:szCs w:val="18"/>
              </w:rPr>
              <w:t>结果纠正</w:t>
            </w:r>
          </w:p>
        </w:tc>
        <w:tc>
          <w:tcPr>
            <w:tcW w:w="0" w:type="auto"/>
            <w:vAlign w:val="center"/>
          </w:tcPr>
          <w:p>
            <w:pPr>
              <w:jc w:val="center"/>
              <w:rPr>
                <w:rFonts w:ascii="黑体" w:hAnsi="黑体" w:eastAsia="黑体" w:cs="黑体"/>
                <w:b/>
                <w:bCs/>
                <w:sz w:val="18"/>
                <w:szCs w:val="18"/>
              </w:rPr>
            </w:pPr>
            <w:r>
              <w:rPr>
                <w:rFonts w:hint="eastAsia" w:ascii="黑体" w:hAnsi="黑体" w:eastAsia="黑体" w:cs="黑体"/>
                <w:b/>
                <w:bCs/>
                <w:sz w:val="18"/>
                <w:szCs w:val="18"/>
              </w:rPr>
              <w:t>其他结果</w:t>
            </w:r>
          </w:p>
        </w:tc>
        <w:tc>
          <w:tcPr>
            <w:tcW w:w="0" w:type="auto"/>
            <w:vAlign w:val="center"/>
          </w:tcPr>
          <w:p>
            <w:pPr>
              <w:jc w:val="center"/>
              <w:rPr>
                <w:rFonts w:ascii="黑体" w:hAnsi="黑体" w:eastAsia="黑体" w:cs="黑体"/>
                <w:b/>
                <w:bCs/>
                <w:sz w:val="18"/>
                <w:szCs w:val="18"/>
              </w:rPr>
            </w:pPr>
            <w:r>
              <w:rPr>
                <w:rFonts w:hint="eastAsia" w:ascii="黑体" w:hAnsi="黑体" w:eastAsia="黑体" w:cs="黑体"/>
                <w:b/>
                <w:bCs/>
                <w:sz w:val="18"/>
                <w:szCs w:val="18"/>
              </w:rPr>
              <w:t>尚未审结</w:t>
            </w:r>
          </w:p>
        </w:tc>
        <w:tc>
          <w:tcPr>
            <w:tcW w:w="0" w:type="auto"/>
            <w:vAlign w:val="center"/>
          </w:tcPr>
          <w:p>
            <w:pPr>
              <w:jc w:val="center"/>
              <w:rPr>
                <w:rFonts w:ascii="黑体" w:hAnsi="黑体" w:eastAsia="黑体" w:cs="黑体"/>
                <w:b/>
                <w:bCs/>
                <w:sz w:val="18"/>
                <w:szCs w:val="18"/>
              </w:rPr>
            </w:pPr>
            <w:r>
              <w:rPr>
                <w:rFonts w:hint="eastAsia" w:ascii="黑体" w:hAnsi="黑体" w:eastAsia="黑体" w:cs="黑体"/>
                <w:b/>
                <w:bCs/>
                <w:sz w:val="18"/>
                <w:szCs w:val="18"/>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0" w:type="auto"/>
            <w:vAlign w:val="center"/>
          </w:tcPr>
          <w:p>
            <w:pPr>
              <w:jc w:val="center"/>
              <w:rPr>
                <w:rFonts w:ascii="仿宋_GB2312" w:hAnsi="仿宋_GB2312" w:eastAsia="仿宋_GB2312" w:cs="仿宋_GB2312"/>
                <w:sz w:val="18"/>
                <w:szCs w:val="18"/>
              </w:rPr>
            </w:pPr>
          </w:p>
        </w:tc>
        <w:tc>
          <w:tcPr>
            <w:tcW w:w="0" w:type="auto"/>
            <w:vAlign w:val="center"/>
          </w:tcPr>
          <w:p>
            <w:pPr>
              <w:jc w:val="center"/>
              <w:rPr>
                <w:rFonts w:ascii="仿宋_GB2312" w:hAnsi="仿宋_GB2312" w:eastAsia="仿宋_GB2312" w:cs="仿宋_GB2312"/>
                <w:sz w:val="18"/>
                <w:szCs w:val="18"/>
              </w:rPr>
            </w:pPr>
          </w:p>
        </w:tc>
        <w:tc>
          <w:tcPr>
            <w:tcW w:w="0" w:type="auto"/>
            <w:vAlign w:val="center"/>
          </w:tcPr>
          <w:p>
            <w:pPr>
              <w:jc w:val="center"/>
              <w:rPr>
                <w:rFonts w:ascii="仿宋_GB2312" w:hAnsi="仿宋_GB2312" w:eastAsia="仿宋_GB2312" w:cs="仿宋_GB2312"/>
                <w:sz w:val="18"/>
                <w:szCs w:val="18"/>
              </w:rPr>
            </w:pPr>
          </w:p>
        </w:tc>
        <w:tc>
          <w:tcPr>
            <w:tcW w:w="0" w:type="auto"/>
            <w:vAlign w:val="center"/>
          </w:tcPr>
          <w:p>
            <w:pPr>
              <w:jc w:val="center"/>
              <w:rPr>
                <w:rFonts w:ascii="仿宋_GB2312" w:hAnsi="仿宋_GB2312" w:eastAsia="仿宋_GB2312" w:cs="仿宋_GB2312"/>
                <w:sz w:val="18"/>
                <w:szCs w:val="18"/>
              </w:rPr>
            </w:pPr>
          </w:p>
        </w:tc>
        <w:tc>
          <w:tcPr>
            <w:tcW w:w="0" w:type="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c>
          <w:tcPr>
            <w:tcW w:w="0" w:type="auto"/>
            <w:vAlign w:val="center"/>
          </w:tcPr>
          <w:p>
            <w:pPr>
              <w:jc w:val="center"/>
              <w:rPr>
                <w:rFonts w:ascii="仿宋_GB2312" w:hAnsi="仿宋_GB2312" w:eastAsia="仿宋_GB2312" w:cs="仿宋_GB2312"/>
                <w:sz w:val="18"/>
                <w:szCs w:val="18"/>
              </w:rPr>
            </w:pPr>
          </w:p>
        </w:tc>
        <w:tc>
          <w:tcPr>
            <w:tcW w:w="0" w:type="auto"/>
            <w:vAlign w:val="center"/>
          </w:tcPr>
          <w:p>
            <w:pPr>
              <w:jc w:val="center"/>
              <w:rPr>
                <w:rFonts w:ascii="仿宋_GB2312" w:hAnsi="仿宋_GB2312" w:eastAsia="仿宋_GB2312" w:cs="仿宋_GB2312"/>
                <w:sz w:val="18"/>
                <w:szCs w:val="18"/>
              </w:rPr>
            </w:pPr>
          </w:p>
        </w:tc>
        <w:tc>
          <w:tcPr>
            <w:tcW w:w="0" w:type="auto"/>
            <w:vAlign w:val="center"/>
          </w:tcPr>
          <w:p>
            <w:pPr>
              <w:jc w:val="center"/>
              <w:rPr>
                <w:rFonts w:ascii="仿宋_GB2312" w:hAnsi="仿宋_GB2312" w:eastAsia="仿宋_GB2312" w:cs="仿宋_GB2312"/>
                <w:sz w:val="18"/>
                <w:szCs w:val="18"/>
              </w:rPr>
            </w:pPr>
          </w:p>
        </w:tc>
        <w:tc>
          <w:tcPr>
            <w:tcW w:w="0" w:type="auto"/>
            <w:vAlign w:val="center"/>
          </w:tcPr>
          <w:p>
            <w:pPr>
              <w:jc w:val="center"/>
              <w:rPr>
                <w:rFonts w:ascii="仿宋_GB2312" w:hAnsi="仿宋_GB2312" w:eastAsia="仿宋_GB2312" w:cs="仿宋_GB2312"/>
                <w:sz w:val="18"/>
                <w:szCs w:val="18"/>
              </w:rPr>
            </w:pPr>
          </w:p>
        </w:tc>
        <w:tc>
          <w:tcPr>
            <w:tcW w:w="0" w:type="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c>
          <w:tcPr>
            <w:tcW w:w="0" w:type="auto"/>
            <w:vAlign w:val="center"/>
          </w:tcPr>
          <w:p>
            <w:pPr>
              <w:jc w:val="center"/>
              <w:rPr>
                <w:rFonts w:ascii="仿宋_GB2312" w:hAnsi="仿宋_GB2312" w:eastAsia="仿宋_GB2312" w:cs="仿宋_GB2312"/>
                <w:sz w:val="18"/>
                <w:szCs w:val="18"/>
              </w:rPr>
            </w:pPr>
          </w:p>
        </w:tc>
        <w:tc>
          <w:tcPr>
            <w:tcW w:w="0" w:type="auto"/>
            <w:vAlign w:val="center"/>
          </w:tcPr>
          <w:p>
            <w:pPr>
              <w:jc w:val="center"/>
              <w:rPr>
                <w:rFonts w:ascii="仿宋_GB2312" w:hAnsi="仿宋_GB2312" w:eastAsia="仿宋_GB2312" w:cs="仿宋_GB2312"/>
                <w:sz w:val="18"/>
                <w:szCs w:val="18"/>
              </w:rPr>
            </w:pPr>
          </w:p>
        </w:tc>
        <w:tc>
          <w:tcPr>
            <w:tcW w:w="0" w:type="auto"/>
            <w:vAlign w:val="center"/>
          </w:tcPr>
          <w:p>
            <w:pPr>
              <w:jc w:val="center"/>
              <w:rPr>
                <w:rFonts w:ascii="仿宋_GB2312" w:hAnsi="仿宋_GB2312" w:eastAsia="仿宋_GB2312" w:cs="仿宋_GB2312"/>
                <w:sz w:val="18"/>
                <w:szCs w:val="18"/>
              </w:rPr>
            </w:pPr>
          </w:p>
        </w:tc>
        <w:tc>
          <w:tcPr>
            <w:tcW w:w="0" w:type="auto"/>
            <w:vAlign w:val="center"/>
          </w:tcPr>
          <w:p>
            <w:pPr>
              <w:jc w:val="center"/>
              <w:rPr>
                <w:rFonts w:ascii="仿宋_GB2312" w:hAnsi="仿宋_GB2312" w:eastAsia="仿宋_GB2312" w:cs="仿宋_GB2312"/>
                <w:sz w:val="18"/>
                <w:szCs w:val="18"/>
              </w:rPr>
            </w:pPr>
          </w:p>
        </w:tc>
        <w:tc>
          <w:tcPr>
            <w:tcW w:w="0" w:type="auto"/>
            <w:vAlign w:val="center"/>
          </w:tcPr>
          <w:p>
            <w:pPr>
              <w:jc w:val="center"/>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0</w:t>
            </w:r>
          </w:p>
        </w:tc>
      </w:tr>
    </w:tbl>
    <w:p>
      <w:pPr>
        <w:numPr>
          <w:ilvl w:val="0"/>
          <w:numId w:val="0"/>
        </w:numPr>
        <w:ind w:leftChars="0" w:firstLine="640" w:firstLineChars="200"/>
        <w:rPr>
          <w:rFonts w:hint="eastAsia" w:ascii="黑体" w:hAnsi="黑体" w:eastAsia="黑体"/>
          <w:color w:val="auto"/>
          <w:sz w:val="32"/>
          <w:szCs w:val="32"/>
        </w:rPr>
      </w:pPr>
      <w:r>
        <w:rPr>
          <w:rFonts w:hint="eastAsia" w:ascii="黑体" w:hAnsi="黑体" w:eastAsia="黑体"/>
          <w:color w:val="auto"/>
          <w:sz w:val="32"/>
          <w:szCs w:val="32"/>
          <w:lang w:val="en-US" w:eastAsia="zh-CN"/>
        </w:rPr>
        <w:t>5.</w:t>
      </w:r>
      <w:r>
        <w:rPr>
          <w:rFonts w:hint="eastAsia" w:ascii="黑体" w:hAnsi="黑体" w:eastAsia="黑体"/>
          <w:color w:val="auto"/>
          <w:sz w:val="32"/>
          <w:szCs w:val="32"/>
        </w:rPr>
        <w:t>存在的主要问题及改进情况</w:t>
      </w:r>
    </w:p>
    <w:p>
      <w:pPr>
        <w:spacing w:line="560" w:lineRule="exact"/>
        <w:ind w:firstLine="640" w:firstLineChars="200"/>
        <w:rPr>
          <w:rFonts w:hint="default" w:ascii="仿宋_GB2312" w:hAnsi="仿宋" w:eastAsia="仿宋_GB2312" w:cs="Arial"/>
          <w:color w:val="auto"/>
          <w:sz w:val="32"/>
          <w:szCs w:val="32"/>
          <w:lang w:val="en-US" w:eastAsia="zh-CN"/>
        </w:rPr>
      </w:pPr>
      <w:r>
        <w:rPr>
          <w:rFonts w:hint="eastAsia" w:ascii="仿宋_GB2312" w:hAnsi="仿宋" w:eastAsia="仿宋_GB2312" w:cs="Arial"/>
          <w:color w:val="auto"/>
          <w:sz w:val="32"/>
          <w:szCs w:val="32"/>
          <w:lang w:eastAsia="zh-CN"/>
        </w:rPr>
        <w:t>（</w:t>
      </w:r>
      <w:r>
        <w:rPr>
          <w:rFonts w:hint="eastAsia" w:ascii="仿宋_GB2312" w:hAnsi="仿宋" w:eastAsia="仿宋_GB2312" w:cs="Arial"/>
          <w:color w:val="auto"/>
          <w:sz w:val="32"/>
          <w:szCs w:val="32"/>
          <w:lang w:val="en-US" w:eastAsia="zh-CN"/>
        </w:rPr>
        <w:t>一</w:t>
      </w:r>
      <w:r>
        <w:rPr>
          <w:rFonts w:hint="eastAsia" w:ascii="仿宋_GB2312" w:hAnsi="仿宋" w:eastAsia="仿宋_GB2312" w:cs="Arial"/>
          <w:color w:val="auto"/>
          <w:sz w:val="32"/>
          <w:szCs w:val="32"/>
          <w:lang w:eastAsia="zh-CN"/>
        </w:rPr>
        <w:t>）</w:t>
      </w:r>
      <w:r>
        <w:rPr>
          <w:rFonts w:hint="eastAsia" w:ascii="仿宋_GB2312" w:hAnsi="仿宋" w:eastAsia="仿宋_GB2312" w:cs="Arial"/>
          <w:color w:val="auto"/>
          <w:sz w:val="32"/>
          <w:szCs w:val="32"/>
        </w:rPr>
        <w:t>信息</w:t>
      </w:r>
      <w:r>
        <w:rPr>
          <w:rFonts w:hint="eastAsia" w:ascii="仿宋_GB2312" w:hAnsi="仿宋" w:eastAsia="仿宋_GB2312" w:cs="Arial"/>
          <w:color w:val="auto"/>
          <w:sz w:val="32"/>
          <w:szCs w:val="32"/>
          <w:lang w:val="en-US" w:eastAsia="zh-CN"/>
        </w:rPr>
        <w:t>公开</w:t>
      </w:r>
      <w:r>
        <w:rPr>
          <w:rFonts w:hint="eastAsia" w:ascii="仿宋_GB2312" w:hAnsi="仿宋" w:eastAsia="仿宋_GB2312" w:cs="Arial"/>
          <w:color w:val="auto"/>
          <w:sz w:val="32"/>
          <w:szCs w:val="32"/>
        </w:rPr>
        <w:t>的时效性不够强</w:t>
      </w:r>
      <w:r>
        <w:rPr>
          <w:rFonts w:hint="eastAsia" w:ascii="仿宋_GB2312" w:hAnsi="仿宋" w:eastAsia="仿宋_GB2312" w:cs="Arial"/>
          <w:color w:val="auto"/>
          <w:sz w:val="32"/>
          <w:szCs w:val="32"/>
          <w:lang w:eastAsia="zh-CN"/>
        </w:rPr>
        <w:t>，</w:t>
      </w:r>
      <w:r>
        <w:rPr>
          <w:rFonts w:hint="eastAsia" w:ascii="仿宋_GB2312" w:hAnsi="仿宋" w:eastAsia="仿宋_GB2312" w:cs="Arial"/>
          <w:color w:val="auto"/>
          <w:sz w:val="32"/>
          <w:szCs w:val="32"/>
          <w:lang w:val="en-US" w:eastAsia="zh-CN"/>
        </w:rPr>
        <w:t>流程不够规范，创新力有待进一步增强；</w:t>
      </w:r>
    </w:p>
    <w:p>
      <w:pPr>
        <w:spacing w:line="560" w:lineRule="exact"/>
        <w:ind w:firstLine="640" w:firstLineChars="200"/>
        <w:rPr>
          <w:rFonts w:hint="eastAsia" w:ascii="仿宋_GB2312" w:hAnsi="仿宋" w:eastAsia="仿宋_GB2312" w:cs="Arial"/>
          <w:color w:val="auto"/>
          <w:sz w:val="32"/>
          <w:szCs w:val="32"/>
        </w:rPr>
      </w:pPr>
      <w:r>
        <w:rPr>
          <w:rFonts w:hint="eastAsia" w:ascii="仿宋_GB2312" w:hAnsi="仿宋" w:eastAsia="仿宋_GB2312" w:cs="Arial"/>
          <w:color w:val="auto"/>
          <w:sz w:val="32"/>
          <w:szCs w:val="32"/>
          <w:lang w:eastAsia="zh-CN"/>
        </w:rPr>
        <w:t>（</w:t>
      </w:r>
      <w:r>
        <w:rPr>
          <w:rFonts w:hint="eastAsia" w:ascii="仿宋_GB2312" w:hAnsi="仿宋" w:eastAsia="仿宋_GB2312" w:cs="Arial"/>
          <w:color w:val="auto"/>
          <w:sz w:val="32"/>
          <w:szCs w:val="32"/>
          <w:lang w:val="en-US" w:eastAsia="zh-CN"/>
        </w:rPr>
        <w:t>二</w:t>
      </w:r>
      <w:r>
        <w:rPr>
          <w:rFonts w:hint="eastAsia" w:ascii="仿宋_GB2312" w:hAnsi="仿宋" w:eastAsia="仿宋_GB2312" w:cs="Arial"/>
          <w:color w:val="auto"/>
          <w:sz w:val="32"/>
          <w:szCs w:val="32"/>
          <w:lang w:eastAsia="zh-CN"/>
        </w:rPr>
        <w:t>）</w:t>
      </w:r>
      <w:r>
        <w:rPr>
          <w:rFonts w:hint="eastAsia" w:ascii="仿宋_GB2312" w:hAnsi="仿宋" w:eastAsia="仿宋_GB2312" w:cs="Arial"/>
          <w:color w:val="auto"/>
          <w:sz w:val="32"/>
          <w:szCs w:val="32"/>
        </w:rPr>
        <w:t>主动公开政府信息的数量还需要增加，公开的内容需要进一步细化;</w:t>
      </w:r>
    </w:p>
    <w:p>
      <w:pPr>
        <w:spacing w:line="560" w:lineRule="exact"/>
        <w:ind w:firstLine="640" w:firstLineChars="200"/>
        <w:rPr>
          <w:rFonts w:hint="eastAsia" w:ascii="仿宋_GB2312" w:hAnsi="仿宋" w:eastAsia="仿宋_GB2312" w:cs="Arial"/>
          <w:color w:val="auto"/>
          <w:sz w:val="32"/>
          <w:szCs w:val="32"/>
          <w:lang w:val="en-US" w:eastAsia="zh-CN"/>
        </w:rPr>
      </w:pPr>
      <w:r>
        <w:rPr>
          <w:rFonts w:hint="eastAsia" w:ascii="仿宋_GB2312" w:hAnsi="仿宋" w:eastAsia="仿宋_GB2312" w:cs="Arial"/>
          <w:color w:val="auto"/>
          <w:sz w:val="32"/>
          <w:szCs w:val="32"/>
          <w:lang w:eastAsia="zh-CN"/>
        </w:rPr>
        <w:t>（</w:t>
      </w:r>
      <w:r>
        <w:rPr>
          <w:rFonts w:hint="eastAsia" w:ascii="仿宋_GB2312" w:hAnsi="仿宋" w:eastAsia="仿宋_GB2312" w:cs="Arial"/>
          <w:color w:val="auto"/>
          <w:sz w:val="32"/>
          <w:szCs w:val="32"/>
          <w:lang w:val="en-US" w:eastAsia="zh-CN"/>
        </w:rPr>
        <w:t>三</w:t>
      </w:r>
      <w:r>
        <w:rPr>
          <w:rFonts w:hint="eastAsia" w:ascii="仿宋_GB2312" w:hAnsi="仿宋" w:eastAsia="仿宋_GB2312" w:cs="Arial"/>
          <w:color w:val="auto"/>
          <w:sz w:val="32"/>
          <w:szCs w:val="32"/>
          <w:lang w:eastAsia="zh-CN"/>
        </w:rPr>
        <w:t>）</w:t>
      </w:r>
      <w:r>
        <w:rPr>
          <w:rFonts w:hint="eastAsia" w:ascii="仿宋_GB2312" w:hAnsi="仿宋" w:eastAsia="仿宋_GB2312" w:cs="Arial"/>
          <w:color w:val="auto"/>
          <w:sz w:val="32"/>
          <w:szCs w:val="32"/>
          <w:lang w:val="en-US" w:eastAsia="zh-CN"/>
        </w:rPr>
        <w:t>信息公开工作还需进一步加强</w:t>
      </w:r>
      <w:r>
        <w:rPr>
          <w:rFonts w:hint="eastAsia" w:ascii="仿宋_GB2312" w:hAnsi="仿宋" w:eastAsia="仿宋_GB2312" w:cs="Arial"/>
          <w:color w:val="auto"/>
          <w:sz w:val="32"/>
          <w:szCs w:val="32"/>
        </w:rPr>
        <w:t>宣传和引导，提</w:t>
      </w:r>
      <w:r>
        <w:rPr>
          <w:rFonts w:hint="eastAsia" w:ascii="仿宋_GB2312" w:hAnsi="仿宋" w:eastAsia="仿宋_GB2312" w:cs="Arial"/>
          <w:color w:val="auto"/>
          <w:sz w:val="32"/>
          <w:szCs w:val="32"/>
          <w:lang w:val="en-US" w:eastAsia="zh-CN"/>
        </w:rPr>
        <w:t>高</w:t>
      </w:r>
      <w:r>
        <w:rPr>
          <w:rFonts w:hint="eastAsia" w:ascii="仿宋_GB2312" w:hAnsi="仿宋" w:eastAsia="仿宋_GB2312" w:cs="Arial"/>
          <w:color w:val="auto"/>
          <w:sz w:val="32"/>
          <w:szCs w:val="32"/>
        </w:rPr>
        <w:t>政府信息公开工作的认识程度，满足公众对政府信息的需求</w:t>
      </w:r>
      <w:r>
        <w:rPr>
          <w:rFonts w:hint="eastAsia" w:ascii="仿宋_GB2312" w:hAnsi="仿宋" w:eastAsia="仿宋_GB2312" w:cs="Arial"/>
          <w:color w:val="auto"/>
          <w:sz w:val="32"/>
          <w:szCs w:val="32"/>
          <w:lang w:eastAsia="zh-CN"/>
        </w:rPr>
        <w:t>。</w:t>
      </w:r>
    </w:p>
    <w:p>
      <w:pPr>
        <w:pStyle w:val="5"/>
        <w:ind w:firstLine="640" w:firstLineChars="200"/>
        <w:jc w:val="both"/>
        <w:rPr>
          <w:rFonts w:hint="eastAsia" w:ascii="仿宋_GB2312" w:hAnsi="仿宋" w:eastAsia="仿宋_GB2312" w:cs="Arial"/>
          <w:color w:val="auto"/>
          <w:kern w:val="2"/>
          <w:sz w:val="32"/>
          <w:szCs w:val="32"/>
          <w:lang w:val="en-US" w:eastAsia="zh-CN" w:bidi="ar-SA"/>
        </w:rPr>
      </w:pPr>
      <w:r>
        <w:rPr>
          <w:rFonts w:hint="eastAsia" w:ascii="仿宋_GB2312" w:hAnsi="仿宋" w:eastAsia="仿宋_GB2312" w:cs="Arial"/>
          <w:color w:val="auto"/>
          <w:kern w:val="2"/>
          <w:sz w:val="32"/>
          <w:szCs w:val="32"/>
          <w:lang w:val="en-US" w:eastAsia="zh-CN" w:bidi="ar-SA"/>
        </w:rPr>
        <w:t>今后，我们将进一步加大政府信息公开力度，及时、准确地在区政府信息公开网站上公布政务信息，提高民众的认知度和认可度，不断提高政府信息公开工作水平。结合本单位工作的实际情况，主要从以下方面进行提高：</w:t>
      </w:r>
    </w:p>
    <w:p>
      <w:pPr>
        <w:pStyle w:val="5"/>
        <w:ind w:firstLine="640" w:firstLineChars="200"/>
        <w:jc w:val="both"/>
        <w:rPr>
          <w:rFonts w:hint="eastAsia" w:ascii="仿宋_GB2312" w:hAnsi="仿宋" w:eastAsia="仿宋_GB2312" w:cs="Arial"/>
          <w:color w:val="auto"/>
          <w:kern w:val="2"/>
          <w:sz w:val="32"/>
          <w:szCs w:val="32"/>
          <w:lang w:val="en-US" w:eastAsia="zh-CN" w:bidi="ar-SA"/>
        </w:rPr>
      </w:pPr>
      <w:r>
        <w:rPr>
          <w:rFonts w:hint="eastAsia" w:ascii="仿宋_GB2312" w:hAnsi="仿宋" w:eastAsia="仿宋_GB2312" w:cs="Arial"/>
          <w:color w:val="auto"/>
          <w:kern w:val="2"/>
          <w:sz w:val="32"/>
          <w:szCs w:val="32"/>
          <w:lang w:val="en-US" w:eastAsia="zh-CN" w:bidi="ar-SA"/>
        </w:rPr>
        <w:t>一是加强中心信息公开负责部门与业务科室之间联系，及时将各科室生成的信息发布到网上，尽量做到信息生成与发布保持同步;</w:t>
      </w:r>
    </w:p>
    <w:p>
      <w:pPr>
        <w:pStyle w:val="5"/>
        <w:ind w:firstLine="640" w:firstLineChars="200"/>
        <w:jc w:val="both"/>
        <w:rPr>
          <w:rFonts w:hint="eastAsia" w:ascii="仿宋_GB2312" w:hAnsi="仿宋" w:eastAsia="仿宋_GB2312" w:cs="Arial"/>
          <w:color w:val="auto"/>
          <w:kern w:val="2"/>
          <w:sz w:val="32"/>
          <w:szCs w:val="32"/>
          <w:lang w:val="en-US" w:eastAsia="zh-CN" w:bidi="ar-SA"/>
        </w:rPr>
      </w:pPr>
      <w:r>
        <w:rPr>
          <w:rFonts w:hint="eastAsia" w:ascii="仿宋_GB2312" w:hAnsi="仿宋" w:eastAsia="仿宋_GB2312" w:cs="Arial"/>
          <w:color w:val="auto"/>
          <w:kern w:val="2"/>
          <w:sz w:val="32"/>
          <w:szCs w:val="32"/>
          <w:lang w:val="en-US" w:eastAsia="zh-CN" w:bidi="ar-SA"/>
        </w:rPr>
        <w:t>二是进一步解放思想，扩大信息公开的范围，除正式文件外，其他由我中心生成的对社会公众有指导或帮助意义的信息也要纳入信息公开的范畴之中予以发布;</w:t>
      </w:r>
    </w:p>
    <w:p>
      <w:pPr>
        <w:pStyle w:val="5"/>
        <w:ind w:firstLine="640" w:firstLineChars="200"/>
        <w:jc w:val="both"/>
        <w:rPr>
          <w:rFonts w:hint="eastAsia" w:ascii="仿宋_GB2312" w:hAnsi="仿宋" w:eastAsia="仿宋_GB2312" w:cs="Arial"/>
          <w:color w:val="auto"/>
          <w:kern w:val="2"/>
          <w:sz w:val="32"/>
          <w:szCs w:val="32"/>
          <w:lang w:val="en-US" w:eastAsia="zh-CN" w:bidi="ar-SA"/>
        </w:rPr>
      </w:pPr>
      <w:r>
        <w:rPr>
          <w:rFonts w:hint="eastAsia" w:ascii="仿宋_GB2312" w:hAnsi="仿宋" w:eastAsia="仿宋_GB2312" w:cs="Arial"/>
          <w:color w:val="auto"/>
          <w:kern w:val="2"/>
          <w:sz w:val="32"/>
          <w:szCs w:val="32"/>
          <w:lang w:val="en-US" w:eastAsia="zh-CN" w:bidi="ar-SA"/>
        </w:rPr>
        <w:t>三是加大对信息公开工作的宣传力度，使社会公众对这项工作有进一步的了解和更深的认识，引导公众正确使用信息公开这种新兴的政府服务职能，为自己的生活、工作提供便利。</w:t>
      </w:r>
    </w:p>
    <w:p>
      <w:pPr>
        <w:pStyle w:val="5"/>
        <w:ind w:firstLine="640" w:firstLineChars="200"/>
        <w:jc w:val="both"/>
        <w:rPr>
          <w:rFonts w:hint="eastAsia" w:ascii="仿宋_GB2312" w:hAnsi="仿宋" w:eastAsia="仿宋_GB2312" w:cs="Arial"/>
          <w:color w:val="auto"/>
          <w:kern w:val="2"/>
          <w:sz w:val="32"/>
          <w:szCs w:val="32"/>
          <w:lang w:val="en-US" w:eastAsia="zh-CN" w:bidi="ar-SA"/>
        </w:rPr>
      </w:pPr>
      <w:r>
        <w:rPr>
          <w:rFonts w:hint="eastAsia" w:ascii="仿宋_GB2312" w:hAnsi="仿宋" w:eastAsia="仿宋_GB2312" w:cs="Arial"/>
          <w:color w:val="auto"/>
          <w:kern w:val="2"/>
          <w:sz w:val="32"/>
          <w:szCs w:val="32"/>
          <w:lang w:val="en-US" w:eastAsia="zh-CN" w:bidi="ar-SA"/>
        </w:rPr>
        <w:t>四是注意学习借鉴其他单位的好做法，收集新情况，总结新经验，认真履行政府信息公开工作的各项职责，主动接受社会监督，为广大社会公众服好务。</w:t>
      </w:r>
    </w:p>
    <w:p>
      <w:pPr>
        <w:pStyle w:val="5"/>
        <w:ind w:firstLine="640" w:firstLineChars="200"/>
        <w:jc w:val="both"/>
        <w:rPr>
          <w:rFonts w:hint="eastAsia" w:ascii="黑体" w:hAnsi="黑体" w:eastAsia="黑体" w:cstheme="minorBidi"/>
          <w:color w:val="auto"/>
          <w:kern w:val="2"/>
          <w:sz w:val="32"/>
          <w:szCs w:val="32"/>
          <w:lang w:val="en-US" w:eastAsia="zh-CN" w:bidi="ar-SA"/>
        </w:rPr>
      </w:pPr>
      <w:r>
        <w:rPr>
          <w:rFonts w:hint="eastAsia" w:ascii="黑体" w:hAnsi="黑体" w:eastAsia="黑体" w:cstheme="minorBidi"/>
          <w:color w:val="auto"/>
          <w:kern w:val="2"/>
          <w:sz w:val="32"/>
          <w:szCs w:val="32"/>
          <w:lang w:val="en-US" w:eastAsia="zh-CN" w:bidi="ar-SA"/>
        </w:rPr>
        <w:t>6.其他需要报告的事项</w:t>
      </w:r>
    </w:p>
    <w:p>
      <w:pPr>
        <w:pStyle w:val="5"/>
        <w:ind w:firstLine="640" w:firstLineChars="200"/>
        <w:jc w:val="both"/>
        <w:rPr>
          <w:rFonts w:hint="eastAsia" w:ascii="仿宋_GB2312" w:hAnsi="仿宋" w:eastAsia="仿宋_GB2312" w:cs="Arial"/>
          <w:color w:val="auto"/>
          <w:kern w:val="2"/>
          <w:sz w:val="32"/>
          <w:szCs w:val="32"/>
          <w:lang w:val="en-US" w:eastAsia="zh-CN" w:bidi="ar-SA"/>
        </w:rPr>
      </w:pPr>
      <w:r>
        <w:rPr>
          <w:rFonts w:hint="eastAsia" w:ascii="仿宋_GB2312" w:hAnsi="仿宋" w:eastAsia="仿宋_GB2312" w:cs="Arial"/>
          <w:color w:val="auto"/>
          <w:kern w:val="2"/>
          <w:sz w:val="32"/>
          <w:szCs w:val="32"/>
          <w:lang w:val="en-US" w:eastAsia="zh-CN" w:bidi="ar-SA"/>
        </w:rPr>
        <w:t>无</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04258"/>
    <w:rsid w:val="00024810"/>
    <w:rsid w:val="000414C6"/>
    <w:rsid w:val="00056B8B"/>
    <w:rsid w:val="00066233"/>
    <w:rsid w:val="00087FF0"/>
    <w:rsid w:val="000A249B"/>
    <w:rsid w:val="0012428B"/>
    <w:rsid w:val="001B5EF9"/>
    <w:rsid w:val="002019C6"/>
    <w:rsid w:val="00204AA5"/>
    <w:rsid w:val="00216261"/>
    <w:rsid w:val="00270C0E"/>
    <w:rsid w:val="002A188B"/>
    <w:rsid w:val="002B6F68"/>
    <w:rsid w:val="003D7EB2"/>
    <w:rsid w:val="00405DB6"/>
    <w:rsid w:val="00420F86"/>
    <w:rsid w:val="00481ED7"/>
    <w:rsid w:val="004D2882"/>
    <w:rsid w:val="004E32BF"/>
    <w:rsid w:val="00514A5B"/>
    <w:rsid w:val="00540792"/>
    <w:rsid w:val="00585270"/>
    <w:rsid w:val="00697EE4"/>
    <w:rsid w:val="00714451"/>
    <w:rsid w:val="00717EE3"/>
    <w:rsid w:val="00732D81"/>
    <w:rsid w:val="00733F31"/>
    <w:rsid w:val="00741A40"/>
    <w:rsid w:val="00746739"/>
    <w:rsid w:val="007611C0"/>
    <w:rsid w:val="007F43FC"/>
    <w:rsid w:val="008556C2"/>
    <w:rsid w:val="00884A0C"/>
    <w:rsid w:val="00892DC4"/>
    <w:rsid w:val="00920A8C"/>
    <w:rsid w:val="00935E77"/>
    <w:rsid w:val="0096093C"/>
    <w:rsid w:val="009C1D91"/>
    <w:rsid w:val="00A41496"/>
    <w:rsid w:val="00A57439"/>
    <w:rsid w:val="00A930D2"/>
    <w:rsid w:val="00A93492"/>
    <w:rsid w:val="00AC222F"/>
    <w:rsid w:val="00AD49B5"/>
    <w:rsid w:val="00BF42A9"/>
    <w:rsid w:val="00C307E5"/>
    <w:rsid w:val="00C61A42"/>
    <w:rsid w:val="00C762CA"/>
    <w:rsid w:val="00CA24FE"/>
    <w:rsid w:val="00D201BD"/>
    <w:rsid w:val="00D33F3A"/>
    <w:rsid w:val="00D44AE5"/>
    <w:rsid w:val="00D7673F"/>
    <w:rsid w:val="00DF51F7"/>
    <w:rsid w:val="00E03F11"/>
    <w:rsid w:val="00E04258"/>
    <w:rsid w:val="00E4719C"/>
    <w:rsid w:val="00E60039"/>
    <w:rsid w:val="00E82A61"/>
    <w:rsid w:val="00EA3993"/>
    <w:rsid w:val="00EF7239"/>
    <w:rsid w:val="00FA3378"/>
    <w:rsid w:val="00FE3091"/>
    <w:rsid w:val="03AD47A1"/>
    <w:rsid w:val="0DD35991"/>
    <w:rsid w:val="42FC070D"/>
    <w:rsid w:val="4ADB340B"/>
    <w:rsid w:val="4DE93206"/>
    <w:rsid w:val="4E210503"/>
    <w:rsid w:val="78B65B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63" w:after="63"/>
      <w:jc w:val="left"/>
    </w:pPr>
    <w:rPr>
      <w:rFonts w:ascii="宋体" w:hAnsi="宋体" w:eastAsia="宋体" w:cs="宋体"/>
      <w:kern w:val="0"/>
      <w:sz w:val="24"/>
      <w:szCs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semiHidden/>
    <w:uiPriority w:val="99"/>
    <w:rPr>
      <w:kern w:val="2"/>
      <w:sz w:val="18"/>
      <w:szCs w:val="18"/>
    </w:rPr>
  </w:style>
  <w:style w:type="character" w:customStyle="1" w:styleId="10">
    <w:name w:val="页脚 Char"/>
    <w:basedOn w:val="8"/>
    <w:link w:val="3"/>
    <w:semiHidden/>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5</Pages>
  <Words>315</Words>
  <Characters>1796</Characters>
  <Lines>14</Lines>
  <Paragraphs>4</Paragraphs>
  <TotalTime>259</TotalTime>
  <ScaleCrop>false</ScaleCrop>
  <LinksUpToDate>false</LinksUpToDate>
  <CharactersWithSpaces>2107</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2020-01-06T10:32:00Z</dcterms:created>
  <dc:creator>China</dc:creator>
  <cp:lastModifiedBy>Lenovo</cp:lastModifiedBy>
  <dcterms:modified xsi:type="dcterms:W3CDTF">2021-01-26T03:20:36Z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