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sz w:val="32"/>
          <w:szCs w:val="32"/>
        </w:rPr>
        <w:t>齐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办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发〔20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22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〕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5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齐都镇党政办公室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Style w:val="9"/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关于“党建+网格”赋能文明出行行动的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Style w:val="9"/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Style w:val="9"/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有效增强基层党组织凝聚力，推动基层党建引领乡村治理向纵深发展，经镇党委、政府研究，决定在全镇推行“党建+网格”赋能文明出行行动，采取“一网三联+文明出行”积分制治理模式，将村（社区）文明出行纳入“一网三联”网格化治理体系，把村级党组织体系与文明出行治理体系融合成“一张网”，增强基层党组织组织力，提高居民参与乡村治理的内生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发挥党建引领作用，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将文明交通纳入“一网三联”治理模式，通过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推行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“一网三联+文明出行”积分制治理模式，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将文明交通纳入对居民的积分奖励考核。切实发挥网格治理优势，通过积分奖惩进一步强化群众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文明交通意识，养成文明交通行为习惯，推动形成畅通和谐的交通秩序。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二、实施内容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/>
        <w:textAlignment w:val="auto"/>
        <w:outlineLvl w:val="9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（一）将交通安全纳入《村规民约》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各村要在《村规民约》中加入交通文明出行内容，教育引导广大群众自觉遵守道路交通安全法律法规，自觉抵制交通违法行为，保障道路交通安全。各村根据《村规民约》，将交通安全文明出行的内容纳入到“一网三联”体系中，调整“一网三联”相关制度，营造浓厚的文明出行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（二）将交通安全纳入“一网三联”考核体系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落实公安交警通报交通违法行为工作制度，对违反交通规则的居民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每月党群议学会上进行通报，并扣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相应积分。实行严重交通违法行为负面评价制度，对因酒后驾驶、超速、超载、超员、违法载人等严重交通违法行为予以加重扣分。对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醉酒驾驶、发生严重交通事故被追究刑事责任的，予以当年度一票否决，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网格内不加分，同步扣除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其所在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网格相应积分。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）道路交通安全知识宣传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各村（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网格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积极组织党员、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网格员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深入网格开展宣传倡导活动，为群众提供道路交通安全宣传、道路交通知识普及、道路交通事故法律咨询等专业便民志愿服务活动，积极为居民普及酒驾、闯红灯、不走斑马线、超载、超速、不戴安全头盔等交通违法行为。积极推动驾乘二三轮电动车佩戴安全头盔，提高安全保障力度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参与倡导活动的居民，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获得相应积分，同步为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其所在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网格加分。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（四）文明交通劝导志愿服务活动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各村（社区）积极组织网格内党员群众参与交通劝导志愿服务活动，在各自辖区重点路段和路口，劝阻和制止行人及非机动车闯红灯、乱穿马路、逆向行驶、未佩戴安全头盔等不文明交通行为；协助交警参与交通劝导活动，引导群众自觉遵守交通秩序，共同创造文明、畅通的交通环境。参与文明交通劝导志愿服务的居民可获得相应积分，同步为其所在网格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三、积分流程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对于动员家属和其他群众参与交通文明出行志愿服务活动的党员，给予奖励加分。对于因不落实、不积极协调等原因造成联系户扣除积分的，相应扣减网格党员一定比例的积分。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村“两委”成员每月按照实施细则对党员、群众和网格进行打分，每月党群议学会议上公布上月积分情况，并张贴公示栏，接受党员群众监督。党员群众对本人积分有异议的，可向网格反映，由网格长统一向党支部反馈，经调查核实后向党员群众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实行积分奖励制度。对于年度内遵守道路交通安全法律法规，未发生交通事故，无交通违法行为的，根据各村（社区）实施细则由村（社区）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作出评价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后予以奖励。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8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思想重视，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强化领导。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各村要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明确目标任务、具体责任、工作措施，确保组织有力、责任到位、工作落实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，切实将文明出行与“一网三联”结合好、落实好。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8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加强宣传，做好引导。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各村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要充分利用党群议学会、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村内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喇叭等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广泛宣传“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党建+网格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赋能文明出行行动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实现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群众交通安全意识和文明出行素养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的不断提升。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强化督导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认真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12"/>
          <w:kern w:val="0"/>
          <w:sz w:val="32"/>
          <w:szCs w:val="32"/>
          <w:lang w:val="en-US" w:eastAsia="zh-CN" w:bidi="ar-SA"/>
        </w:rPr>
        <w:t>落实。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镇党委将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对工作落实情况进行督导通报，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对工作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落实迅速、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成效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显著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村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党组织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进行表扬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，对于思想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不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重视，工作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落实不到位的</w:t>
      </w:r>
      <w:r>
        <w:rPr>
          <w:rFonts w:hint="default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给予通报批评</w:t>
      </w:r>
      <w:r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  <w:t>，并纳入农村责任制考核。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spacing w:val="11"/>
          <w:kern w:val="2"/>
          <w:sz w:val="32"/>
          <w:szCs w:val="32"/>
          <w:lang w:val="en-US" w:eastAsia="zh-CN" w:bidi="ar-SA"/>
        </w:rPr>
        <w:t xml:space="preserve">                               齐都镇党政办公室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napToGrid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napToGrid/>
          <w:spacing w:val="11"/>
          <w:kern w:val="2"/>
          <w:sz w:val="32"/>
          <w:szCs w:val="32"/>
          <w:lang w:val="en-US" w:eastAsia="zh-CN" w:bidi="ar-SA"/>
        </w:rPr>
        <w:t xml:space="preserve">                                2022年4月14日</w:t>
      </w:r>
    </w:p>
    <w:sectPr>
      <w:footerReference r:id="rId3" w:type="default"/>
      <w:pgSz w:w="11906" w:h="16838"/>
      <w:pgMar w:top="1440" w:right="1440" w:bottom="1440" w:left="1440" w:header="851" w:footer="10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mZlOGE5MGFlM2JmNDdiNmU4OTQyYWQ1MjExMjgifQ=="/>
  </w:docVars>
  <w:rsids>
    <w:rsidRoot w:val="00000000"/>
    <w:rsid w:val="002C0940"/>
    <w:rsid w:val="01E13A74"/>
    <w:rsid w:val="09580D95"/>
    <w:rsid w:val="0F39128E"/>
    <w:rsid w:val="104832E1"/>
    <w:rsid w:val="10B36539"/>
    <w:rsid w:val="10BC11EE"/>
    <w:rsid w:val="19503002"/>
    <w:rsid w:val="1BB9088E"/>
    <w:rsid w:val="1C0C16DE"/>
    <w:rsid w:val="1C620A04"/>
    <w:rsid w:val="1DFD3C99"/>
    <w:rsid w:val="21D20FF7"/>
    <w:rsid w:val="23DD1CAA"/>
    <w:rsid w:val="262E5650"/>
    <w:rsid w:val="2B4E2A46"/>
    <w:rsid w:val="2EAB3D9F"/>
    <w:rsid w:val="2FC76466"/>
    <w:rsid w:val="30131F5D"/>
    <w:rsid w:val="30717042"/>
    <w:rsid w:val="3380379E"/>
    <w:rsid w:val="33B127A5"/>
    <w:rsid w:val="33E30C14"/>
    <w:rsid w:val="348F2848"/>
    <w:rsid w:val="3C08287D"/>
    <w:rsid w:val="40DD2101"/>
    <w:rsid w:val="439C0E80"/>
    <w:rsid w:val="4C7D61E6"/>
    <w:rsid w:val="4E8A001F"/>
    <w:rsid w:val="4EF90B38"/>
    <w:rsid w:val="55F43DCA"/>
    <w:rsid w:val="5D542BC8"/>
    <w:rsid w:val="5F4B1F11"/>
    <w:rsid w:val="619C2ACF"/>
    <w:rsid w:val="63667271"/>
    <w:rsid w:val="640A2B36"/>
    <w:rsid w:val="652A3219"/>
    <w:rsid w:val="65720831"/>
    <w:rsid w:val="66BE15AB"/>
    <w:rsid w:val="69517BDA"/>
    <w:rsid w:val="6E0C79D1"/>
    <w:rsid w:val="72284109"/>
    <w:rsid w:val="76505AC4"/>
    <w:rsid w:val="7722678C"/>
    <w:rsid w:val="79543BA4"/>
    <w:rsid w:val="7A9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Heading1"/>
    <w:basedOn w:val="1"/>
    <w:next w:val="1"/>
    <w:qFormat/>
    <w:uiPriority w:val="0"/>
    <w:pPr>
      <w:spacing w:beforeAutospacing="1" w:afterAutospacing="1"/>
      <w:jc w:val="left"/>
    </w:pPr>
    <w:rPr>
      <w:rFonts w:ascii="宋体" w:hAnsi="宋体"/>
      <w:kern w:val="44"/>
      <w:sz w:val="48"/>
      <w:szCs w:val="48"/>
    </w:rPr>
  </w:style>
  <w:style w:type="paragraph" w:customStyle="1" w:styleId="8">
    <w:name w:val="新A4正文"/>
    <w:basedOn w:val="1"/>
    <w:qFormat/>
    <w:uiPriority w:val="0"/>
    <w:pPr>
      <w:ind w:firstLine="698" w:firstLineChars="133"/>
    </w:pPr>
    <w:rPr>
      <w:rFonts w:eastAsia="仿宋_GB2312"/>
      <w:snapToGrid w:val="0"/>
      <w:spacing w:val="12"/>
      <w:kern w:val="0"/>
      <w:sz w:val="32"/>
      <w:szCs w:val="32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1548</Words>
  <Characters>1555</Characters>
  <Lines>0</Lines>
  <Paragraphs>0</Paragraphs>
  <TotalTime>9</TotalTime>
  <ScaleCrop>false</ScaleCrop>
  <LinksUpToDate>false</LinksUpToDate>
  <CharactersWithSpaces>1618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晨强王</cp:lastModifiedBy>
  <cp:lastPrinted>2022-04-14T10:29:00Z</cp:lastPrinted>
  <dcterms:modified xsi:type="dcterms:W3CDTF">2022-05-24T02:49:46Z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DAC82E0CD7BD48568B8B7C6D57E348BE</vt:lpwstr>
  </property>
</Properties>
</file>