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" w:hAnsi="仿宋" w:eastAsia="方正小标宋简体"/>
          <w:sz w:val="44"/>
          <w:szCs w:val="44"/>
        </w:rPr>
      </w:pPr>
      <w:bookmarkStart w:id="10" w:name="_GoBack"/>
      <w:bookmarkEnd w:id="10"/>
      <w:r>
        <w:rPr>
          <w:rFonts w:hint="eastAsia" w:ascii="仿宋" w:hAnsi="仿宋" w:eastAsia="方正小标宋简体"/>
          <w:sz w:val="44"/>
          <w:szCs w:val="44"/>
        </w:rPr>
        <w:t>临淄区人力资源和社会保障局</w:t>
      </w:r>
    </w:p>
    <w:p>
      <w:pPr>
        <w:spacing w:line="600" w:lineRule="exact"/>
        <w:jc w:val="center"/>
        <w:rPr>
          <w:rFonts w:ascii="仿宋" w:hAnsi="仿宋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2022</w:t>
      </w:r>
      <w:r>
        <w:rPr>
          <w:rFonts w:hint="eastAsia" w:ascii="仿宋" w:hAnsi="仿宋" w:eastAsia="方正小标宋简体"/>
          <w:sz w:val="44"/>
          <w:szCs w:val="44"/>
        </w:rPr>
        <w:t>年政府信息公开工作年度报告</w:t>
      </w:r>
    </w:p>
    <w:p>
      <w:pPr>
        <w:spacing w:line="600" w:lineRule="exact"/>
        <w:jc w:val="center"/>
        <w:rPr>
          <w:rFonts w:ascii="仿宋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本报告按照《关于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〈中华人民共和国政府信息公开工作年度报告格式〉的通知》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日止。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</w:rPr>
        <w:t>如对报告内容有疑问，请与临淄区人力资源和社会保障局联系（地址：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</w:rPr>
        <w:t>临淄区桓公路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</w:rPr>
        <w:t>；邮编：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255400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</w:rPr>
        <w:t>；电话：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0533-7310376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</w:rPr>
        <w:t>；邮箱：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lzqrsj@zb.shandong.cn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</w:rPr>
        <w:t>）。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黑体"/>
          <w:sz w:val="32"/>
          <w:szCs w:val="32"/>
        </w:rPr>
        <w:t>一、总体情况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在区委、区政府的正确领导下，区人社局坚持以习近平新时代中国特色社会主义思想为指导，全面学习宣传贯彻党的二十大精神，围绕人社重点工作，按照“公开为原则、不公开为例外”的基本原则，严格依法、全面真实、及时便民地公开政府信息。明确全局政府信息公开工作由局办公室负责牵头统筹，局属各单位、局机关各科室负责人为本单位、科室政务信息公开工作第一责任人，认真扎实推进行政行为和政务服务全过程公开。严格做好门户网站、微信公众号建设，积极推进政务信息栏目的更新和维护。</w:t>
      </w:r>
    </w:p>
    <w:p>
      <w:pPr>
        <w:spacing w:line="600" w:lineRule="exact"/>
        <w:ind w:firstLine="640" w:firstLineChars="200"/>
        <w:rPr>
          <w:rFonts w:ascii="仿宋" w:hAnsi="仿宋" w:eastAsia="楷体"/>
          <w:sz w:val="32"/>
          <w:szCs w:val="32"/>
        </w:rPr>
      </w:pPr>
      <w:r>
        <w:rPr>
          <w:rFonts w:hint="eastAsia" w:ascii="仿宋" w:hAnsi="仿宋" w:eastAsia="楷体"/>
          <w:sz w:val="32"/>
          <w:szCs w:val="32"/>
        </w:rPr>
        <w:t>（一）主动公开情况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年，区人社局通过政府信息公开网站主动公开政府信息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241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篇，其中机构职能信息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篇，规划计划信息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篇，部门会议信息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篇，公共资源配置信息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篇，社会保险信息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篇，稳岗就业信息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134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篇，“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双随机、一公开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篇，行政执法信息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篇，业务工作信息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篇，部门及镇政府预算、决算信息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篇，招考、招聘信息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篇，政府信息公开年度报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告1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篇，行政执法统计年度报告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篇，主动公开基本目录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篇，基层政务公开标准化目录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篇，其他文件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篇，其他信息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篇。</w:t>
      </w:r>
    </w:p>
    <w:p>
      <w:pPr>
        <w:spacing w:line="600" w:lineRule="exact"/>
        <w:ind w:firstLine="640" w:firstLineChars="200"/>
        <w:rPr>
          <w:rFonts w:ascii="仿宋" w:hAnsi="仿宋" w:eastAsia="仿宋_GB2312"/>
          <w:sz w:val="32"/>
          <w:szCs w:val="32"/>
        </w:rPr>
      </w:pPr>
    </w:p>
    <w:p>
      <w:pPr>
        <w:jc w:val="center"/>
        <w:rPr>
          <w:rFonts w:ascii="仿宋" w:hAnsi="仿宋" w:eastAsia="仿宋_GB2312"/>
          <w:sz w:val="32"/>
          <w:szCs w:val="32"/>
        </w:rPr>
      </w:pPr>
      <w:r>
        <w:rPr>
          <w:rFonts w:ascii="仿宋" w:hAnsi="仿宋" w:eastAsia="仿宋_GB2312"/>
          <w:sz w:val="32"/>
          <w:szCs w:val="32"/>
        </w:rPr>
        <w:pict>
          <v:shape id="_x0000_i1025" o:spt="75" alt="政务公开" type="#_x0000_t75" style="height:315.75pt;width:428.25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年，区人社局通过政务新媒体“临淄人社”微信公众号发布图文信息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470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篇和视频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个，公众号粉丝量达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6.8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万人，总阅读量达到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83.6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万次，单篇阅读量最高达到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38553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次，通过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政务公开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新媒体发布群众关注的实事、要事，让人社服务更广泛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走进民生。</w:t>
      </w:r>
    </w:p>
    <w:p>
      <w:pPr>
        <w:spacing w:line="600" w:lineRule="exact"/>
        <w:ind w:firstLine="640" w:firstLineChars="200"/>
        <w:rPr>
          <w:rFonts w:ascii="仿宋" w:hAnsi="仿宋" w:eastAsia="仿宋_GB2312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pict>
          <v:shape id="_x0000_i1026" o:spt="75" alt="临淄人社0" type="#_x0000_t75" style="height:329.25pt;width:204.7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pict>
          <v:shape id="_x0000_i1027" o:spt="75" alt="微信图片_20230119085016" type="#_x0000_t75" style="height:330.75pt;width:197.2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</w:p>
    <w:p>
      <w:pPr>
        <w:rPr>
          <w:rFonts w:ascii="仿宋" w:hAnsi="仿宋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楷体"/>
          <w:sz w:val="32"/>
          <w:szCs w:val="32"/>
        </w:rPr>
      </w:pPr>
      <w:r>
        <w:rPr>
          <w:rFonts w:hint="eastAsia" w:ascii="仿宋" w:hAnsi="仿宋" w:eastAsia="楷体"/>
          <w:sz w:val="32"/>
          <w:szCs w:val="32"/>
        </w:rPr>
        <w:t>（二）收到和处理政府信息公开申请情况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年，区人社局收到政务信息公开申请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件。其中申请人主动撤回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件，无需办理；申请公开应届毕业生落户本区的政策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件，申请时间为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日，申请理由为申请人想了解该政策。根据申请人的申请，依据《中华人民共和国政府信息公开条例》，已通过公务邮箱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lzqrsj@zb.shandong.cn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日向申请人预留邮箱发送《政府信息公开申请答复书》予以答复。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年，区人社局未出现因政府信息公开工作被申请行政复议、提起行政诉讼的情况。</w:t>
      </w:r>
    </w:p>
    <w:p>
      <w:pPr>
        <w:spacing w:line="600" w:lineRule="exact"/>
        <w:ind w:firstLine="640" w:firstLineChars="200"/>
        <w:rPr>
          <w:rFonts w:hint="eastAsia" w:ascii="仿宋" w:hAnsi="仿宋" w:eastAsia="楷体" w:cs="Times New Roman"/>
          <w:sz w:val="32"/>
          <w:szCs w:val="32"/>
          <w:lang w:eastAsia="zh-CN"/>
        </w:rPr>
      </w:pPr>
      <w:r>
        <w:rPr>
          <w:rFonts w:hint="eastAsia" w:ascii="仿宋" w:hAnsi="仿宋" w:eastAsia="楷体" w:cs="Times New Roman"/>
          <w:sz w:val="32"/>
          <w:szCs w:val="32"/>
          <w:lang w:eastAsia="zh-CN"/>
        </w:rPr>
        <w:t>（三）政府信息管理方面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严格按照《中华人民共和国政府信息公开条例》，制定主动公开基本目录和信息公开指南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信息公开工作由局办公室负责牵头统筹，局属各单位、局机关各科室负责人为本单位、科室政务信息公开工作第一责任人，严格贯彻政府信息公开工作“公开为常态、不公开为例外”的基本原则，按照“谁主管、谁公开、谁负责”的原则，明确信息公开保障工作分管领导、负责科室和具体负责人，强化信息公开保密工作审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仿宋" w:hAnsi="仿宋" w:eastAsia="楷体"/>
          <w:sz w:val="32"/>
          <w:szCs w:val="32"/>
        </w:rPr>
      </w:pPr>
      <w:r>
        <w:rPr>
          <w:rFonts w:hint="eastAsia" w:ascii="仿宋" w:hAnsi="仿宋" w:eastAsia="楷体"/>
          <w:sz w:val="32"/>
          <w:szCs w:val="32"/>
        </w:rPr>
        <w:t>（</w:t>
      </w:r>
      <w:r>
        <w:rPr>
          <w:rFonts w:hint="eastAsia" w:ascii="仿宋" w:hAnsi="仿宋" w:eastAsia="楷体"/>
          <w:sz w:val="32"/>
          <w:szCs w:val="32"/>
          <w:lang w:eastAsia="zh-CN"/>
        </w:rPr>
        <w:t>四</w:t>
      </w:r>
      <w:r>
        <w:rPr>
          <w:rFonts w:hint="eastAsia" w:ascii="仿宋" w:hAnsi="仿宋" w:eastAsia="楷体"/>
          <w:sz w:val="32"/>
          <w:szCs w:val="32"/>
        </w:rPr>
        <w:t>）政府信息公开平台建设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一是在临淄区政府网站设立临淄区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人力资源和社会保障局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政府信息公开专栏；二是充分利用新媒体开展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信息公开工作，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“临淄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人社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”微信公众号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和视频号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及时发布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人社领域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，积极拓展本单位政府信息公开平台建设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楷体"/>
          <w:sz w:val="32"/>
          <w:szCs w:val="32"/>
        </w:rPr>
      </w:pPr>
      <w:r>
        <w:rPr>
          <w:rFonts w:hint="eastAsia" w:ascii="仿宋" w:hAnsi="仿宋" w:eastAsia="楷体"/>
          <w:sz w:val="32"/>
          <w:szCs w:val="32"/>
        </w:rPr>
        <w:t>（</w:t>
      </w:r>
      <w:r>
        <w:rPr>
          <w:rFonts w:hint="eastAsia" w:ascii="仿宋" w:hAnsi="仿宋" w:eastAsia="楷体"/>
          <w:sz w:val="32"/>
          <w:szCs w:val="32"/>
          <w:lang w:eastAsia="zh-CN"/>
        </w:rPr>
        <w:t>五</w:t>
      </w:r>
      <w:r>
        <w:rPr>
          <w:rFonts w:hint="eastAsia" w:ascii="仿宋" w:hAnsi="仿宋" w:eastAsia="楷体"/>
          <w:sz w:val="32"/>
          <w:szCs w:val="32"/>
        </w:rPr>
        <w:t>）监督保障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严格按照上级要求，按时更新栏目信息，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坚持政务公开检查抓在日常，抓在经常，每季度末对政务公开工作进行自查评估，形成自查问题清单，明确责任人和整改时限，限期整改落实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不断扩充信息公开范围，确保监督途径畅通。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按时参加全区政务公开培训会议，不断提高政务公开能力。</w:t>
      </w:r>
    </w:p>
    <w:p>
      <w:pPr>
        <w:spacing w:line="600" w:lineRule="exact"/>
        <w:ind w:firstLine="640" w:firstLineChars="200"/>
        <w:rPr>
          <w:rFonts w:hint="eastAsia" w:ascii="仿宋" w:hAnsi="仿宋" w:eastAsia="黑体"/>
          <w:sz w:val="32"/>
          <w:szCs w:val="32"/>
        </w:rPr>
      </w:pPr>
      <w:r>
        <w:rPr>
          <w:rFonts w:hint="eastAsia" w:ascii="仿宋" w:hAnsi="仿宋" w:eastAsia="黑体"/>
          <w:sz w:val="32"/>
          <w:szCs w:val="32"/>
        </w:rPr>
        <w:t>二、主动公开政府信息情况</w:t>
      </w:r>
    </w:p>
    <w:tbl>
      <w:tblPr>
        <w:tblStyle w:val="5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40" w:firstLineChars="200"/>
        <w:rPr>
          <w:rFonts w:hint="eastAsia" w:ascii="仿宋" w:hAnsi="仿宋" w:eastAsia="黑体"/>
          <w:sz w:val="32"/>
          <w:szCs w:val="32"/>
        </w:rPr>
      </w:pPr>
      <w:r>
        <w:rPr>
          <w:rFonts w:hint="eastAsia" w:ascii="仿宋" w:hAnsi="仿宋" w:eastAsia="黑体"/>
          <w:sz w:val="32"/>
          <w:szCs w:val="32"/>
        </w:rPr>
        <w:t>三、收到和处理政府信息公开申请情况</w:t>
      </w:r>
    </w:p>
    <w:tbl>
      <w:tblPr>
        <w:tblStyle w:val="5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"/>
        <w:gridCol w:w="535"/>
        <w:gridCol w:w="720"/>
        <w:gridCol w:w="675"/>
        <w:gridCol w:w="525"/>
        <w:gridCol w:w="1"/>
        <w:gridCol w:w="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7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75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40" w:firstLineChars="200"/>
        <w:rPr>
          <w:rFonts w:hint="eastAsia" w:ascii="仿宋" w:hAnsi="仿宋" w:eastAsia="黑体"/>
          <w:sz w:val="32"/>
          <w:szCs w:val="32"/>
        </w:rPr>
      </w:pPr>
      <w:r>
        <w:rPr>
          <w:rFonts w:hint="eastAsia" w:ascii="仿宋" w:hAnsi="仿宋" w:eastAsia="黑体"/>
          <w:sz w:val="32"/>
          <w:szCs w:val="32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bookmarkStart w:id="9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40" w:firstLineChars="200"/>
        <w:rPr>
          <w:rFonts w:hint="eastAsia" w:ascii="仿宋" w:hAnsi="仿宋" w:eastAsia="黑体"/>
          <w:sz w:val="32"/>
          <w:szCs w:val="32"/>
        </w:rPr>
      </w:pPr>
      <w:r>
        <w:rPr>
          <w:rFonts w:hint="eastAsia" w:ascii="仿宋" w:hAnsi="仿宋" w:eastAsia="黑体"/>
          <w:sz w:val="32"/>
          <w:szCs w:val="32"/>
        </w:rPr>
        <w:t>五、存在的主要问题及改进情况</w:t>
      </w:r>
    </w:p>
    <w:p>
      <w:pPr>
        <w:spacing w:line="600" w:lineRule="exact"/>
        <w:ind w:firstLine="640" w:firstLineChars="200"/>
        <w:rPr>
          <w:rFonts w:ascii="仿宋" w:hAnsi="仿宋" w:eastAsia="楷体"/>
          <w:sz w:val="32"/>
          <w:szCs w:val="32"/>
        </w:rPr>
      </w:pPr>
      <w:r>
        <w:rPr>
          <w:rFonts w:hint="eastAsia" w:ascii="仿宋" w:hAnsi="仿宋" w:eastAsia="楷体"/>
          <w:sz w:val="32"/>
          <w:szCs w:val="32"/>
        </w:rPr>
        <w:t>（一）存在的主要问题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一是网站后台的具体操作不熟悉、掌握不牢固，短期内政务公开保障工作水平有所下降。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二是个别政务公开工作意识不够强，政务公开主动性不足。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三是政务公开各栏目公布信息不够均衡，个别栏目长期未更新。</w:t>
      </w:r>
    </w:p>
    <w:p>
      <w:pPr>
        <w:spacing w:line="600" w:lineRule="exact"/>
        <w:ind w:firstLine="640" w:firstLineChars="200"/>
        <w:rPr>
          <w:rFonts w:ascii="仿宋" w:hAnsi="仿宋" w:eastAsia="楷体"/>
          <w:sz w:val="32"/>
          <w:szCs w:val="32"/>
        </w:rPr>
      </w:pPr>
      <w:r>
        <w:rPr>
          <w:rFonts w:hint="eastAsia" w:ascii="仿宋" w:hAnsi="仿宋" w:eastAsia="楷体"/>
          <w:sz w:val="32"/>
          <w:szCs w:val="32"/>
        </w:rPr>
        <w:t>（二）改进措施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一是加强政务公开工作人员培训，多请示、多汇报、多学习，不断提升政务公开保障能力和水平。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二是在全局范围内开展政务公开工作业务培训，提升全体干部职工政务公开认识和重视程度，做到及时主动公开相关信息。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三是理顺政务公开栏目，进一步细化信息公开所属栏目，做到各栏目政务信息均及时、准确公开。</w:t>
      </w:r>
    </w:p>
    <w:p>
      <w:pPr>
        <w:spacing w:line="600" w:lineRule="exact"/>
        <w:ind w:firstLine="640" w:firstLineChars="200"/>
        <w:rPr>
          <w:rFonts w:hint="eastAsia" w:ascii="仿宋" w:hAnsi="仿宋" w:eastAsia="黑体"/>
          <w:sz w:val="32"/>
          <w:szCs w:val="32"/>
        </w:rPr>
      </w:pPr>
      <w:r>
        <w:rPr>
          <w:rFonts w:hint="eastAsia" w:ascii="仿宋" w:hAnsi="仿宋" w:eastAsia="黑体"/>
          <w:sz w:val="32"/>
          <w:szCs w:val="32"/>
        </w:rPr>
        <w:t>六、其他需要报告的事项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楷体"/>
          <w:sz w:val="32"/>
          <w:szCs w:val="32"/>
        </w:rPr>
        <w:t>（一）收取信息处理费情况。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年，区人社局未收取政府信息公开信息处理费。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（二）人大代表建议和政协提案办理结果情况。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本年度收到人大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代表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件，收到政协提案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均按时办结答复，满意度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楷体"/>
          <w:sz w:val="32"/>
          <w:szCs w:val="32"/>
          <w:lang w:eastAsia="zh-CN"/>
        </w:rPr>
        <w:t>（三）</w:t>
      </w:r>
      <w:r>
        <w:rPr>
          <w:rFonts w:hint="eastAsia" w:ascii="仿宋" w:hAnsi="仿宋" w:eastAsia="楷体"/>
          <w:sz w:val="32"/>
          <w:szCs w:val="32"/>
        </w:rPr>
        <w:t>年度工作要点落实情况。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年，区人社局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围绕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职责，主动公开机构职能信息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规划计划信息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部门会议信息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社会保险信息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稳岗就业信息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双随机、一公开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行政执法信息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业务工作信息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招考、招聘信息等重点领域民生信息。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楷体"/>
          <w:sz w:val="32"/>
          <w:szCs w:val="32"/>
        </w:rPr>
        <w:t>（</w:t>
      </w:r>
      <w:r>
        <w:rPr>
          <w:rFonts w:hint="eastAsia" w:ascii="仿宋" w:hAnsi="仿宋" w:eastAsia="楷体"/>
          <w:sz w:val="32"/>
          <w:szCs w:val="32"/>
          <w:lang w:eastAsia="zh-CN"/>
        </w:rPr>
        <w:t>四</w:t>
      </w:r>
      <w:r>
        <w:rPr>
          <w:rFonts w:hint="eastAsia" w:ascii="仿宋" w:hAnsi="仿宋" w:eastAsia="楷体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2023</w:t>
      </w:r>
      <w:r>
        <w:rPr>
          <w:rFonts w:hint="eastAsia" w:ascii="仿宋" w:hAnsi="仿宋" w:eastAsia="楷体"/>
          <w:sz w:val="32"/>
          <w:szCs w:val="32"/>
        </w:rPr>
        <w:t>年度政务公开工作展望情况。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区人社局将继续秉持为人民服务的宗旨，按照部门职责，重点公开机构职能、民生公益、业务工作等栏目，把群众关心的就业创业政策、社会保险补贴申领、招考、招聘信息等方面的内容作为政务信息公开的重点。同时，进一步加强政务新媒体建设，依托“临淄人社”微信公众号、视频号，将人社领域重点工作及时、准确、全面地传递给人民群众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widowControl/>
        <w:spacing w:beforeAutospacing="0" w:afterAutospacing="0" w:line="600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临淄区人力资源和社会保障局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</w:p>
    <w:p>
      <w:pPr>
        <w:wordWrap w:val="0"/>
        <w:spacing w:line="600" w:lineRule="exact"/>
        <w:ind w:firstLine="640" w:firstLineChars="200"/>
        <w:jc w:val="righ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</w:p>
    <w:sectPr>
      <w:footerReference r:id="rId3" w:type="default"/>
      <w:footerReference r:id="rId4" w:type="even"/>
      <w:pgSz w:w="11906" w:h="16838"/>
      <w:pgMar w:top="1701" w:right="1531" w:bottom="1134" w:left="1531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仿宋" w:hAnsi="仿宋" w:eastAsia="仿宋"/>
        <w:sz w:val="28"/>
        <w:szCs w:val="28"/>
      </w:rPr>
    </w:pPr>
    <w:r>
      <w:rPr>
        <w:rStyle w:val="8"/>
        <w:rFonts w:ascii="仿宋" w:hAnsi="仿宋" w:eastAsia="仿宋"/>
        <w:sz w:val="28"/>
        <w:szCs w:val="28"/>
      </w:rPr>
      <w:fldChar w:fldCharType="begin"/>
    </w:r>
    <w:r>
      <w:rPr>
        <w:rStyle w:val="8"/>
        <w:rFonts w:ascii="仿宋" w:hAnsi="仿宋" w:eastAsia="仿宋"/>
        <w:sz w:val="28"/>
        <w:szCs w:val="28"/>
      </w:rPr>
      <w:instrText xml:space="preserve"> PAGE </w:instrText>
    </w:r>
    <w:r>
      <w:rPr>
        <w:rStyle w:val="8"/>
        <w:rFonts w:ascii="仿宋" w:hAnsi="仿宋" w:eastAsia="仿宋"/>
        <w:sz w:val="28"/>
        <w:szCs w:val="28"/>
      </w:rPr>
      <w:fldChar w:fldCharType="separate"/>
    </w:r>
    <w:r>
      <w:rPr>
        <w:rStyle w:val="8"/>
        <w:rFonts w:ascii="仿宋" w:hAnsi="仿宋" w:eastAsia="仿宋"/>
        <w:sz w:val="28"/>
        <w:szCs w:val="28"/>
      </w:rPr>
      <w:t>1</w:t>
    </w:r>
    <w:r>
      <w:rPr>
        <w:rStyle w:val="8"/>
        <w:rFonts w:ascii="仿宋" w:hAnsi="仿宋" w:eastAsia="仿宋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IyOGNkZDMwZTBjODMyZmQ2MWRkYjQ5MDM0NzAzZGMifQ=="/>
  </w:docVars>
  <w:rsids>
    <w:rsidRoot w:val="69D75D73"/>
    <w:rsid w:val="000C16DF"/>
    <w:rsid w:val="000D29EB"/>
    <w:rsid w:val="002C33B9"/>
    <w:rsid w:val="00374DB5"/>
    <w:rsid w:val="004418FF"/>
    <w:rsid w:val="00465457"/>
    <w:rsid w:val="0052106C"/>
    <w:rsid w:val="005849D3"/>
    <w:rsid w:val="005D463B"/>
    <w:rsid w:val="007028FE"/>
    <w:rsid w:val="0076303A"/>
    <w:rsid w:val="008456EF"/>
    <w:rsid w:val="00885BBE"/>
    <w:rsid w:val="00893D97"/>
    <w:rsid w:val="00921C3F"/>
    <w:rsid w:val="00A05D8B"/>
    <w:rsid w:val="00AA5ADF"/>
    <w:rsid w:val="00B60DFD"/>
    <w:rsid w:val="00DD305C"/>
    <w:rsid w:val="00DD6983"/>
    <w:rsid w:val="00ED2AA9"/>
    <w:rsid w:val="00F45E56"/>
    <w:rsid w:val="019977F4"/>
    <w:rsid w:val="040E6340"/>
    <w:rsid w:val="05221E49"/>
    <w:rsid w:val="053F69CD"/>
    <w:rsid w:val="058445A6"/>
    <w:rsid w:val="0AF37145"/>
    <w:rsid w:val="0AF97CC1"/>
    <w:rsid w:val="0CF20312"/>
    <w:rsid w:val="0D0E679A"/>
    <w:rsid w:val="0DA34335"/>
    <w:rsid w:val="0DF33C68"/>
    <w:rsid w:val="114809B7"/>
    <w:rsid w:val="144A2343"/>
    <w:rsid w:val="14CC500F"/>
    <w:rsid w:val="19EC6CCB"/>
    <w:rsid w:val="1B030CA8"/>
    <w:rsid w:val="1DDD7245"/>
    <w:rsid w:val="1E707ECB"/>
    <w:rsid w:val="20F52E89"/>
    <w:rsid w:val="225C3529"/>
    <w:rsid w:val="23122DE5"/>
    <w:rsid w:val="2681079B"/>
    <w:rsid w:val="27B66C3B"/>
    <w:rsid w:val="29FA689B"/>
    <w:rsid w:val="2CA3770E"/>
    <w:rsid w:val="2D8A60D3"/>
    <w:rsid w:val="2F0A2D59"/>
    <w:rsid w:val="33E72CEE"/>
    <w:rsid w:val="34E307A2"/>
    <w:rsid w:val="390A2872"/>
    <w:rsid w:val="3BA3768E"/>
    <w:rsid w:val="3C1201DB"/>
    <w:rsid w:val="3DD50ECF"/>
    <w:rsid w:val="3DF7118A"/>
    <w:rsid w:val="459210F1"/>
    <w:rsid w:val="4679226B"/>
    <w:rsid w:val="47765782"/>
    <w:rsid w:val="47AE0EA7"/>
    <w:rsid w:val="489D100D"/>
    <w:rsid w:val="4C716E97"/>
    <w:rsid w:val="4E7F41F5"/>
    <w:rsid w:val="52F15C61"/>
    <w:rsid w:val="531E39CD"/>
    <w:rsid w:val="593D63D2"/>
    <w:rsid w:val="59F0543D"/>
    <w:rsid w:val="5AAB5B26"/>
    <w:rsid w:val="5BA72CE5"/>
    <w:rsid w:val="5BBA3766"/>
    <w:rsid w:val="5C29475F"/>
    <w:rsid w:val="5D92046B"/>
    <w:rsid w:val="62195750"/>
    <w:rsid w:val="667F279E"/>
    <w:rsid w:val="66F4743D"/>
    <w:rsid w:val="68531987"/>
    <w:rsid w:val="69D75D73"/>
    <w:rsid w:val="6A0361D3"/>
    <w:rsid w:val="6F9B691D"/>
    <w:rsid w:val="72BA6483"/>
    <w:rsid w:val="732C354E"/>
    <w:rsid w:val="75372E7B"/>
    <w:rsid w:val="78915688"/>
    <w:rsid w:val="78FD14AC"/>
    <w:rsid w:val="79916B6D"/>
    <w:rsid w:val="79D93881"/>
    <w:rsid w:val="7BB51BEE"/>
    <w:rsid w:val="7D545437"/>
    <w:rsid w:val="7EC7E8D6"/>
    <w:rsid w:val="7F1D24FA"/>
    <w:rsid w:val="7F76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table" w:customStyle="1" w:styleId="10">
    <w:name w:val="Table Normal1"/>
    <w:semiHidden/>
    <w:qFormat/>
    <w:uiPriority w:val="99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oter Char"/>
    <w:basedOn w:val="7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12">
    <w:name w:val="Header Char"/>
    <w:basedOn w:val="7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8</Pages>
  <Words>3076</Words>
  <Characters>3203</Characters>
  <Lines>0</Lines>
  <Paragraphs>0</Paragraphs>
  <TotalTime>16</TotalTime>
  <ScaleCrop>false</ScaleCrop>
  <LinksUpToDate>false</LinksUpToDate>
  <CharactersWithSpaces>3229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2022-01-10T15:48:00Z</dcterms:created>
  <dc:creator>Administrator</dc:creator>
  <cp:lastModifiedBy>administrator</cp:lastModifiedBy>
  <dcterms:modified xsi:type="dcterms:W3CDTF">2024-08-30T17:09:07Z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F6626A76719F439A835EF8C087F33AD3</vt:lpwstr>
  </property>
</Properties>
</file>