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jc w:val="both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临政字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〔2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024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号</w:t>
      </w: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jc w:val="center"/>
        <w:rPr>
          <w:rFonts w:hint="default" w:ascii="方正小标宋简体" w:hAnsi="微软雅黑" w:eastAsia="方正小标宋简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shd w:val="clear" w:color="auto" w:fill="FFFFFF"/>
          <w:lang w:val="en-US" w:eastAsia="zh-CN"/>
        </w:rPr>
        <w:t>临淄区人民政府</w:t>
      </w:r>
    </w:p>
    <w:p>
      <w:pPr>
        <w:spacing w:line="560" w:lineRule="exact"/>
        <w:jc w:val="center"/>
        <w:rPr>
          <w:rFonts w:ascii="方正小标宋简体" w:hAnsi="微软雅黑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000000"/>
          <w:sz w:val="44"/>
          <w:szCs w:val="44"/>
          <w:shd w:val="clear" w:color="auto" w:fill="FFFFFF"/>
        </w:rPr>
        <w:t>关于公布临淄区赋予镇（街道）行政执法权事项清单的通知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Fonts w:ascii="仿宋_GB2312" w:hAnsi="微软雅黑" w:eastAsia="仿宋_GB2312"/>
          <w:color w:val="333333"/>
          <w:sz w:val="32"/>
          <w:szCs w:val="32"/>
        </w:rPr>
      </w:pPr>
    </w:p>
    <w:p>
      <w:pPr>
        <w:snapToGrid w:val="0"/>
        <w:spacing w:line="560" w:lineRule="exact"/>
        <w:rPr>
          <w:rFonts w:hint="eastAsia" w:eastAsia="仿宋_GB2312" w:cs="仿宋_GB2312"/>
          <w:color w:val="000000"/>
          <w:sz w:val="32"/>
          <w:szCs w:val="32"/>
        </w:rPr>
      </w:pPr>
      <w:r>
        <w:rPr>
          <w:rFonts w:hint="eastAsia" w:eastAsia="仿宋_GB2312" w:cs="仿宋_GB2312"/>
          <w:color w:val="000000"/>
          <w:sz w:val="32"/>
          <w:szCs w:val="32"/>
        </w:rPr>
        <w:t>各镇人民政府、街道办事处，各开发区管委会，区政府各部门，有关企事业单位：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根据《山东省人民政府关于印发〈山东省赋予试点县（市、区）所辖乡镇（街道）行政执法权指导目录〉的通知》（鲁政字〔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35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号）要求，经市政府审核同意，现予公布临淄区赋予镇（街道）行政执法权事项清单，并就做好赋权工作有关事项通知如下。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承接赋权事项。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按照“同类镇街、一张清单”的原则，全区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个镇（街道）分为涉农镇（街道）和中心城区街道两类，制定两张清单。分别是赋予涉农镇（街道）（齐都镇、金岭回族镇、金山镇、敬仲镇、朱台镇、皇城镇、凤凰镇、稷下街道、辛店街道、齐陵街道）行政执法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89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项；赋予中心城区街道（闻韶街道、雪宫街道）行政执法权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34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项。区直赋权部门依法与各镇（街道）签订赋权事项承接确认书。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二、厘清职责权限。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为切实提升镇（街道）承接能力，确保赋权事项有效运行，自行政执法权事项清单公布之日起，设置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个月过渡期。过渡期内，区直赋权部门作为赋权事项的责任主体，期间发生的相关问题，以及过渡期结束时未办结事项，仍由区直赋权部门承担相应责任。过渡期后，赋权事项主体为“谁实施谁为主体”，各镇（街道）在本辖区内行使赋予的行政处罚权以及与之相关的行政检查权、行政强制措施权；区直赋权部门提供执法指导和相应的技术支持。各镇（街道）之间以及镇（街道）与区级行政执法部门、行业管理部门之间要加强协作配合，有效提升行政监管效能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三、规范基层执法。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推进镇（街道）综合行政执法平台建设，加快实现“一支队伍管执法”。通过区级行政执法队伍人员下沉、镇（街道）内部挖潜和人员招录等方式，充实各镇（街道）综合执法指挥中心力量。 区级职能部门派驻机构和工作人员，全部纳入镇（街道）统一指挥和统筹协调，严禁随意抽调、借调基层执法人员，确保基层执法力量稳定。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四、定期开展评估。</w:t>
      </w: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区委编办和区司法局应当通过实地调研、座谈会、调查问卷等形式定期开展评估，建立工作台账和定期工作报送制度，及时研究解决赋权过程中出现的问题，重大问题及时上报。对确需调整的赋权事项，按程序审核备案，并向社会公布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  <w:t>本通知自公布之日起实施。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hint="eastAsia" w:eastAsia="仿宋_GB2312" w:cs="仿宋_GB2312" w:asciiTheme="minorHAnsi" w:hAnsiTheme="minorHAnsi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hAnsi="微软雅黑" w:eastAsia="仿宋_GB2312"/>
          <w:color w:val="333333"/>
          <w:sz w:val="32"/>
          <w:szCs w:val="32"/>
        </w:rPr>
        <w:t>附件：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1</w:t>
      </w:r>
      <w:r>
        <w:rPr>
          <w:rFonts w:ascii="仿宋_GB2312" w:hAnsi="微软雅黑" w:eastAsia="仿宋_GB2312"/>
          <w:color w:val="333333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《临淄区涉农镇（街道）行使的行政执法权事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项清单》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1600" w:firstLineChars="50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《临淄区中心城区街道行使的行政执法权事项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清单》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</w:rPr>
        <w:t>临淄区人民政府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1920" w:firstLineChars="600"/>
        <w:jc w:val="both"/>
        <w:rPr>
          <w:rFonts w:ascii="仿宋_GB2312" w:hAnsi="微软雅黑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2024年7月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方正小标宋简体" w:hAnsi="微软雅黑" w:eastAsia="方正小标宋简体"/>
          <w:color w:val="000000"/>
          <w:sz w:val="44"/>
          <w:szCs w:val="44"/>
          <w:shd w:val="clear" w:color="auto" w:fill="FFFFFF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 w:ascii="Times New Roman" w:hAnsi="Times New Roman"/>
          <w:color w:val="0000FF"/>
          <w:lang w:val="en-US" w:eastAsia="zh-CN"/>
        </w:rPr>
      </w:pPr>
    </w:p>
    <w:p>
      <w:pPr>
        <w:rPr>
          <w:rFonts w:hint="default" w:ascii="Times New Roman" w:hAnsi="Times New Roman"/>
          <w:color w:val="0000FF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3175</wp:posOffset>
                </wp:positionV>
                <wp:extent cx="5467350" cy="0"/>
                <wp:effectExtent l="0" t="4445" r="0" b="508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65pt;margin-top:0.25pt;height:0pt;width:430.5pt;z-index:251659264;mso-width-relative:page;mso-height-relative:page;" filled="f" stroked="t" coordsize="21600,21600" o:gfxdata="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TkuvNMAAAAEAQAADwAAAAAAAAABACAAAAAiAAAAZHJzL2Rvd25yZXYueG1s&#10;UEsBAhQAFAAAAAgAh07iQPRZofr9AQAA7A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抄送：区委各部门，区人大、区政协、区纪委监委、区人武部办公室，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仿宋"/>
          <w:sz w:val="28"/>
          <w:szCs w:val="28"/>
          <w:lang w:eastAsia="zh-CN"/>
        </w:rPr>
      </w:pPr>
      <w:r>
        <w:rPr>
          <w:rFonts w:ascii="Times New Roman" w:hAnsi="Times New Roman" w:eastAsia="仿宋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274320</wp:posOffset>
                </wp:positionV>
                <wp:extent cx="5486400" cy="0"/>
                <wp:effectExtent l="0" t="4445" r="0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.15pt;margin-top:21.6pt;height:0pt;width:432pt;z-index:251660288;mso-width-relative:page;mso-height-relative:page;" filled="f" stroked="t" coordsize="21600,21600" o:gfxdata="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uNv8y1wAAAAgBAAAPAAAAAAAAAAEAIAAAACIAAABkcnMvZG93bnJl&#10;di54bWxQSwECFAAUAAAACACHTuJAQtk3KP4BAADs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仿宋"/>
          <w:sz w:val="28"/>
          <w:szCs w:val="28"/>
          <w:lang w:eastAsia="zh-CN"/>
        </w:rPr>
        <w:t xml:space="preserve">     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区法院、区检察院。</w:t>
      </w:r>
    </w:p>
    <w:p>
      <w:pPr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334010</wp:posOffset>
                </wp:positionV>
                <wp:extent cx="5543550" cy="0"/>
                <wp:effectExtent l="0" t="4445" r="0" b="508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4.4pt;margin-top:26.3pt;height:0pt;width:436.5pt;z-index:251661312;mso-width-relative:page;mso-height-relative:page;" filled="f" stroked="t" coordsize="21600,21600" o:gfxdata="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0vG+/1gAAAAgBAAAPAAAAAAAAAAEAIAAAACIAAABkcnMvZG93bnJldi54&#10;bWxQSwECFAAUAAAACACHTuJAKp4rkPwBAADs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 xml:space="preserve">临淄区人民政府办公室             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7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17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日印发</w:t>
      </w:r>
    </w:p>
    <w:sectPr>
      <w:pgSz w:w="11906" w:h="16838"/>
      <w:pgMar w:top="2098" w:right="113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5YmNjNGRiYmMyM2VhZTljMjQ3YTY0Nzk4MjJmOTMifQ=="/>
  </w:docVars>
  <w:rsids>
    <w:rsidRoot w:val="00A67099"/>
    <w:rsid w:val="0009120F"/>
    <w:rsid w:val="001768A7"/>
    <w:rsid w:val="001F5BF0"/>
    <w:rsid w:val="00204ACF"/>
    <w:rsid w:val="00214073"/>
    <w:rsid w:val="002C1B9C"/>
    <w:rsid w:val="002D4A64"/>
    <w:rsid w:val="004346A2"/>
    <w:rsid w:val="00476B26"/>
    <w:rsid w:val="00750AAA"/>
    <w:rsid w:val="008245CF"/>
    <w:rsid w:val="00826266"/>
    <w:rsid w:val="008A6622"/>
    <w:rsid w:val="008B1F8C"/>
    <w:rsid w:val="008F235D"/>
    <w:rsid w:val="00901076"/>
    <w:rsid w:val="00A67099"/>
    <w:rsid w:val="00A727D6"/>
    <w:rsid w:val="00AB0E1E"/>
    <w:rsid w:val="00BD7C16"/>
    <w:rsid w:val="00C03830"/>
    <w:rsid w:val="00CC7874"/>
    <w:rsid w:val="00CE10C6"/>
    <w:rsid w:val="00D86B5A"/>
    <w:rsid w:val="00DA30FA"/>
    <w:rsid w:val="00ED3D7D"/>
    <w:rsid w:val="00F7068E"/>
    <w:rsid w:val="00FE49B2"/>
    <w:rsid w:val="12745D5C"/>
    <w:rsid w:val="1D0A4E99"/>
    <w:rsid w:val="223631D9"/>
    <w:rsid w:val="24EE3B48"/>
    <w:rsid w:val="350A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1033</Words>
  <Characters>1054</Characters>
  <Lines>7</Lines>
  <Paragraphs>2</Paragraphs>
  <TotalTime>0</TotalTime>
  <ScaleCrop>false</ScaleCrop>
  <LinksUpToDate>false</LinksUpToDate>
  <CharactersWithSpaces>1121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2024-07-10T01:44:00Z</dcterms:created>
  <dc:creator>I</dc:creator>
  <cp:lastModifiedBy>孟雪晴</cp:lastModifiedBy>
  <cp:lastPrinted>2024-07-18T02:52:00Z</cp:lastPrinted>
  <dcterms:modified xsi:type="dcterms:W3CDTF">2024-07-24T00:48:54Z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351289A4EBAD4ACF9935409773C5D68D_13</vt:lpwstr>
  </property>
</Properties>
</file>