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华文中宋" w:hAnsi="华文中宋" w:eastAsia="华文中宋"/>
          <w:b/>
          <w:sz w:val="36"/>
          <w:szCs w:val="36"/>
        </w:rPr>
      </w:pPr>
      <w:r>
        <w:rPr>
          <w:rFonts w:ascii="华文中宋" w:hAnsi="华文中宋" w:eastAsia="华文中宋"/>
          <w:b/>
          <w:sz w:val="36"/>
          <w:szCs w:val="36"/>
        </w:rPr>
        <mc:AlternateContent>
          <mc:Choice Requires="wps">
            <w:drawing>
              <wp:anchor distT="0" distB="0" distL="114300" distR="114300" simplePos="0" relativeHeight="251659264" behindDoc="0" locked="1" layoutInCell="1" allowOverlap="1">
                <wp:simplePos x="0" y="0"/>
                <wp:positionH relativeFrom="column">
                  <wp:posOffset>15875</wp:posOffset>
                </wp:positionH>
                <wp:positionV relativeFrom="paragraph">
                  <wp:posOffset>495300</wp:posOffset>
                </wp:positionV>
                <wp:extent cx="5372100" cy="1089660"/>
                <wp:effectExtent l="15875" t="19050" r="12700" b="15240"/>
                <wp:wrapNone/>
                <wp:docPr id="6" name="WordArt 2"/>
                <wp:cNvGraphicFramePr/>
                <a:graphic xmlns:a="http://schemas.openxmlformats.org/drawingml/2006/main">
                  <a:graphicData uri="http://schemas.microsoft.com/office/word/2010/wordprocessingShape">
                    <wps:wsp>
                      <wps:cNvSpPr txBox="true">
                        <a:spLocks noChangeArrowheads="true" noChangeShapeType="true" noTextEdit="true"/>
                      </wps:cNvSpPr>
                      <wps:spPr bwMode="auto">
                        <a:xfrm>
                          <a:off x="0" y="0"/>
                          <a:ext cx="5372100" cy="1089660"/>
                        </a:xfrm>
                        <a:prstGeom prst="rect">
                          <a:avLst/>
                        </a:prstGeom>
                      </wps:spPr>
                      <wps:txbx>
                        <w:txbxContent>
                          <w:p>
                            <w:pPr>
                              <w:pStyle w:val="7"/>
                              <w:spacing w:before="0" w:beforeAutospacing="0" w:after="0" w:afterAutospacing="0"/>
                              <w:jc w:val="both"/>
                            </w:pPr>
                          </w:p>
                        </w:txbxContent>
                      </wps:txbx>
                      <wps:bodyPr wrap="square" numCol="1" fromWordArt="true">
                        <a:prstTxWarp prst="textPlain">
                          <a:avLst>
                            <a:gd name="adj" fmla="val 50000"/>
                          </a:avLst>
                        </a:prstTxWarp>
                        <a:spAutoFit/>
                      </wps:bodyPr>
                    </wps:wsp>
                  </a:graphicData>
                </a:graphic>
              </wp:anchor>
            </w:drawing>
          </mc:Choice>
          <mc:Fallback>
            <w:pict>
              <v:shape id="WordArt 2" o:spid="_x0000_s1026" o:spt="202" type="#_x0000_t202" style="position:absolute;left:0pt;margin-left:1.25pt;margin-top:39pt;height:85.8pt;width:423pt;z-index:251659264;mso-width-relative:page;mso-height-relative:page;" filled="f" stroked="f" coordsize="21600,21600" o:gfxdata="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BYAAABkcnMvUEsBAhQAFAAAAAgAh07iQGjY1unXAAAACAEAAA8AAAAAAAAAAQAg&#10;AAAAOAAAAGRycy9kb3ducmV2LnhtbFBLAQIUABQAAAAIAIdO4kA3ws58+QEAAOkDAAAOAAAAAAAA&#10;AAEAIAAAADwBAABkcnMvZTJvRG9jLnhtbFBLBQYAAAAABgAGAFkBAACnBQAAAAA=&#10;" adj="10800">
                <v:fill on="f" focussize="0,0"/>
                <v:stroke on="f"/>
                <v:imagedata o:title=""/>
                <o:lock v:ext="edit" text="t" aspectratio="f"/>
                <v:textbox style="mso-fit-shape-to-text:t;">
                  <w:txbxContent>
                    <w:p>
                      <w:pPr>
                        <w:pStyle w:val="7"/>
                        <w:spacing w:before="0" w:beforeAutospacing="0" w:after="0" w:afterAutospacing="0"/>
                        <w:jc w:val="both"/>
                      </w:pPr>
                    </w:p>
                  </w:txbxContent>
                </v:textbox>
                <w10:anchorlock/>
              </v:shape>
            </w:pict>
          </mc:Fallback>
        </mc:AlternateContent>
      </w:r>
    </w:p>
    <w:p>
      <w:pPr>
        <w:rPr>
          <w:rFonts w:ascii="华文中宋" w:hAnsi="华文中宋" w:eastAsia="华文中宋"/>
          <w:b/>
          <w:sz w:val="36"/>
          <w:szCs w:val="36"/>
        </w:rPr>
      </w:pPr>
    </w:p>
    <w:p>
      <w:pPr>
        <w:rPr>
          <w:rFonts w:ascii="华文中宋" w:hAnsi="华文中宋" w:eastAsia="华文中宋"/>
          <w:b/>
          <w:sz w:val="36"/>
          <w:szCs w:val="36"/>
        </w:rPr>
      </w:pPr>
    </w:p>
    <w:p>
      <w:pPr>
        <w:rPr>
          <w:rFonts w:ascii="华文中宋" w:hAnsi="华文中宋" w:eastAsia="华文中宋"/>
          <w:b/>
          <w:sz w:val="36"/>
          <w:szCs w:val="36"/>
        </w:rPr>
      </w:pPr>
    </w:p>
    <w:p>
      <w:pPr>
        <w:rPr>
          <w:rFonts w:ascii="仿宋_GB2312" w:eastAsia="仿宋_GB2312"/>
          <w:sz w:val="32"/>
          <w:szCs w:val="32"/>
        </w:rPr>
      </w:pPr>
    </w:p>
    <w:p>
      <w:pPr>
        <w:rPr>
          <w:rFonts w:ascii="仿宋_GB2312" w:eastAsia="仿宋_GB2312"/>
          <w:sz w:val="32"/>
          <w:szCs w:val="32"/>
        </w:rPr>
      </w:pPr>
      <w:r>
        <w:rPr>
          <w:rFonts w:hint="eastAsia" w:ascii="仿宋" w:hAnsi="仿宋" w:eastAsia="仿宋"/>
          <w:sz w:val="32"/>
          <w:szCs w:val="32"/>
        </w:rPr>
        <w:t xml:space="preserve">                  </w:t>
      </w:r>
      <w:r>
        <w:rPr>
          <w:rFonts w:hint="eastAsia" w:ascii="仿宋" w:hAnsi="仿宋" w:eastAsia="仿宋" w:cs="仿宋"/>
          <w:sz w:val="32"/>
          <w:szCs w:val="32"/>
        </w:rPr>
        <w:t xml:space="preserve">临政字〔 </w:t>
      </w:r>
      <w:r>
        <w:rPr>
          <w:rFonts w:ascii="仿宋" w:hAnsi="仿宋" w:eastAsia="仿宋" w:cs="仿宋"/>
          <w:sz w:val="32"/>
          <w:szCs w:val="32"/>
        </w:rPr>
        <w:t>2020</w:t>
      </w:r>
      <w:r>
        <w:rPr>
          <w:rFonts w:hint="eastAsia" w:ascii="仿宋" w:hAnsi="仿宋" w:eastAsia="仿宋" w:cs="仿宋"/>
          <w:sz w:val="32"/>
          <w:szCs w:val="32"/>
        </w:rPr>
        <w:t xml:space="preserve"> 〕</w:t>
      </w:r>
      <w:r>
        <w:rPr>
          <w:rFonts w:ascii="仿宋" w:hAnsi="仿宋" w:eastAsia="仿宋" w:cs="仿宋"/>
          <w:sz w:val="32"/>
          <w:szCs w:val="32"/>
        </w:rPr>
        <w:t>130</w:t>
      </w:r>
      <w:r>
        <w:rPr>
          <w:rFonts w:hint="eastAsia" w:ascii="仿宋" w:hAnsi="仿宋" w:eastAsia="仿宋" w:cs="仿宋"/>
          <w:sz w:val="32"/>
          <w:szCs w:val="32"/>
        </w:rPr>
        <w:t>号</w:t>
      </w:r>
      <w:r>
        <w:rPr>
          <w:rFonts w:hint="eastAsia" w:ascii="仿宋" w:hAnsi="仿宋" w:eastAsia="仿宋" w:cs="仿宋"/>
          <w:b/>
          <w:sz w:val="36"/>
          <w:szCs w:val="36"/>
        </w:rPr>
        <w:t xml:space="preserve">            </w:t>
      </w:r>
    </w:p>
    <w:p>
      <w:pPr>
        <w:rPr>
          <w:rFonts w:ascii="仿宋_GB2312" w:eastAsia="仿宋_GB2312"/>
          <w:sz w:val="32"/>
          <w:szCs w:val="32"/>
        </w:rPr>
      </w:pPr>
    </w:p>
    <w:p>
      <w:pPr>
        <w:spacing w:line="520" w:lineRule="exact"/>
        <w:jc w:val="center"/>
        <w:rPr>
          <w:rFonts w:ascii="仿宋" w:hAnsi="仿宋" w:eastAsia="仿宋"/>
          <w:sz w:val="32"/>
          <w:szCs w:val="32"/>
        </w:rPr>
      </w:pPr>
      <w:r>
        <w:rPr>
          <w:rFonts w:hint="eastAsia" w:ascii="仿宋" w:hAnsi="仿宋" w:eastAsia="仿宋"/>
          <w:sz w:val="32"/>
          <w:szCs w:val="32"/>
        </w:rPr>
        <w:t xml:space="preserve">       </w:t>
      </w:r>
    </w:p>
    <w:p>
      <w:pPr>
        <w:spacing w:line="620" w:lineRule="exact"/>
        <w:jc w:val="center"/>
        <w:rPr>
          <w:rFonts w:hint="eastAsia" w:ascii="方正小标宋简体" w:hAnsi="方正小标宋简体" w:eastAsia="方正小标宋简体" w:cs="方正小标宋简体"/>
          <w:sz w:val="44"/>
          <w:szCs w:val="44"/>
        </w:rPr>
      </w:pPr>
      <w:r>
        <w:rPr>
          <w:rFonts w:hint="eastAsia" w:ascii="仿宋" w:hAnsi="仿宋" w:eastAsia="仿宋"/>
          <w:sz w:val="32"/>
          <w:szCs w:val="32"/>
        </w:rPr>
        <w:t xml:space="preserve"> </w:t>
      </w:r>
      <w:r>
        <w:rPr>
          <w:rFonts w:hint="eastAsia" w:ascii="方正小标宋简体" w:hAnsi="方正小标宋简体" w:eastAsia="方正小标宋简体" w:cs="方正小标宋简体"/>
          <w:sz w:val="44"/>
          <w:szCs w:val="44"/>
        </w:rPr>
        <w:t>临淄区人民政府</w:t>
      </w:r>
    </w:p>
    <w:p>
      <w:pPr>
        <w:spacing w:line="62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关于印发临淄区2020年度保护发展森林资源</w:t>
      </w:r>
    </w:p>
    <w:p>
      <w:pPr>
        <w:spacing w:line="62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目标责任制实施意见的通知</w:t>
      </w:r>
    </w:p>
    <w:p>
      <w:pPr>
        <w:rPr>
          <w:rFonts w:hint="eastAsia" w:ascii="仿宋_GB2312" w:eastAsia="仿宋_GB2312"/>
          <w:sz w:val="32"/>
          <w:szCs w:val="32"/>
        </w:rPr>
      </w:pPr>
    </w:p>
    <w:p>
      <w:pPr>
        <w:rPr>
          <w:rFonts w:hint="eastAsia" w:ascii="仿宋_GB2312" w:eastAsia="仿宋_GB2312"/>
          <w:sz w:val="32"/>
          <w:szCs w:val="32"/>
        </w:rPr>
      </w:pPr>
      <w:r>
        <w:rPr>
          <w:rFonts w:hint="eastAsia" w:ascii="仿宋_GB2312" w:eastAsia="仿宋_GB2312"/>
          <w:sz w:val="32"/>
          <w:szCs w:val="32"/>
        </w:rPr>
        <w:t>各镇人民政府、街道办事处，各开发区管委会，区政府各部门，有关企事业单位：</w:t>
      </w:r>
    </w:p>
    <w:p>
      <w:pPr>
        <w:ind w:firstLine="640" w:firstLineChars="200"/>
        <w:rPr>
          <w:rFonts w:hint="eastAsia" w:ascii="仿宋_GB2312" w:eastAsia="仿宋_GB2312"/>
          <w:color w:val="000000"/>
          <w:kern w:val="0"/>
          <w:sz w:val="32"/>
          <w:szCs w:val="32"/>
        </w:rPr>
      </w:pPr>
      <w:r>
        <w:rPr>
          <w:rFonts w:hint="eastAsia" w:ascii="仿宋_GB2312" w:eastAsia="仿宋_GB2312"/>
          <w:sz w:val="32"/>
          <w:szCs w:val="32"/>
        </w:rPr>
        <w:t>《临淄区2020年度保护发展森林资源目标责任制实施意见》已经区政府研究同意，现印发给你们，请认真组织实施。</w:t>
      </w:r>
    </w:p>
    <w:p>
      <w:pPr>
        <w:ind w:firstLine="800" w:firstLineChars="250"/>
        <w:rPr>
          <w:rFonts w:hint="eastAsia" w:ascii="仿宋_GB2312" w:eastAsia="仿宋_GB2312"/>
          <w:color w:val="000000"/>
          <w:kern w:val="0"/>
          <w:sz w:val="32"/>
          <w:szCs w:val="32"/>
        </w:rPr>
      </w:pPr>
    </w:p>
    <w:p>
      <w:pPr>
        <w:ind w:firstLine="800" w:firstLineChars="250"/>
        <w:rPr>
          <w:rFonts w:hint="eastAsia" w:ascii="仿宋_GB2312" w:eastAsia="仿宋_GB2312"/>
          <w:color w:val="000000"/>
          <w:kern w:val="0"/>
          <w:sz w:val="32"/>
          <w:szCs w:val="32"/>
        </w:rPr>
      </w:pPr>
    </w:p>
    <w:p>
      <w:pPr>
        <w:ind w:firstLine="800" w:firstLineChars="250"/>
        <w:rPr>
          <w:rFonts w:hint="eastAsia" w:ascii="仿宋_GB2312" w:eastAsia="仿宋_GB2312"/>
          <w:color w:val="000000"/>
          <w:kern w:val="0"/>
          <w:sz w:val="32"/>
          <w:szCs w:val="32"/>
        </w:rPr>
      </w:pPr>
      <w:r>
        <w:rPr>
          <w:rFonts w:hint="eastAsia" w:ascii="仿宋_GB2312" w:eastAsia="仿宋_GB2312"/>
          <w:color w:val="000000"/>
          <w:kern w:val="0"/>
          <w:sz w:val="32"/>
          <w:szCs w:val="32"/>
        </w:rPr>
        <w:t xml:space="preserve">                           临淄区人民政府</w:t>
      </w:r>
    </w:p>
    <w:p>
      <w:pPr>
        <w:ind w:firstLine="640" w:firstLineChars="200"/>
        <w:rPr>
          <w:rFonts w:hint="eastAsia" w:ascii="仿宋_GB2312" w:eastAsia="仿宋_GB2312"/>
          <w:color w:val="000000"/>
          <w:kern w:val="0"/>
          <w:sz w:val="32"/>
          <w:szCs w:val="32"/>
        </w:rPr>
      </w:pPr>
      <w:r>
        <w:rPr>
          <w:rFonts w:hint="eastAsia" w:ascii="仿宋_GB2312" w:eastAsia="仿宋_GB2312"/>
          <w:color w:val="000000"/>
          <w:kern w:val="0"/>
          <w:sz w:val="32"/>
          <w:szCs w:val="32"/>
        </w:rPr>
        <w:t xml:space="preserve">                            2020年9月</w:t>
      </w:r>
      <w:r>
        <w:rPr>
          <w:rFonts w:ascii="仿宋_GB2312" w:eastAsia="仿宋_GB2312"/>
          <w:color w:val="000000"/>
          <w:kern w:val="0"/>
          <w:sz w:val="32"/>
          <w:szCs w:val="32"/>
        </w:rPr>
        <w:t>16</w:t>
      </w:r>
      <w:r>
        <w:rPr>
          <w:rFonts w:hint="eastAsia" w:ascii="仿宋_GB2312" w:eastAsia="仿宋_GB2312"/>
          <w:color w:val="000000"/>
          <w:kern w:val="0"/>
          <w:sz w:val="32"/>
          <w:szCs w:val="32"/>
        </w:rPr>
        <w:t>日</w:t>
      </w:r>
    </w:p>
    <w:p>
      <w:pPr>
        <w:ind w:firstLine="640" w:firstLineChars="200"/>
        <w:rPr>
          <w:rFonts w:eastAsia="仿宋_GB2312"/>
          <w:color w:val="000000"/>
          <w:kern w:val="0"/>
          <w:sz w:val="32"/>
          <w:szCs w:val="32"/>
        </w:rPr>
      </w:pPr>
      <w:r>
        <w:rPr>
          <w:rFonts w:hint="eastAsia" w:eastAsia="仿宋_GB2312"/>
          <w:color w:val="000000"/>
          <w:kern w:val="0"/>
          <w:sz w:val="32"/>
          <w:szCs w:val="32"/>
        </w:rPr>
        <w:t>（此件公开发布）</w:t>
      </w:r>
    </w:p>
    <w:p>
      <w:pPr>
        <w:ind w:firstLine="640" w:firstLineChars="200"/>
        <w:rPr>
          <w:rFonts w:eastAsia="仿宋_GB2312"/>
          <w:color w:val="000000"/>
          <w:kern w:val="0"/>
          <w:sz w:val="32"/>
          <w:szCs w:val="32"/>
        </w:rPr>
      </w:pPr>
    </w:p>
    <w:p>
      <w:pPr>
        <w:ind w:firstLine="640" w:firstLineChars="200"/>
        <w:rPr>
          <w:rFonts w:eastAsia="仿宋_GB2312"/>
          <w:color w:val="000000"/>
          <w:kern w:val="0"/>
          <w:sz w:val="32"/>
          <w:szCs w:val="32"/>
        </w:rPr>
      </w:pPr>
    </w:p>
    <w:p>
      <w:pPr>
        <w:ind w:firstLine="640" w:firstLineChars="200"/>
        <w:rPr>
          <w:rFonts w:eastAsia="仿宋_GB2312"/>
          <w:color w:val="000000"/>
          <w:kern w:val="0"/>
          <w:sz w:val="32"/>
          <w:szCs w:val="32"/>
        </w:rPr>
      </w:pPr>
    </w:p>
    <w:p>
      <w:pPr>
        <w:ind w:firstLine="640" w:firstLineChars="200"/>
        <w:rPr>
          <w:rFonts w:eastAsia="仿宋_GB2312"/>
          <w:color w:val="000000"/>
          <w:kern w:val="0"/>
          <w:sz w:val="32"/>
          <w:szCs w:val="32"/>
        </w:rPr>
      </w:pPr>
    </w:p>
    <w:p>
      <w:pPr>
        <w:ind w:firstLine="640" w:firstLineChars="200"/>
        <w:rPr>
          <w:rFonts w:eastAsia="仿宋_GB2312"/>
          <w:color w:val="000000"/>
          <w:kern w:val="0"/>
          <w:sz w:val="32"/>
          <w:szCs w:val="32"/>
        </w:rPr>
      </w:pPr>
    </w:p>
    <w:p>
      <w:pPr>
        <w:ind w:firstLine="640" w:firstLineChars="200"/>
        <w:rPr>
          <w:rFonts w:eastAsia="仿宋_GB2312"/>
          <w:color w:val="000000"/>
          <w:kern w:val="0"/>
          <w:sz w:val="32"/>
          <w:szCs w:val="32"/>
        </w:rPr>
      </w:pPr>
    </w:p>
    <w:p>
      <w:pPr>
        <w:ind w:firstLine="640" w:firstLineChars="200"/>
        <w:rPr>
          <w:rFonts w:eastAsia="仿宋_GB2312"/>
          <w:color w:val="000000"/>
          <w:kern w:val="0"/>
          <w:sz w:val="32"/>
          <w:szCs w:val="32"/>
        </w:rPr>
      </w:pPr>
    </w:p>
    <w:p>
      <w:pPr>
        <w:ind w:firstLine="640" w:firstLineChars="200"/>
        <w:rPr>
          <w:rFonts w:hint="eastAsia" w:eastAsia="仿宋_GB2312"/>
          <w:color w:val="000000"/>
          <w:kern w:val="0"/>
          <w:sz w:val="32"/>
          <w:szCs w:val="32"/>
        </w:rPr>
      </w:pPr>
    </w:p>
    <w:p>
      <w:pPr>
        <w:spacing w:line="62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临淄区2020年度保护发展森林资源</w:t>
      </w:r>
    </w:p>
    <w:p>
      <w:pPr>
        <w:spacing w:line="62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目标责任制实施意见</w:t>
      </w:r>
    </w:p>
    <w:p>
      <w:pPr>
        <w:spacing w:line="560" w:lineRule="exact"/>
        <w:rPr>
          <w:rFonts w:hint="eastAsia" w:ascii="仿宋_GB2312" w:hAnsi="仿宋_GB2312" w:eastAsia="仿宋_GB2312" w:cs="仿宋_GB2312"/>
          <w:sz w:val="30"/>
          <w:szCs w:val="30"/>
        </w:rPr>
      </w:pP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进一步保护发展森林资源，加快生态美丽临淄建设步伐，促进全区经济社会健康发展和生态环境持续改善，根据《国家林业局关于开展保护发展森林资源目标责任制建立和执行情况检查的通知》（林资发〔2011〕24号）、《国家林业和草原局关于印发〈2018年全国县级人民政府保护发展森林资源目标责任制检查方案〉的通知》（资监函〔2018〕23号）及《山东省自然资源厅关于贯彻落实林资发〔2020〕30号文件开展2020年全省森林督查工作的通知》（鲁自然资字〔2020〕36号）要求，结合我区实际，特制定本实施意见。</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一、进一步提高对建立保护发展森林资源目标责任制重要性的认识</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保护发展森林资源是《森林法》《森林法实施条例》赋予各级人民政府的责任，建立保护发展森林资源目标责任制也是促进地方政府执行国家林业政策，规范行政行为的重要措施，对于有效保护森林资源、发展现代林业、建设生态文明、推动科学发展具有重要意义。我区自2011年开始实施保护发展森林资源目标责任制以来，各级各部门高度重视，成立组织，明确责任，落实措施，全区森林资源保护工作上了一个新台阶，取得了显著成效。今年，各镇、街道及垢皋林场要不断总结经验，进一步完善责任制，扎扎实实做好保护发展森林资源目标责任制的具体执行工作，确保顺利实现保护发展森林资源的目标。</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二、保护发展森林资源的主要目标责任</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通过加强林地、林木执法管理和森林防火、病虫害防治，确保全区森林覆盖率、森林蓄积量和林地保有量分别达到8.3%、251058.16m</w:t>
      </w:r>
      <w:r>
        <w:rPr>
          <w:rFonts w:hint="eastAsia" w:ascii="仿宋_GB2312" w:hAnsi="仿宋_GB2312" w:eastAsia="仿宋_GB2312" w:cs="仿宋_GB2312"/>
          <w:sz w:val="32"/>
          <w:szCs w:val="32"/>
          <w:vertAlign w:val="superscript"/>
        </w:rPr>
        <w:t>3</w:t>
      </w:r>
      <w:r>
        <w:rPr>
          <w:rFonts w:hint="eastAsia" w:ascii="仿宋_GB2312" w:hAnsi="仿宋_GB2312" w:eastAsia="仿宋_GB2312" w:cs="仿宋_GB2312"/>
          <w:sz w:val="32"/>
          <w:szCs w:val="32"/>
        </w:rPr>
        <w:t>和9156.95公顷以上。</w:t>
      </w:r>
    </w:p>
    <w:p>
      <w:pPr>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（一）持续做好造林绿化工作。</w:t>
      </w:r>
      <w:r>
        <w:rPr>
          <w:rFonts w:hint="eastAsia" w:ascii="仿宋_GB2312" w:hAnsi="仿宋_GB2312" w:eastAsia="仿宋_GB2312" w:cs="仿宋_GB2312"/>
          <w:sz w:val="32"/>
          <w:szCs w:val="32"/>
        </w:rPr>
        <w:t>全年计划全区新增造林合格面积不低于1000亩；完成农田林网建设5000亩；绿化提升国省道及县乡道路200公里，绿化面积106.6万平方米；济青高铁（临淄段）两侧绿化美化28.8公里，绿化面积6621.9亩；完成荒山造林200亩；争创市级森林乡镇1个、森林村居6个。</w:t>
      </w:r>
    </w:p>
    <w:p>
      <w:pPr>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（二）认真抓好林地、林木资源管护工作。</w:t>
      </w:r>
      <w:r>
        <w:rPr>
          <w:rFonts w:hint="eastAsia" w:ascii="仿宋_GB2312" w:hAnsi="仿宋_GB2312" w:eastAsia="仿宋_GB2312" w:cs="仿宋_GB2312"/>
          <w:sz w:val="32"/>
          <w:szCs w:val="32"/>
        </w:rPr>
        <w:t>严格执行征占用林地审核审批和占补平衡制度，确保征占用林地审核率达100%。加强林地资源保护，做到资源永续利用，抓好征占用林地植被恢复工作，当年或次年完成的更新造林，异地营造的森林面积不少于因占用征用林地而减少的森林植被面积。森林采伐总消耗量不突破年度森林采伐限额，当年或次年完成采伐的更新造林，异地营造的森林面积不少于采伐面积。</w:t>
      </w:r>
    </w:p>
    <w:p>
      <w:pPr>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（三）着力抓好森林防火工作。</w:t>
      </w:r>
      <w:r>
        <w:rPr>
          <w:rFonts w:hint="eastAsia" w:ascii="仿宋_GB2312" w:hAnsi="仿宋_GB2312" w:eastAsia="仿宋_GB2312" w:cs="仿宋_GB2312"/>
          <w:sz w:val="32"/>
          <w:szCs w:val="32"/>
        </w:rPr>
        <w:t>森林火灾受害面积不超过森林面积的0.4‰；不发生重特大森林火灾和人员伤亡事故。</w:t>
      </w:r>
    </w:p>
    <w:p>
      <w:pPr>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（四）积极做好林业有害生物防控工作。</w:t>
      </w:r>
      <w:r>
        <w:rPr>
          <w:rFonts w:hint="eastAsia" w:ascii="仿宋_GB2312" w:hAnsi="仿宋_GB2312" w:eastAsia="仿宋_GB2312" w:cs="仿宋_GB2312"/>
          <w:sz w:val="32"/>
          <w:szCs w:val="32"/>
        </w:rPr>
        <w:t>林业有害生物的防治采取人工、物理、生物、喷洒无公害药剂等综合措施，确保无公害防治率达90%以上；有虫株率控制在5%以下；叶片保存率85%以上；林业有害生物成灾率控制在2‰以内。</w:t>
      </w:r>
    </w:p>
    <w:p>
      <w:pPr>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（五）严厉查处破坏森林资源违法行为。</w:t>
      </w:r>
      <w:r>
        <w:rPr>
          <w:rFonts w:hint="eastAsia" w:ascii="仿宋_GB2312" w:hAnsi="仿宋_GB2312" w:eastAsia="仿宋_GB2312" w:cs="仿宋_GB2312"/>
          <w:sz w:val="32"/>
          <w:szCs w:val="32"/>
        </w:rPr>
        <w:t>无重大毁坏森林资源案件，辖区内盗伐、滥伐林木、非法征占用林地等现象得到有效遏制，行政案件的查处率不低于95%。</w:t>
      </w:r>
    </w:p>
    <w:p>
      <w:pPr>
        <w:ind w:firstLine="640" w:firstLineChars="200"/>
        <w:rPr>
          <w:rFonts w:hint="eastAsia" w:ascii="仿宋_GB2312" w:hAnsi="仿宋_GB2312" w:eastAsia="仿宋_GB2312" w:cs="仿宋_GB2312"/>
          <w:color w:val="FF0000"/>
          <w:sz w:val="32"/>
          <w:szCs w:val="32"/>
        </w:rPr>
      </w:pPr>
      <w:r>
        <w:rPr>
          <w:rFonts w:hint="eastAsia" w:ascii="楷体_GB2312" w:hAnsi="楷体_GB2312" w:eastAsia="楷体_GB2312" w:cs="楷体_GB2312"/>
          <w:sz w:val="32"/>
          <w:szCs w:val="32"/>
        </w:rPr>
        <w:t>（六）进一步深化林权制度改革，积极开展林权抵押贷款工作。</w:t>
      </w:r>
      <w:r>
        <w:rPr>
          <w:rFonts w:hint="eastAsia" w:ascii="仿宋_GB2312" w:hAnsi="仿宋_GB2312" w:eastAsia="仿宋_GB2312" w:cs="仿宋_GB2312"/>
          <w:sz w:val="32"/>
          <w:szCs w:val="32"/>
        </w:rPr>
        <w:t>规范林权抵押贷款、林业资源资产评估以及林权流转行为，盘活林业资源资产，促进林业产业化健康有序发展。</w:t>
      </w:r>
    </w:p>
    <w:p>
      <w:pPr>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三、保护发展森林资源的主要措施</w:t>
      </w:r>
    </w:p>
    <w:p>
      <w:pPr>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（一）加强组织领导，落实工作责任。</w:t>
      </w:r>
      <w:r>
        <w:rPr>
          <w:rFonts w:hint="eastAsia" w:ascii="仿宋_GB2312" w:hAnsi="仿宋_GB2312" w:eastAsia="仿宋_GB2312" w:cs="仿宋_GB2312"/>
          <w:sz w:val="32"/>
          <w:szCs w:val="32"/>
        </w:rPr>
        <w:t>把保护发展森林资源摆到突出位置，列入重要议事日程，根据区保护发展森林资源领导小组和考核领导小组成员变动情况，及时调整区保护发展森林资源领导小组和考核领导小组成员，加强对全区保护发展森林资源的规划、管理、指导、协调、考核、督查等工作。各镇、街道要及时成立和调整相应的组织机构，明确领导责任，确定专人负责，确保工作落到实处。</w:t>
      </w:r>
    </w:p>
    <w:p>
      <w:pPr>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（二）落实目标考核，强化源头监管。</w:t>
      </w:r>
      <w:r>
        <w:rPr>
          <w:rFonts w:hint="eastAsia" w:ascii="仿宋_GB2312" w:hAnsi="仿宋_GB2312" w:eastAsia="仿宋_GB2312" w:cs="仿宋_GB2312"/>
          <w:sz w:val="32"/>
          <w:szCs w:val="32"/>
        </w:rPr>
        <w:t>区政府与各镇、街道签订年度保护发展森林资源目标责任书，明确任务，分清责任，实行目标管理和行政首长负责制，严格考核检查，确保责任到位。责任目标和任务不受领导人员变动影响，在有效期内，领导人员变动时要做好任务责任交接工作。对各镇、街道完成目标情况，区政府将组织考核组依据日常考核、平时掌握情况等进行年终考核，对任期内完成责任目标，保持森林资源增长，成绩突出的，进行表彰，并作为政绩考核依据之一；对任期内森林资源下降严重的，要严肃追究责任。</w:t>
      </w:r>
    </w:p>
    <w:p>
      <w:pPr>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（三）积极研究探索，推行林长制工作。</w:t>
      </w:r>
      <w:r>
        <w:rPr>
          <w:rFonts w:hint="eastAsia" w:ascii="仿宋_GB2312" w:hAnsi="仿宋_GB2312" w:eastAsia="仿宋_GB2312" w:cs="仿宋_GB2312"/>
          <w:sz w:val="32"/>
          <w:szCs w:val="32"/>
        </w:rPr>
        <w:t>配齐区、镇、村三级林长，完善各项制度，初步构建起区、镇、村三级林长制体系，落实各级林长责任，逐步实现林长制运行管理常态化。</w:t>
      </w:r>
    </w:p>
    <w:p>
      <w:pPr>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（四）积极适应形势，推进协同发展。</w:t>
      </w:r>
      <w:r>
        <w:rPr>
          <w:rFonts w:hint="eastAsia" w:ascii="仿宋_GB2312" w:hAnsi="仿宋_GB2312" w:eastAsia="仿宋_GB2312" w:cs="仿宋_GB2312"/>
          <w:sz w:val="32"/>
          <w:szCs w:val="32"/>
        </w:rPr>
        <w:t>依托本地资源，紧紧围绕使市场在资源配置中起决定性作用这一原则，合理配置生产要素，抓住民生林业这一主题，大力发展特色经济林和林下经济，鼓励农民兴办林业专业合作社、家庭林场、股份合作林场、集体林场等多元化、多类型的林业专业合作组织；加快技术改造，培育龙头企业和名牌产品，有效转变区域经济增长方式，促进农村经济结构调整，推动林业产业化发展成果更多更公平惠及广大农民群众，实现生态建设与民生林业共同发展。</w:t>
      </w:r>
    </w:p>
    <w:p>
      <w:pPr>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（五）推进依法治林，巩固绿化成果。</w:t>
      </w:r>
      <w:r>
        <w:rPr>
          <w:rFonts w:hint="eastAsia" w:ascii="仿宋_GB2312" w:hAnsi="仿宋_GB2312" w:eastAsia="仿宋_GB2312" w:cs="仿宋_GB2312"/>
          <w:sz w:val="32"/>
          <w:szCs w:val="32"/>
        </w:rPr>
        <w:t>一是加大林业执法力度，严肃查处各类林木案件，严厉打击盗伐、乱砍滥伐林木、非法侵占林地、捕杀食用野生动物等犯罪行为。二是建立健全专职林木管护队伍，切实做好森林防火工作，确保责任到人、措施到位。山区镇（街道）要实行禁火、禁牧、禁止开山采石，着重抓好火灾多发区、重点林区、农林交叉区域的防火工作，认真落实行政首长负责制和24小时值班制度，发现火情及时汇报并立即组织扑救。平原镇（街道）要抓好对树下秸秆、蔬菜垃圾、杂草等可燃物的清理，减少火灾隐患。三是抓好林业有害生物普查和防控工作。按照属地管理原则，毫不松懈地抓好以美国白蛾、杨尺蠖、杨雪毒蛾、草履蚧、侧柏双条杉天牛等林木害虫为主的林业有害生物防控工作。切实抓好预测预报和综合防治，不断巩固森林城市创建成果。</w:t>
      </w:r>
    </w:p>
    <w:p>
      <w:pPr>
        <w:ind w:firstLine="640" w:firstLineChars="200"/>
        <w:rPr>
          <w:rFonts w:hint="eastAsia" w:ascii="仿宋_GB2312" w:hAnsi="仿宋_GB2312" w:eastAsia="仿宋_GB2312" w:cs="仿宋_GB2312"/>
          <w:sz w:val="32"/>
          <w:szCs w:val="32"/>
        </w:rPr>
      </w:pP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附件：2020年林业重点工程项目表</w:t>
      </w:r>
    </w:p>
    <w:p>
      <w:pPr>
        <w:ind w:firstLine="640" w:firstLineChars="200"/>
        <w:rPr>
          <w:rFonts w:hint="eastAsia" w:ascii="仿宋_GB2312" w:hAnsi="仿宋_GB2312" w:eastAsia="仿宋_GB2312" w:cs="仿宋_GB2312"/>
          <w:sz w:val="32"/>
          <w:szCs w:val="32"/>
        </w:rPr>
      </w:pPr>
    </w:p>
    <w:p>
      <w:pPr>
        <w:ind w:firstLine="640" w:firstLineChars="200"/>
        <w:rPr>
          <w:rFonts w:hint="eastAsia" w:ascii="仿宋_GB2312" w:hAnsi="仿宋_GB2312" w:eastAsia="仿宋_GB2312" w:cs="仿宋_GB2312"/>
          <w:sz w:val="32"/>
          <w:szCs w:val="32"/>
        </w:rPr>
      </w:pPr>
    </w:p>
    <w:p>
      <w:pPr>
        <w:ind w:firstLine="640" w:firstLineChars="200"/>
        <w:rPr>
          <w:rFonts w:hint="eastAsia" w:ascii="仿宋_GB2312" w:hAnsi="仿宋_GB2312" w:eastAsia="仿宋_GB2312" w:cs="仿宋_GB2312"/>
          <w:sz w:val="32"/>
          <w:szCs w:val="32"/>
        </w:rPr>
      </w:pPr>
    </w:p>
    <w:p>
      <w:pPr>
        <w:ind w:firstLine="640" w:firstLineChars="200"/>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ascii="黑体" w:hAnsi="黑体" w:eastAsia="黑体" w:cs="黑体"/>
          <w:sz w:val="32"/>
          <w:szCs w:val="32"/>
        </w:rPr>
      </w:pPr>
    </w:p>
    <w:p>
      <w:pPr>
        <w:rPr>
          <w:rFonts w:ascii="黑体" w:hAnsi="黑体" w:eastAsia="黑体" w:cs="黑体"/>
          <w:sz w:val="32"/>
          <w:szCs w:val="32"/>
        </w:rPr>
      </w:pPr>
    </w:p>
    <w:p>
      <w:pPr>
        <w:rPr>
          <w:rFonts w:ascii="黑体" w:hAnsi="黑体" w:eastAsia="黑体" w:cs="黑体"/>
          <w:sz w:val="32"/>
          <w:szCs w:val="32"/>
        </w:rPr>
      </w:pPr>
    </w:p>
    <w:p>
      <w:pPr>
        <w:rPr>
          <w:rFonts w:ascii="黑体" w:hAnsi="黑体" w:eastAsia="黑体" w:cs="黑体"/>
          <w:sz w:val="32"/>
          <w:szCs w:val="32"/>
        </w:rPr>
      </w:pPr>
    </w:p>
    <w:p>
      <w:pPr>
        <w:rPr>
          <w:rFonts w:ascii="黑体" w:hAnsi="黑体" w:eastAsia="黑体" w:cs="黑体"/>
          <w:sz w:val="32"/>
          <w:szCs w:val="32"/>
        </w:rPr>
      </w:pPr>
    </w:p>
    <w:p>
      <w:pPr>
        <w:rPr>
          <w:rFonts w:ascii="黑体" w:hAnsi="黑体" w:eastAsia="黑体" w:cs="黑体"/>
          <w:sz w:val="32"/>
          <w:szCs w:val="32"/>
        </w:rPr>
      </w:pPr>
    </w:p>
    <w:p>
      <w:pPr>
        <w:rPr>
          <w:rFonts w:ascii="黑体" w:hAnsi="黑体" w:eastAsia="黑体" w:cs="黑体"/>
          <w:sz w:val="32"/>
          <w:szCs w:val="32"/>
        </w:rPr>
      </w:pPr>
    </w:p>
    <w:p>
      <w:pPr>
        <w:rPr>
          <w:rFonts w:ascii="黑体" w:hAnsi="黑体" w:eastAsia="黑体" w:cs="黑体"/>
          <w:sz w:val="32"/>
          <w:szCs w:val="32"/>
        </w:rPr>
      </w:pPr>
    </w:p>
    <w:p>
      <w:pPr>
        <w:rPr>
          <w:rFonts w:ascii="黑体" w:hAnsi="黑体" w:eastAsia="黑体" w:cs="黑体"/>
          <w:sz w:val="32"/>
          <w:szCs w:val="32"/>
        </w:rPr>
      </w:pPr>
    </w:p>
    <w:p>
      <w:pPr>
        <w:rPr>
          <w:rFonts w:ascii="黑体" w:hAnsi="黑体" w:eastAsia="黑体" w:cs="黑体"/>
          <w:sz w:val="32"/>
          <w:szCs w:val="32"/>
        </w:rPr>
      </w:pPr>
    </w:p>
    <w:p>
      <w:pPr>
        <w:rPr>
          <w:rFonts w:hint="eastAsia" w:ascii="黑体" w:hAnsi="黑体" w:eastAsia="黑体" w:cs="黑体"/>
          <w:sz w:val="32"/>
          <w:szCs w:val="32"/>
        </w:rPr>
      </w:pPr>
    </w:p>
    <w:p>
      <w:pPr>
        <w:rPr>
          <w:rFonts w:hint="eastAsia" w:ascii="黑体" w:hAnsi="黑体" w:eastAsia="黑体" w:cs="黑体"/>
          <w:sz w:val="32"/>
          <w:szCs w:val="32"/>
        </w:rPr>
      </w:pPr>
    </w:p>
    <w:p>
      <w:pPr>
        <w:rPr>
          <w:rFonts w:hint="eastAsia" w:ascii="黑体" w:hAnsi="黑体" w:eastAsia="黑体" w:cs="黑体"/>
          <w:sz w:val="32"/>
          <w:szCs w:val="32"/>
        </w:rPr>
      </w:pPr>
      <w:r>
        <w:rPr>
          <w:rFonts w:hint="eastAsia" w:ascii="黑体" w:hAnsi="黑体" w:eastAsia="黑体" w:cs="黑体"/>
          <w:sz w:val="32"/>
          <w:szCs w:val="32"/>
        </w:rPr>
        <w:t>附件</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2020年林业重点工程项目表</w:t>
      </w:r>
    </w:p>
    <w:p>
      <w:pPr>
        <w:ind w:firstLine="640" w:firstLineChars="200"/>
        <w:rPr>
          <w:rFonts w:hint="eastAsia" w:ascii="仿宋_GB2312" w:hAnsi="仿宋_GB2312" w:eastAsia="仿宋_GB2312" w:cs="仿宋_GB2312"/>
          <w:sz w:val="32"/>
          <w:szCs w:val="32"/>
        </w:rPr>
      </w:pPr>
    </w:p>
    <w:tbl>
      <w:tblPr>
        <w:tblStyle w:val="8"/>
        <w:tblW w:w="9540"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6"/>
        <w:gridCol w:w="2520"/>
        <w:gridCol w:w="6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trPr>
        <w:tc>
          <w:tcPr>
            <w:tcW w:w="776" w:type="dxa"/>
            <w:vMerge w:val="restart"/>
            <w:tcBorders>
              <w:top w:val="single" w:color="auto" w:sz="4" w:space="0"/>
              <w:left w:val="single" w:color="auto" w:sz="4" w:space="0"/>
              <w:bottom w:val="single" w:color="auto" w:sz="4" w:space="0"/>
              <w:right w:val="single" w:color="auto" w:sz="4" w:space="0"/>
              <w:tl2br w:val="single" w:color="auto" w:sz="4" w:space="0"/>
            </w:tcBorders>
            <w:vAlign w:val="center"/>
          </w:tcPr>
          <w:p>
            <w:pPr>
              <w:spacing w:after="50" w:line="300" w:lineRule="exact"/>
              <w:jc w:val="center"/>
              <w:rPr>
                <w:rFonts w:hint="eastAsia" w:ascii="仿宋" w:hAnsi="仿宋" w:eastAsia="仿宋" w:cs="仿宋"/>
                <w:sz w:val="28"/>
              </w:rPr>
            </w:pPr>
            <w:r>
              <w:rPr>
                <w:rFonts w:hint="eastAsia" w:ascii="仿宋" w:hAnsi="仿宋" w:eastAsia="仿宋" w:cs="仿宋"/>
                <w:sz w:val="28"/>
              </w:rPr>
              <w:t>项目</w:t>
            </w:r>
          </w:p>
          <w:p>
            <w:pPr>
              <w:spacing w:after="50" w:line="300" w:lineRule="exact"/>
              <w:ind w:firstLine="560" w:firstLineChars="200"/>
              <w:jc w:val="center"/>
              <w:rPr>
                <w:rFonts w:hint="eastAsia" w:ascii="仿宋" w:hAnsi="仿宋" w:eastAsia="仿宋" w:cs="仿宋"/>
                <w:sz w:val="28"/>
              </w:rPr>
            </w:pPr>
          </w:p>
          <w:p>
            <w:pPr>
              <w:spacing w:after="50" w:line="300" w:lineRule="exact"/>
              <w:jc w:val="center"/>
              <w:rPr>
                <w:rFonts w:hint="eastAsia" w:ascii="仿宋" w:hAnsi="仿宋" w:eastAsia="仿宋" w:cs="仿宋"/>
                <w:sz w:val="28"/>
              </w:rPr>
            </w:pPr>
            <w:r>
              <w:rPr>
                <w:rFonts w:hint="eastAsia" w:ascii="仿宋" w:hAnsi="仿宋" w:eastAsia="仿宋" w:cs="仿宋"/>
                <w:sz w:val="28"/>
              </w:rPr>
              <w:t>单位</w:t>
            </w:r>
          </w:p>
        </w:tc>
        <w:tc>
          <w:tcPr>
            <w:tcW w:w="8764" w:type="dxa"/>
            <w:gridSpan w:val="2"/>
            <w:tcBorders>
              <w:top w:val="single" w:color="auto" w:sz="4" w:space="0"/>
              <w:left w:val="single" w:color="auto" w:sz="4" w:space="0"/>
              <w:bottom w:val="single" w:color="auto" w:sz="4" w:space="0"/>
              <w:right w:val="single" w:color="auto" w:sz="4" w:space="0"/>
            </w:tcBorders>
            <w:vAlign w:val="center"/>
          </w:tcPr>
          <w:p>
            <w:pPr>
              <w:spacing w:after="50" w:line="300" w:lineRule="exact"/>
              <w:jc w:val="center"/>
              <w:rPr>
                <w:rFonts w:hint="eastAsia" w:ascii="仿宋" w:hAnsi="仿宋" w:eastAsia="仿宋" w:cs="仿宋"/>
                <w:sz w:val="28"/>
              </w:rPr>
            </w:pPr>
            <w:r>
              <w:rPr>
                <w:rFonts w:hint="eastAsia" w:ascii="仿宋" w:hAnsi="仿宋" w:eastAsia="仿宋" w:cs="仿宋"/>
                <w:sz w:val="28"/>
              </w:rPr>
              <w:t>重　点　工　程　项　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sz w:val="28"/>
              </w:rPr>
            </w:pPr>
          </w:p>
        </w:tc>
        <w:tc>
          <w:tcPr>
            <w:tcW w:w="2520" w:type="dxa"/>
            <w:tcBorders>
              <w:top w:val="single" w:color="auto" w:sz="4" w:space="0"/>
              <w:left w:val="single" w:color="auto" w:sz="4" w:space="0"/>
              <w:bottom w:val="single" w:color="auto" w:sz="4" w:space="0"/>
              <w:right w:val="single" w:color="auto" w:sz="4" w:space="0"/>
            </w:tcBorders>
            <w:vAlign w:val="center"/>
          </w:tcPr>
          <w:p>
            <w:pPr>
              <w:spacing w:after="50" w:line="300" w:lineRule="exact"/>
              <w:jc w:val="center"/>
              <w:rPr>
                <w:rFonts w:hint="eastAsia" w:ascii="仿宋" w:hAnsi="仿宋" w:eastAsia="仿宋" w:cs="仿宋"/>
                <w:sz w:val="28"/>
              </w:rPr>
            </w:pPr>
            <w:r>
              <w:rPr>
                <w:rFonts w:hint="eastAsia" w:ascii="仿宋" w:hAnsi="仿宋" w:eastAsia="仿宋" w:cs="仿宋"/>
                <w:sz w:val="28"/>
              </w:rPr>
              <w:t>项　目　名　称</w:t>
            </w:r>
          </w:p>
        </w:tc>
        <w:tc>
          <w:tcPr>
            <w:tcW w:w="6244" w:type="dxa"/>
            <w:tcBorders>
              <w:top w:val="single" w:color="auto" w:sz="4" w:space="0"/>
              <w:left w:val="single" w:color="auto" w:sz="4" w:space="0"/>
              <w:bottom w:val="single" w:color="auto" w:sz="4" w:space="0"/>
              <w:right w:val="single" w:color="auto" w:sz="4" w:space="0"/>
            </w:tcBorders>
            <w:vAlign w:val="center"/>
          </w:tcPr>
          <w:p>
            <w:pPr>
              <w:spacing w:after="50" w:line="300" w:lineRule="exact"/>
              <w:jc w:val="center"/>
              <w:rPr>
                <w:rFonts w:hint="eastAsia" w:ascii="仿宋" w:hAnsi="仿宋" w:eastAsia="仿宋" w:cs="仿宋"/>
                <w:spacing w:val="20"/>
                <w:sz w:val="28"/>
              </w:rPr>
            </w:pPr>
            <w:r>
              <w:rPr>
                <w:rFonts w:hint="eastAsia" w:ascii="仿宋" w:hAnsi="仿宋" w:eastAsia="仿宋" w:cs="仿宋"/>
                <w:spacing w:val="20"/>
                <w:sz w:val="28"/>
              </w:rPr>
              <w:t>项目地点及建设内容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3" w:hRule="atLeast"/>
        </w:trPr>
        <w:tc>
          <w:tcPr>
            <w:tcW w:w="776" w:type="dxa"/>
            <w:vMerge w:val="restart"/>
            <w:tcBorders>
              <w:top w:val="single" w:color="auto" w:sz="4" w:space="0"/>
              <w:left w:val="single" w:color="auto" w:sz="4" w:space="0"/>
              <w:right w:val="single" w:color="auto" w:sz="4" w:space="0"/>
            </w:tcBorders>
            <w:vAlign w:val="center"/>
          </w:tcPr>
          <w:p>
            <w:pPr>
              <w:spacing w:line="300" w:lineRule="exact"/>
              <w:jc w:val="center"/>
              <w:rPr>
                <w:rFonts w:hint="eastAsia" w:ascii="仿宋" w:hAnsi="仿宋" w:eastAsia="仿宋" w:cs="仿宋"/>
                <w:sz w:val="28"/>
                <w:szCs w:val="28"/>
              </w:rPr>
            </w:pPr>
          </w:p>
          <w:p>
            <w:pPr>
              <w:spacing w:line="300" w:lineRule="exact"/>
              <w:jc w:val="center"/>
              <w:rPr>
                <w:rFonts w:hint="eastAsia" w:ascii="仿宋" w:hAnsi="仿宋" w:eastAsia="仿宋" w:cs="仿宋"/>
                <w:sz w:val="28"/>
                <w:szCs w:val="28"/>
              </w:rPr>
            </w:pPr>
            <w:r>
              <w:rPr>
                <w:rFonts w:hint="eastAsia" w:ascii="仿宋" w:hAnsi="仿宋" w:eastAsia="仿宋" w:cs="仿宋"/>
                <w:sz w:val="28"/>
                <w:szCs w:val="28"/>
              </w:rPr>
              <w:t>齐</w:t>
            </w:r>
          </w:p>
          <w:p>
            <w:pPr>
              <w:spacing w:line="300" w:lineRule="exact"/>
              <w:jc w:val="center"/>
              <w:rPr>
                <w:rFonts w:hint="eastAsia" w:ascii="仿宋" w:hAnsi="仿宋" w:eastAsia="仿宋" w:cs="仿宋"/>
                <w:sz w:val="28"/>
                <w:szCs w:val="28"/>
              </w:rPr>
            </w:pPr>
            <w:r>
              <w:rPr>
                <w:rFonts w:hint="eastAsia" w:ascii="仿宋" w:hAnsi="仿宋" w:eastAsia="仿宋" w:cs="仿宋"/>
                <w:sz w:val="28"/>
                <w:szCs w:val="28"/>
              </w:rPr>
              <w:t>都</w:t>
            </w:r>
          </w:p>
          <w:p>
            <w:pPr>
              <w:spacing w:line="300" w:lineRule="exact"/>
              <w:jc w:val="center"/>
              <w:rPr>
                <w:rFonts w:hint="eastAsia" w:ascii="仿宋" w:hAnsi="仿宋" w:eastAsia="仿宋" w:cs="仿宋"/>
                <w:sz w:val="28"/>
                <w:szCs w:val="28"/>
              </w:rPr>
            </w:pPr>
            <w:r>
              <w:rPr>
                <w:rFonts w:hint="eastAsia" w:ascii="仿宋" w:hAnsi="仿宋" w:eastAsia="仿宋" w:cs="仿宋"/>
                <w:sz w:val="28"/>
                <w:szCs w:val="28"/>
              </w:rPr>
              <w:t>镇</w:t>
            </w:r>
          </w:p>
        </w:tc>
        <w:tc>
          <w:tcPr>
            <w:tcW w:w="25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 w:hAnsi="仿宋" w:eastAsia="仿宋" w:cs="仿宋"/>
                <w:sz w:val="28"/>
                <w:szCs w:val="28"/>
              </w:rPr>
            </w:pPr>
            <w:r>
              <w:rPr>
                <w:rFonts w:hint="eastAsia" w:ascii="仿宋" w:hAnsi="仿宋" w:eastAsia="仿宋" w:cs="仿宋"/>
                <w:sz w:val="28"/>
                <w:szCs w:val="28"/>
              </w:rPr>
              <w:t>骨干道路绿化</w:t>
            </w:r>
          </w:p>
        </w:tc>
        <w:tc>
          <w:tcPr>
            <w:tcW w:w="6244"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 w:hAnsi="仿宋" w:eastAsia="仿宋" w:cs="仿宋"/>
                <w:sz w:val="28"/>
                <w:szCs w:val="28"/>
              </w:rPr>
            </w:pPr>
            <w:r>
              <w:rPr>
                <w:rFonts w:hint="eastAsia" w:ascii="仿宋" w:hAnsi="仿宋" w:eastAsia="仿宋" w:cs="仿宋"/>
                <w:sz w:val="28"/>
                <w:szCs w:val="28"/>
              </w:rPr>
              <w:t>对辛河路、张皇路、辛广路、古侯路、旅游东路、旅游西路、齐盛路两侧绿化带及视野范围内林网道路进行补植完善，提高绿化档次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5" w:hRule="atLeast"/>
        </w:trPr>
        <w:tc>
          <w:tcPr>
            <w:tcW w:w="0" w:type="auto"/>
            <w:vMerge w:val="continue"/>
            <w:tcBorders>
              <w:left w:val="single" w:color="auto" w:sz="4" w:space="0"/>
              <w:right w:val="single" w:color="auto" w:sz="4" w:space="0"/>
            </w:tcBorders>
            <w:vAlign w:val="center"/>
          </w:tcPr>
          <w:p>
            <w:pPr>
              <w:widowControl/>
              <w:jc w:val="center"/>
              <w:rPr>
                <w:rFonts w:hint="eastAsia" w:ascii="仿宋" w:hAnsi="仿宋" w:eastAsia="仿宋" w:cs="仿宋"/>
                <w:sz w:val="28"/>
                <w:szCs w:val="28"/>
              </w:rPr>
            </w:pPr>
          </w:p>
        </w:tc>
        <w:tc>
          <w:tcPr>
            <w:tcW w:w="25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 w:hAnsi="仿宋" w:eastAsia="仿宋" w:cs="仿宋"/>
                <w:sz w:val="28"/>
                <w:szCs w:val="28"/>
              </w:rPr>
            </w:pPr>
            <w:r>
              <w:rPr>
                <w:rFonts w:hint="eastAsia" w:ascii="仿宋" w:hAnsi="仿宋" w:eastAsia="仿宋" w:cs="仿宋"/>
                <w:sz w:val="28"/>
                <w:szCs w:val="28"/>
              </w:rPr>
              <w:t>济青高铁两侧绿化美化</w:t>
            </w:r>
          </w:p>
        </w:tc>
        <w:tc>
          <w:tcPr>
            <w:tcW w:w="6244" w:type="dxa"/>
            <w:tcBorders>
              <w:top w:val="single" w:color="auto" w:sz="4" w:space="0"/>
              <w:left w:val="single" w:color="auto" w:sz="4" w:space="0"/>
              <w:right w:val="single" w:color="auto" w:sz="4" w:space="0"/>
            </w:tcBorders>
            <w:vAlign w:val="center"/>
          </w:tcPr>
          <w:p>
            <w:pPr>
              <w:spacing w:line="300" w:lineRule="exact"/>
              <w:rPr>
                <w:rFonts w:hint="eastAsia" w:ascii="仿宋" w:hAnsi="仿宋" w:eastAsia="仿宋" w:cs="仿宋"/>
                <w:sz w:val="28"/>
                <w:szCs w:val="28"/>
              </w:rPr>
            </w:pPr>
            <w:r>
              <w:rPr>
                <w:rFonts w:hint="eastAsia" w:ascii="仿宋" w:hAnsi="仿宋" w:eastAsia="仿宋" w:cs="仿宋"/>
                <w:sz w:val="28"/>
                <w:szCs w:val="28"/>
              </w:rPr>
              <w:t>完成济青高铁两侧绿化美化工作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8" w:hRule="atLeast"/>
        </w:trPr>
        <w:tc>
          <w:tcPr>
            <w:tcW w:w="776" w:type="dxa"/>
            <w:vMerge w:val="restart"/>
            <w:tcBorders>
              <w:top w:val="single" w:color="auto" w:sz="4" w:space="0"/>
              <w:left w:val="single" w:color="auto" w:sz="4" w:space="0"/>
              <w:right w:val="single" w:color="auto" w:sz="4" w:space="0"/>
            </w:tcBorders>
            <w:vAlign w:val="center"/>
          </w:tcPr>
          <w:p>
            <w:pPr>
              <w:spacing w:after="50" w:line="300" w:lineRule="exact"/>
              <w:jc w:val="center"/>
              <w:rPr>
                <w:rFonts w:hint="eastAsia" w:ascii="仿宋" w:hAnsi="仿宋" w:eastAsia="仿宋" w:cs="仿宋"/>
                <w:sz w:val="28"/>
                <w:szCs w:val="28"/>
              </w:rPr>
            </w:pPr>
            <w:r>
              <w:rPr>
                <w:rFonts w:hint="eastAsia" w:ascii="仿宋" w:hAnsi="仿宋" w:eastAsia="仿宋" w:cs="仿宋"/>
                <w:sz w:val="28"/>
                <w:szCs w:val="28"/>
              </w:rPr>
              <w:t>齐</w:t>
            </w:r>
          </w:p>
          <w:p>
            <w:pPr>
              <w:spacing w:after="50" w:line="300" w:lineRule="exact"/>
              <w:jc w:val="center"/>
              <w:rPr>
                <w:rFonts w:hint="eastAsia" w:ascii="仿宋" w:hAnsi="仿宋" w:eastAsia="仿宋" w:cs="仿宋"/>
                <w:sz w:val="28"/>
                <w:szCs w:val="28"/>
              </w:rPr>
            </w:pPr>
            <w:r>
              <w:rPr>
                <w:rFonts w:hint="eastAsia" w:ascii="仿宋" w:hAnsi="仿宋" w:eastAsia="仿宋" w:cs="仿宋"/>
                <w:sz w:val="28"/>
                <w:szCs w:val="28"/>
              </w:rPr>
              <w:t>陵</w:t>
            </w:r>
          </w:p>
          <w:p>
            <w:pPr>
              <w:spacing w:after="50" w:line="300" w:lineRule="exact"/>
              <w:jc w:val="center"/>
              <w:rPr>
                <w:rFonts w:hint="eastAsia" w:ascii="仿宋" w:hAnsi="仿宋" w:eastAsia="仿宋" w:cs="仿宋"/>
                <w:sz w:val="28"/>
                <w:szCs w:val="28"/>
              </w:rPr>
            </w:pPr>
            <w:r>
              <w:rPr>
                <w:rFonts w:hint="eastAsia" w:ascii="仿宋" w:hAnsi="仿宋" w:eastAsia="仿宋" w:cs="仿宋"/>
                <w:sz w:val="28"/>
                <w:szCs w:val="28"/>
              </w:rPr>
              <w:t>街</w:t>
            </w:r>
          </w:p>
          <w:p>
            <w:pPr>
              <w:spacing w:after="50" w:line="300" w:lineRule="exact"/>
              <w:jc w:val="center"/>
              <w:rPr>
                <w:rFonts w:hint="eastAsia" w:ascii="仿宋" w:hAnsi="仿宋" w:eastAsia="仿宋" w:cs="仿宋"/>
                <w:sz w:val="28"/>
                <w:szCs w:val="28"/>
              </w:rPr>
            </w:pPr>
            <w:r>
              <w:rPr>
                <w:rFonts w:hint="eastAsia" w:ascii="仿宋" w:hAnsi="仿宋" w:eastAsia="仿宋" w:cs="仿宋"/>
                <w:sz w:val="28"/>
                <w:szCs w:val="28"/>
              </w:rPr>
              <w:t>道</w:t>
            </w:r>
          </w:p>
        </w:tc>
        <w:tc>
          <w:tcPr>
            <w:tcW w:w="25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 w:hAnsi="仿宋" w:eastAsia="仿宋" w:cs="仿宋"/>
                <w:sz w:val="28"/>
                <w:szCs w:val="28"/>
                <w:u w:val="single"/>
              </w:rPr>
            </w:pPr>
            <w:r>
              <w:rPr>
                <w:rFonts w:hint="eastAsia" w:ascii="仿宋" w:hAnsi="仿宋" w:eastAsia="仿宋" w:cs="仿宋"/>
                <w:sz w:val="28"/>
                <w:szCs w:val="28"/>
              </w:rPr>
              <w:t>骨干道路绿化</w:t>
            </w:r>
          </w:p>
        </w:tc>
        <w:tc>
          <w:tcPr>
            <w:tcW w:w="6244"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 w:hAnsi="仿宋" w:eastAsia="仿宋" w:cs="仿宋"/>
                <w:sz w:val="28"/>
                <w:szCs w:val="28"/>
              </w:rPr>
            </w:pPr>
            <w:r>
              <w:rPr>
                <w:rFonts w:hint="eastAsia" w:ascii="仿宋" w:hAnsi="仿宋" w:eastAsia="仿宋" w:cs="仿宋"/>
                <w:sz w:val="28"/>
                <w:szCs w:val="28"/>
              </w:rPr>
              <w:t>对皇齐路、皇齐路高速圈、齐盛路、北齐路、宋望路、二中路、东郡路、美陵路、环镇路等道路两侧绿化带补植完善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5" w:hRule="atLeast"/>
        </w:trPr>
        <w:tc>
          <w:tcPr>
            <w:tcW w:w="0" w:type="auto"/>
            <w:vMerge w:val="continue"/>
            <w:tcBorders>
              <w:left w:val="single" w:color="auto" w:sz="4" w:space="0"/>
              <w:right w:val="single" w:color="auto" w:sz="4" w:space="0"/>
            </w:tcBorders>
            <w:vAlign w:val="center"/>
          </w:tcPr>
          <w:p>
            <w:pPr>
              <w:widowControl/>
              <w:jc w:val="center"/>
              <w:rPr>
                <w:rFonts w:hint="eastAsia" w:ascii="仿宋" w:hAnsi="仿宋" w:eastAsia="仿宋" w:cs="仿宋"/>
                <w:sz w:val="28"/>
                <w:szCs w:val="28"/>
              </w:rPr>
            </w:pPr>
          </w:p>
        </w:tc>
        <w:tc>
          <w:tcPr>
            <w:tcW w:w="25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 w:hAnsi="仿宋" w:eastAsia="仿宋" w:cs="仿宋"/>
                <w:sz w:val="28"/>
                <w:szCs w:val="28"/>
              </w:rPr>
            </w:pPr>
            <w:r>
              <w:rPr>
                <w:rFonts w:hint="eastAsia" w:ascii="仿宋" w:hAnsi="仿宋" w:eastAsia="仿宋" w:cs="仿宋"/>
                <w:sz w:val="28"/>
                <w:szCs w:val="28"/>
              </w:rPr>
              <w:t>济青高铁两侧绿化美化</w:t>
            </w:r>
          </w:p>
        </w:tc>
        <w:tc>
          <w:tcPr>
            <w:tcW w:w="6244"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 w:hAnsi="仿宋" w:eastAsia="仿宋" w:cs="仿宋"/>
                <w:sz w:val="28"/>
                <w:szCs w:val="28"/>
              </w:rPr>
            </w:pPr>
            <w:r>
              <w:rPr>
                <w:rFonts w:hint="eastAsia" w:ascii="仿宋" w:hAnsi="仿宋" w:eastAsia="仿宋" w:cs="仿宋"/>
                <w:sz w:val="28"/>
                <w:szCs w:val="28"/>
              </w:rPr>
              <w:t>完成济青高铁两侧绿化美化工作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3" w:hRule="atLeast"/>
        </w:trPr>
        <w:tc>
          <w:tcPr>
            <w:tcW w:w="776" w:type="dxa"/>
            <w:vMerge w:val="restart"/>
            <w:tcBorders>
              <w:top w:val="single" w:color="auto" w:sz="4" w:space="0"/>
              <w:left w:val="single" w:color="auto" w:sz="4" w:space="0"/>
              <w:right w:val="single" w:color="auto" w:sz="4" w:space="0"/>
            </w:tcBorders>
            <w:vAlign w:val="center"/>
          </w:tcPr>
          <w:p>
            <w:pPr>
              <w:spacing w:after="50" w:line="300" w:lineRule="exact"/>
              <w:jc w:val="center"/>
              <w:rPr>
                <w:rFonts w:hint="eastAsia" w:ascii="仿宋" w:hAnsi="仿宋" w:eastAsia="仿宋" w:cs="仿宋"/>
                <w:sz w:val="28"/>
                <w:szCs w:val="28"/>
              </w:rPr>
            </w:pPr>
            <w:r>
              <w:rPr>
                <w:rFonts w:hint="eastAsia" w:ascii="仿宋" w:hAnsi="仿宋" w:eastAsia="仿宋" w:cs="仿宋"/>
                <w:sz w:val="28"/>
                <w:szCs w:val="28"/>
              </w:rPr>
              <w:t>皇</w:t>
            </w:r>
          </w:p>
          <w:p>
            <w:pPr>
              <w:spacing w:after="50" w:line="300" w:lineRule="exact"/>
              <w:jc w:val="center"/>
              <w:rPr>
                <w:rFonts w:hint="eastAsia" w:ascii="仿宋" w:hAnsi="仿宋" w:eastAsia="仿宋" w:cs="仿宋"/>
                <w:sz w:val="28"/>
                <w:szCs w:val="28"/>
              </w:rPr>
            </w:pPr>
            <w:r>
              <w:rPr>
                <w:rFonts w:hint="eastAsia" w:ascii="仿宋" w:hAnsi="仿宋" w:eastAsia="仿宋" w:cs="仿宋"/>
                <w:sz w:val="28"/>
                <w:szCs w:val="28"/>
              </w:rPr>
              <w:t>城</w:t>
            </w:r>
          </w:p>
          <w:p>
            <w:pPr>
              <w:spacing w:after="50" w:line="300" w:lineRule="exact"/>
              <w:jc w:val="center"/>
              <w:rPr>
                <w:rFonts w:hint="eastAsia" w:ascii="仿宋" w:hAnsi="仿宋" w:eastAsia="仿宋" w:cs="仿宋"/>
                <w:sz w:val="28"/>
                <w:szCs w:val="28"/>
              </w:rPr>
            </w:pPr>
            <w:r>
              <w:rPr>
                <w:rFonts w:hint="eastAsia" w:ascii="仿宋" w:hAnsi="仿宋" w:eastAsia="仿宋" w:cs="仿宋"/>
                <w:sz w:val="28"/>
                <w:szCs w:val="28"/>
              </w:rPr>
              <w:t>镇</w:t>
            </w:r>
          </w:p>
        </w:tc>
        <w:tc>
          <w:tcPr>
            <w:tcW w:w="25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 w:hAnsi="仿宋" w:eastAsia="仿宋" w:cs="仿宋"/>
                <w:color w:val="FF0000"/>
                <w:sz w:val="28"/>
                <w:szCs w:val="28"/>
              </w:rPr>
            </w:pPr>
            <w:r>
              <w:rPr>
                <w:rFonts w:hint="eastAsia" w:ascii="仿宋" w:hAnsi="仿宋" w:eastAsia="仿宋" w:cs="仿宋"/>
                <w:sz w:val="28"/>
                <w:szCs w:val="28"/>
              </w:rPr>
              <w:t>骨干道路绿化</w:t>
            </w:r>
          </w:p>
        </w:tc>
        <w:tc>
          <w:tcPr>
            <w:tcW w:w="6244" w:type="dxa"/>
            <w:tcBorders>
              <w:top w:val="single" w:color="auto" w:sz="4" w:space="0"/>
              <w:left w:val="single" w:color="auto" w:sz="4" w:space="0"/>
              <w:right w:val="single" w:color="auto" w:sz="4" w:space="0"/>
            </w:tcBorders>
            <w:vAlign w:val="center"/>
          </w:tcPr>
          <w:p>
            <w:pPr>
              <w:spacing w:line="300" w:lineRule="exact"/>
              <w:rPr>
                <w:rFonts w:hint="eastAsia" w:ascii="仿宋" w:hAnsi="仿宋" w:eastAsia="仿宋" w:cs="仿宋"/>
                <w:sz w:val="28"/>
                <w:szCs w:val="28"/>
              </w:rPr>
            </w:pPr>
            <w:r>
              <w:rPr>
                <w:rFonts w:hint="eastAsia" w:ascii="仿宋" w:hAnsi="仿宋" w:eastAsia="仿宋" w:cs="仿宋"/>
                <w:sz w:val="28"/>
                <w:szCs w:val="28"/>
              </w:rPr>
              <w:t>对寿济路、老北齐路、张皇路两侧绿化带进行补植完善，提升绿化水平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2" w:hRule="atLeast"/>
        </w:trPr>
        <w:tc>
          <w:tcPr>
            <w:tcW w:w="776" w:type="dxa"/>
            <w:vMerge w:val="continue"/>
            <w:tcBorders>
              <w:left w:val="single" w:color="auto" w:sz="4" w:space="0"/>
              <w:bottom w:val="single" w:color="auto" w:sz="4" w:space="0"/>
              <w:right w:val="single" w:color="auto" w:sz="4" w:space="0"/>
            </w:tcBorders>
            <w:vAlign w:val="center"/>
          </w:tcPr>
          <w:p>
            <w:pPr>
              <w:spacing w:after="50" w:line="300" w:lineRule="exact"/>
              <w:jc w:val="center"/>
              <w:rPr>
                <w:rFonts w:hint="eastAsia" w:ascii="仿宋" w:hAnsi="仿宋" w:eastAsia="仿宋" w:cs="仿宋"/>
                <w:sz w:val="28"/>
                <w:szCs w:val="28"/>
              </w:rPr>
            </w:pPr>
          </w:p>
        </w:tc>
        <w:tc>
          <w:tcPr>
            <w:tcW w:w="25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 w:hAnsi="仿宋" w:eastAsia="仿宋" w:cs="仿宋"/>
                <w:sz w:val="28"/>
                <w:szCs w:val="28"/>
              </w:rPr>
            </w:pPr>
            <w:r>
              <w:rPr>
                <w:rFonts w:hint="eastAsia" w:ascii="仿宋" w:hAnsi="仿宋" w:eastAsia="仿宋" w:cs="仿宋"/>
                <w:sz w:val="28"/>
                <w:szCs w:val="28"/>
              </w:rPr>
              <w:t>济青高铁两侧绿化美化</w:t>
            </w:r>
          </w:p>
        </w:tc>
        <w:tc>
          <w:tcPr>
            <w:tcW w:w="6244" w:type="dxa"/>
            <w:tcBorders>
              <w:left w:val="single" w:color="auto" w:sz="4" w:space="0"/>
              <w:bottom w:val="single" w:color="auto" w:sz="4" w:space="0"/>
              <w:right w:val="single" w:color="auto" w:sz="4" w:space="0"/>
            </w:tcBorders>
            <w:vAlign w:val="center"/>
          </w:tcPr>
          <w:p>
            <w:pPr>
              <w:spacing w:line="300" w:lineRule="exact"/>
              <w:rPr>
                <w:rFonts w:hint="eastAsia" w:ascii="仿宋" w:hAnsi="仿宋" w:eastAsia="仿宋" w:cs="仿宋"/>
                <w:sz w:val="28"/>
                <w:szCs w:val="28"/>
              </w:rPr>
            </w:pPr>
            <w:r>
              <w:rPr>
                <w:rFonts w:hint="eastAsia" w:ascii="仿宋" w:hAnsi="仿宋" w:eastAsia="仿宋" w:cs="仿宋"/>
                <w:sz w:val="28"/>
                <w:szCs w:val="28"/>
              </w:rPr>
              <w:t>完成济青高铁两侧绿化美化工作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776" w:type="dxa"/>
            <w:vMerge w:val="restart"/>
            <w:tcBorders>
              <w:top w:val="single" w:color="auto" w:sz="4" w:space="0"/>
              <w:left w:val="single" w:color="auto" w:sz="4" w:space="0"/>
              <w:right w:val="single" w:color="auto" w:sz="4" w:space="0"/>
            </w:tcBorders>
            <w:vAlign w:val="center"/>
          </w:tcPr>
          <w:p>
            <w:pPr>
              <w:spacing w:after="50" w:line="300" w:lineRule="exact"/>
              <w:jc w:val="center"/>
              <w:rPr>
                <w:rFonts w:hint="eastAsia" w:ascii="仿宋" w:hAnsi="仿宋" w:eastAsia="仿宋" w:cs="仿宋"/>
                <w:sz w:val="28"/>
                <w:szCs w:val="28"/>
              </w:rPr>
            </w:pPr>
          </w:p>
          <w:p>
            <w:pPr>
              <w:spacing w:after="50" w:line="300" w:lineRule="exact"/>
              <w:jc w:val="center"/>
              <w:rPr>
                <w:rFonts w:hint="eastAsia" w:ascii="仿宋" w:hAnsi="仿宋" w:eastAsia="仿宋" w:cs="仿宋"/>
                <w:sz w:val="28"/>
                <w:szCs w:val="28"/>
              </w:rPr>
            </w:pPr>
            <w:r>
              <w:rPr>
                <w:rFonts w:hint="eastAsia" w:ascii="仿宋" w:hAnsi="仿宋" w:eastAsia="仿宋" w:cs="仿宋"/>
                <w:sz w:val="28"/>
                <w:szCs w:val="28"/>
              </w:rPr>
              <w:t>敬</w:t>
            </w:r>
          </w:p>
          <w:p>
            <w:pPr>
              <w:spacing w:after="50" w:line="300" w:lineRule="exact"/>
              <w:jc w:val="center"/>
              <w:rPr>
                <w:rFonts w:hint="eastAsia" w:ascii="仿宋" w:hAnsi="仿宋" w:eastAsia="仿宋" w:cs="仿宋"/>
                <w:sz w:val="28"/>
                <w:szCs w:val="28"/>
              </w:rPr>
            </w:pPr>
            <w:r>
              <w:rPr>
                <w:rFonts w:hint="eastAsia" w:ascii="仿宋" w:hAnsi="仿宋" w:eastAsia="仿宋" w:cs="仿宋"/>
                <w:sz w:val="28"/>
                <w:szCs w:val="28"/>
              </w:rPr>
              <w:t>仲</w:t>
            </w:r>
          </w:p>
          <w:p>
            <w:pPr>
              <w:spacing w:after="50" w:line="300" w:lineRule="exact"/>
              <w:jc w:val="center"/>
              <w:rPr>
                <w:rFonts w:hint="eastAsia" w:ascii="仿宋" w:hAnsi="仿宋" w:eastAsia="仿宋" w:cs="仿宋"/>
                <w:sz w:val="28"/>
                <w:szCs w:val="28"/>
              </w:rPr>
            </w:pPr>
            <w:r>
              <w:rPr>
                <w:rFonts w:hint="eastAsia" w:ascii="仿宋" w:hAnsi="仿宋" w:eastAsia="仿宋" w:cs="仿宋"/>
                <w:sz w:val="28"/>
                <w:szCs w:val="28"/>
              </w:rPr>
              <w:t>镇</w:t>
            </w:r>
          </w:p>
        </w:tc>
        <w:tc>
          <w:tcPr>
            <w:tcW w:w="2520" w:type="dxa"/>
            <w:tcBorders>
              <w:top w:val="single" w:color="auto" w:sz="4" w:space="0"/>
              <w:left w:val="single" w:color="auto" w:sz="4" w:space="0"/>
              <w:right w:val="single" w:color="auto" w:sz="4" w:space="0"/>
            </w:tcBorders>
            <w:vAlign w:val="center"/>
          </w:tcPr>
          <w:p>
            <w:pPr>
              <w:spacing w:line="300" w:lineRule="exact"/>
              <w:jc w:val="center"/>
              <w:rPr>
                <w:rFonts w:hint="eastAsia" w:ascii="仿宋" w:hAnsi="仿宋" w:eastAsia="仿宋" w:cs="仿宋"/>
                <w:sz w:val="28"/>
                <w:szCs w:val="28"/>
              </w:rPr>
            </w:pPr>
            <w:r>
              <w:rPr>
                <w:rFonts w:hint="eastAsia" w:ascii="仿宋" w:hAnsi="仿宋" w:eastAsia="仿宋" w:cs="仿宋"/>
                <w:sz w:val="28"/>
                <w:szCs w:val="28"/>
              </w:rPr>
              <w:t>骨干道路绿化</w:t>
            </w:r>
          </w:p>
        </w:tc>
        <w:tc>
          <w:tcPr>
            <w:tcW w:w="6244" w:type="dxa"/>
            <w:tcBorders>
              <w:top w:val="single" w:color="auto" w:sz="4" w:space="0"/>
              <w:left w:val="single" w:color="auto" w:sz="4" w:space="0"/>
              <w:right w:val="single" w:color="auto" w:sz="4" w:space="0"/>
            </w:tcBorders>
            <w:vAlign w:val="center"/>
          </w:tcPr>
          <w:p>
            <w:pPr>
              <w:spacing w:line="300" w:lineRule="exact"/>
              <w:rPr>
                <w:rFonts w:hint="eastAsia" w:ascii="仿宋" w:hAnsi="仿宋" w:eastAsia="仿宋" w:cs="仿宋"/>
                <w:sz w:val="28"/>
                <w:szCs w:val="28"/>
              </w:rPr>
            </w:pPr>
            <w:r>
              <w:rPr>
                <w:rFonts w:hint="eastAsia" w:ascii="仿宋" w:hAnsi="仿宋" w:eastAsia="仿宋" w:cs="仿宋"/>
                <w:sz w:val="28"/>
                <w:szCs w:val="28"/>
              </w:rPr>
              <w:t>对寿济路、辛河路、辛广路、高铁东路两侧绿化带进行补植完善，提升绿化水平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2" w:hRule="atLeast"/>
        </w:trPr>
        <w:tc>
          <w:tcPr>
            <w:tcW w:w="776" w:type="dxa"/>
            <w:vMerge w:val="continue"/>
            <w:tcBorders>
              <w:left w:val="single" w:color="auto" w:sz="4" w:space="0"/>
              <w:right w:val="single" w:color="auto" w:sz="4" w:space="0"/>
            </w:tcBorders>
            <w:vAlign w:val="center"/>
          </w:tcPr>
          <w:p>
            <w:pPr>
              <w:spacing w:after="50" w:line="300" w:lineRule="exact"/>
              <w:jc w:val="center"/>
              <w:rPr>
                <w:rFonts w:hint="eastAsia" w:ascii="仿宋" w:hAnsi="仿宋" w:eastAsia="仿宋" w:cs="仿宋"/>
                <w:sz w:val="28"/>
                <w:szCs w:val="28"/>
              </w:rPr>
            </w:pPr>
          </w:p>
        </w:tc>
        <w:tc>
          <w:tcPr>
            <w:tcW w:w="2520" w:type="dxa"/>
            <w:tcBorders>
              <w:top w:val="single" w:color="auto" w:sz="4" w:space="0"/>
              <w:left w:val="single" w:color="auto" w:sz="4" w:space="0"/>
              <w:right w:val="single" w:color="auto" w:sz="4" w:space="0"/>
            </w:tcBorders>
            <w:vAlign w:val="center"/>
          </w:tcPr>
          <w:p>
            <w:pPr>
              <w:spacing w:line="300" w:lineRule="exact"/>
              <w:jc w:val="center"/>
              <w:rPr>
                <w:rFonts w:hint="eastAsia" w:ascii="仿宋" w:hAnsi="仿宋" w:eastAsia="仿宋" w:cs="仿宋"/>
                <w:sz w:val="28"/>
                <w:szCs w:val="28"/>
              </w:rPr>
            </w:pPr>
            <w:r>
              <w:rPr>
                <w:rFonts w:hint="eastAsia" w:ascii="仿宋" w:hAnsi="仿宋" w:eastAsia="仿宋" w:cs="仿宋"/>
                <w:sz w:val="28"/>
                <w:szCs w:val="28"/>
              </w:rPr>
              <w:t>济青高铁两侧绿化美化</w:t>
            </w:r>
          </w:p>
        </w:tc>
        <w:tc>
          <w:tcPr>
            <w:tcW w:w="6244" w:type="dxa"/>
            <w:tcBorders>
              <w:top w:val="single" w:color="auto" w:sz="4" w:space="0"/>
              <w:left w:val="single" w:color="auto" w:sz="4" w:space="0"/>
              <w:right w:val="single" w:color="auto" w:sz="4" w:space="0"/>
            </w:tcBorders>
            <w:vAlign w:val="center"/>
          </w:tcPr>
          <w:p>
            <w:pPr>
              <w:spacing w:line="300" w:lineRule="exact"/>
              <w:rPr>
                <w:rFonts w:hint="eastAsia" w:ascii="仿宋" w:hAnsi="仿宋" w:eastAsia="仿宋" w:cs="仿宋"/>
                <w:sz w:val="28"/>
                <w:szCs w:val="28"/>
              </w:rPr>
            </w:pPr>
            <w:r>
              <w:rPr>
                <w:rFonts w:hint="eastAsia" w:ascii="仿宋" w:hAnsi="仿宋" w:eastAsia="仿宋" w:cs="仿宋"/>
                <w:sz w:val="28"/>
                <w:szCs w:val="28"/>
              </w:rPr>
              <w:t>完成济青高铁两侧绿化美化工作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2" w:hRule="exact"/>
        </w:trPr>
        <w:tc>
          <w:tcPr>
            <w:tcW w:w="776" w:type="dxa"/>
            <w:vMerge w:val="restart"/>
            <w:tcBorders>
              <w:top w:val="single" w:color="auto" w:sz="4" w:space="0"/>
              <w:left w:val="single" w:color="auto" w:sz="4" w:space="0"/>
              <w:bottom w:val="single" w:color="auto" w:sz="4" w:space="0"/>
              <w:right w:val="single" w:color="auto" w:sz="4" w:space="0"/>
            </w:tcBorders>
            <w:vAlign w:val="center"/>
          </w:tcPr>
          <w:p>
            <w:pPr>
              <w:spacing w:after="50" w:line="300" w:lineRule="exact"/>
              <w:jc w:val="center"/>
              <w:rPr>
                <w:rFonts w:hint="eastAsia" w:ascii="仿宋" w:hAnsi="仿宋" w:eastAsia="仿宋" w:cs="仿宋"/>
                <w:sz w:val="28"/>
                <w:szCs w:val="28"/>
              </w:rPr>
            </w:pPr>
            <w:r>
              <w:rPr>
                <w:rFonts w:hint="eastAsia" w:ascii="仿宋" w:hAnsi="仿宋" w:eastAsia="仿宋" w:cs="仿宋"/>
                <w:sz w:val="28"/>
                <w:szCs w:val="28"/>
              </w:rPr>
              <w:t>朱</w:t>
            </w:r>
          </w:p>
          <w:p>
            <w:pPr>
              <w:spacing w:after="50" w:line="300" w:lineRule="exact"/>
              <w:jc w:val="center"/>
              <w:rPr>
                <w:rFonts w:hint="eastAsia" w:ascii="仿宋" w:hAnsi="仿宋" w:eastAsia="仿宋" w:cs="仿宋"/>
                <w:sz w:val="28"/>
                <w:szCs w:val="28"/>
              </w:rPr>
            </w:pPr>
            <w:r>
              <w:rPr>
                <w:rFonts w:hint="eastAsia" w:ascii="仿宋" w:hAnsi="仿宋" w:eastAsia="仿宋" w:cs="仿宋"/>
                <w:sz w:val="28"/>
                <w:szCs w:val="28"/>
              </w:rPr>
              <w:t>台</w:t>
            </w:r>
          </w:p>
          <w:p>
            <w:pPr>
              <w:spacing w:after="50" w:line="300" w:lineRule="exact"/>
              <w:jc w:val="center"/>
              <w:rPr>
                <w:rFonts w:hint="eastAsia" w:ascii="仿宋" w:hAnsi="仿宋" w:eastAsia="仿宋" w:cs="仿宋"/>
                <w:sz w:val="28"/>
                <w:szCs w:val="28"/>
              </w:rPr>
            </w:pPr>
            <w:r>
              <w:rPr>
                <w:rFonts w:hint="eastAsia" w:ascii="仿宋" w:hAnsi="仿宋" w:eastAsia="仿宋" w:cs="仿宋"/>
                <w:sz w:val="28"/>
                <w:szCs w:val="28"/>
              </w:rPr>
              <w:t>镇</w:t>
            </w:r>
          </w:p>
        </w:tc>
        <w:tc>
          <w:tcPr>
            <w:tcW w:w="25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 w:hAnsi="仿宋" w:eastAsia="仿宋" w:cs="仿宋"/>
                <w:sz w:val="28"/>
                <w:szCs w:val="28"/>
              </w:rPr>
            </w:pPr>
            <w:r>
              <w:rPr>
                <w:rFonts w:hint="eastAsia" w:ascii="仿宋" w:hAnsi="仿宋" w:eastAsia="仿宋" w:cs="仿宋"/>
                <w:sz w:val="28"/>
                <w:szCs w:val="28"/>
              </w:rPr>
              <w:t>骨干道路绿化</w:t>
            </w:r>
          </w:p>
        </w:tc>
        <w:tc>
          <w:tcPr>
            <w:tcW w:w="6244"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 w:hAnsi="仿宋" w:eastAsia="仿宋" w:cs="仿宋"/>
                <w:sz w:val="28"/>
                <w:szCs w:val="28"/>
              </w:rPr>
            </w:pPr>
            <w:r>
              <w:rPr>
                <w:rFonts w:hint="eastAsia" w:ascii="仿宋" w:hAnsi="仿宋" w:eastAsia="仿宋" w:cs="仿宋"/>
                <w:sz w:val="28"/>
                <w:szCs w:val="28"/>
              </w:rPr>
              <w:t>对兴边路北段、寿济路、兴边路南段、古侯路进行补植完善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3" w:hRule="exact"/>
        </w:trPr>
        <w:tc>
          <w:tcPr>
            <w:tcW w:w="0" w:type="auto"/>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sz w:val="28"/>
                <w:szCs w:val="28"/>
              </w:rPr>
            </w:pPr>
          </w:p>
        </w:tc>
        <w:tc>
          <w:tcPr>
            <w:tcW w:w="25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 w:hAnsi="仿宋" w:eastAsia="仿宋" w:cs="仿宋"/>
                <w:sz w:val="28"/>
                <w:szCs w:val="28"/>
              </w:rPr>
            </w:pPr>
            <w:r>
              <w:rPr>
                <w:rFonts w:hint="eastAsia" w:ascii="仿宋" w:hAnsi="仿宋" w:eastAsia="仿宋" w:cs="仿宋"/>
                <w:sz w:val="28"/>
                <w:szCs w:val="28"/>
              </w:rPr>
              <w:t>济青高铁两侧绿化美化</w:t>
            </w:r>
          </w:p>
        </w:tc>
        <w:tc>
          <w:tcPr>
            <w:tcW w:w="6244"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 w:hAnsi="仿宋" w:eastAsia="仿宋" w:cs="仿宋"/>
                <w:sz w:val="28"/>
                <w:szCs w:val="28"/>
              </w:rPr>
            </w:pPr>
            <w:r>
              <w:rPr>
                <w:rFonts w:hint="eastAsia" w:ascii="仿宋" w:hAnsi="仿宋" w:eastAsia="仿宋" w:cs="仿宋"/>
                <w:sz w:val="28"/>
                <w:szCs w:val="28"/>
              </w:rPr>
              <w:t>完成济青高铁两侧绿化美化工作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1" w:hRule="atLeast"/>
        </w:trPr>
        <w:tc>
          <w:tcPr>
            <w:tcW w:w="776" w:type="dxa"/>
            <w:vMerge w:val="restart"/>
            <w:tcBorders>
              <w:top w:val="single" w:color="auto" w:sz="4" w:space="0"/>
              <w:left w:val="single" w:color="auto" w:sz="4" w:space="0"/>
              <w:right w:val="single" w:color="auto" w:sz="4" w:space="0"/>
            </w:tcBorders>
            <w:vAlign w:val="center"/>
          </w:tcPr>
          <w:p>
            <w:pPr>
              <w:spacing w:after="50" w:line="300" w:lineRule="exact"/>
              <w:jc w:val="center"/>
              <w:rPr>
                <w:rFonts w:hint="eastAsia" w:ascii="仿宋" w:hAnsi="仿宋" w:eastAsia="仿宋" w:cs="仿宋"/>
                <w:sz w:val="28"/>
                <w:szCs w:val="28"/>
              </w:rPr>
            </w:pPr>
            <w:r>
              <w:rPr>
                <w:rFonts w:hint="eastAsia" w:ascii="仿宋" w:hAnsi="仿宋" w:eastAsia="仿宋" w:cs="仿宋"/>
                <w:sz w:val="28"/>
                <w:szCs w:val="28"/>
              </w:rPr>
              <w:t>凤</w:t>
            </w:r>
          </w:p>
          <w:p>
            <w:pPr>
              <w:spacing w:after="50" w:line="300" w:lineRule="exact"/>
              <w:jc w:val="center"/>
              <w:rPr>
                <w:rFonts w:hint="eastAsia" w:ascii="仿宋" w:hAnsi="仿宋" w:eastAsia="仿宋" w:cs="仿宋"/>
                <w:sz w:val="28"/>
                <w:szCs w:val="28"/>
              </w:rPr>
            </w:pPr>
            <w:r>
              <w:rPr>
                <w:rFonts w:hint="eastAsia" w:ascii="仿宋" w:hAnsi="仿宋" w:eastAsia="仿宋" w:cs="仿宋"/>
                <w:sz w:val="28"/>
                <w:szCs w:val="28"/>
              </w:rPr>
              <w:t>凰</w:t>
            </w:r>
          </w:p>
          <w:p>
            <w:pPr>
              <w:spacing w:after="50" w:line="300" w:lineRule="exact"/>
              <w:jc w:val="center"/>
              <w:rPr>
                <w:rFonts w:hint="eastAsia" w:ascii="仿宋" w:hAnsi="仿宋" w:eastAsia="仿宋" w:cs="仿宋"/>
                <w:sz w:val="28"/>
                <w:szCs w:val="28"/>
              </w:rPr>
            </w:pPr>
            <w:r>
              <w:rPr>
                <w:rFonts w:hint="eastAsia" w:ascii="仿宋" w:hAnsi="仿宋" w:eastAsia="仿宋" w:cs="仿宋"/>
                <w:sz w:val="28"/>
                <w:szCs w:val="28"/>
              </w:rPr>
              <w:t>镇</w:t>
            </w:r>
          </w:p>
        </w:tc>
        <w:tc>
          <w:tcPr>
            <w:tcW w:w="25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 w:hAnsi="仿宋" w:eastAsia="仿宋" w:cs="仿宋"/>
                <w:sz w:val="28"/>
                <w:szCs w:val="28"/>
              </w:rPr>
            </w:pPr>
            <w:r>
              <w:rPr>
                <w:rFonts w:hint="eastAsia" w:ascii="仿宋" w:hAnsi="仿宋" w:eastAsia="仿宋" w:cs="仿宋"/>
                <w:sz w:val="28"/>
                <w:szCs w:val="28"/>
              </w:rPr>
              <w:t>骨干道路绿化</w:t>
            </w:r>
          </w:p>
        </w:tc>
        <w:tc>
          <w:tcPr>
            <w:tcW w:w="6244"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 w:hAnsi="仿宋" w:eastAsia="仿宋" w:cs="仿宋"/>
                <w:sz w:val="28"/>
                <w:szCs w:val="28"/>
              </w:rPr>
            </w:pPr>
            <w:r>
              <w:rPr>
                <w:rFonts w:hint="eastAsia" w:ascii="仿宋" w:hAnsi="仿宋" w:eastAsia="仿宋" w:cs="仿宋"/>
                <w:sz w:val="28"/>
                <w:szCs w:val="28"/>
              </w:rPr>
              <w:t>对运粮河路、梧台中心路、兴边路、辛河路、宏达路、齐盛路两侧绿化带进行补植完善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8" w:hRule="atLeast"/>
        </w:trPr>
        <w:tc>
          <w:tcPr>
            <w:tcW w:w="776" w:type="dxa"/>
            <w:vMerge w:val="continue"/>
            <w:tcBorders>
              <w:left w:val="single" w:color="auto" w:sz="4" w:space="0"/>
              <w:right w:val="single" w:color="auto" w:sz="4" w:space="0"/>
            </w:tcBorders>
            <w:vAlign w:val="center"/>
          </w:tcPr>
          <w:p>
            <w:pPr>
              <w:spacing w:after="50" w:line="300" w:lineRule="exact"/>
              <w:jc w:val="center"/>
              <w:rPr>
                <w:rFonts w:hint="eastAsia" w:ascii="仿宋" w:hAnsi="仿宋" w:eastAsia="仿宋" w:cs="仿宋"/>
                <w:sz w:val="28"/>
                <w:szCs w:val="28"/>
              </w:rPr>
            </w:pPr>
          </w:p>
        </w:tc>
        <w:tc>
          <w:tcPr>
            <w:tcW w:w="252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仿宋" w:hAnsi="仿宋" w:eastAsia="仿宋" w:cs="仿宋"/>
                <w:sz w:val="28"/>
                <w:szCs w:val="28"/>
              </w:rPr>
            </w:pPr>
            <w:r>
              <w:rPr>
                <w:rFonts w:hint="eastAsia" w:ascii="仿宋" w:hAnsi="仿宋" w:eastAsia="仿宋" w:cs="仿宋"/>
                <w:sz w:val="28"/>
                <w:szCs w:val="28"/>
              </w:rPr>
              <w:t>济青高铁两侧绿化美化</w:t>
            </w:r>
          </w:p>
        </w:tc>
        <w:tc>
          <w:tcPr>
            <w:tcW w:w="6244"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仿宋" w:hAnsi="仿宋" w:eastAsia="仿宋" w:cs="仿宋"/>
                <w:sz w:val="28"/>
                <w:szCs w:val="28"/>
              </w:rPr>
            </w:pPr>
            <w:r>
              <w:rPr>
                <w:rFonts w:hint="eastAsia" w:ascii="仿宋" w:hAnsi="仿宋" w:eastAsia="仿宋" w:cs="仿宋"/>
                <w:sz w:val="28"/>
                <w:szCs w:val="28"/>
              </w:rPr>
              <w:t>完成济青高铁两侧绿化美化工作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7" w:hRule="atLeast"/>
        </w:trPr>
        <w:tc>
          <w:tcPr>
            <w:tcW w:w="0" w:type="auto"/>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 w:hAnsi="仿宋" w:eastAsia="仿宋" w:cs="仿宋"/>
                <w:sz w:val="28"/>
                <w:szCs w:val="28"/>
              </w:rPr>
            </w:pPr>
            <w:r>
              <w:rPr>
                <w:rFonts w:hint="eastAsia" w:ascii="仿宋" w:hAnsi="仿宋" w:eastAsia="仿宋" w:cs="仿宋"/>
                <w:sz w:val="28"/>
                <w:szCs w:val="28"/>
              </w:rPr>
              <w:t>金</w:t>
            </w:r>
          </w:p>
          <w:p>
            <w:pPr>
              <w:spacing w:line="300" w:lineRule="exact"/>
              <w:jc w:val="center"/>
              <w:rPr>
                <w:rFonts w:ascii="仿宋" w:hAnsi="仿宋" w:eastAsia="仿宋" w:cs="仿宋"/>
                <w:sz w:val="28"/>
                <w:szCs w:val="28"/>
              </w:rPr>
            </w:pPr>
            <w:r>
              <w:rPr>
                <w:rFonts w:hint="eastAsia" w:ascii="仿宋" w:hAnsi="仿宋" w:eastAsia="仿宋" w:cs="仿宋"/>
                <w:sz w:val="28"/>
                <w:szCs w:val="28"/>
              </w:rPr>
              <w:t>岭</w:t>
            </w:r>
          </w:p>
          <w:p>
            <w:pPr>
              <w:spacing w:line="300" w:lineRule="exact"/>
              <w:jc w:val="center"/>
              <w:rPr>
                <w:rFonts w:ascii="仿宋" w:hAnsi="仿宋" w:eastAsia="仿宋" w:cs="仿宋"/>
                <w:sz w:val="28"/>
                <w:szCs w:val="28"/>
              </w:rPr>
            </w:pPr>
            <w:r>
              <w:rPr>
                <w:rFonts w:hint="eastAsia" w:ascii="仿宋" w:hAnsi="仿宋" w:eastAsia="仿宋" w:cs="仿宋"/>
                <w:sz w:val="28"/>
                <w:szCs w:val="28"/>
              </w:rPr>
              <w:t>回</w:t>
            </w:r>
          </w:p>
          <w:p>
            <w:pPr>
              <w:spacing w:line="300" w:lineRule="exact"/>
              <w:jc w:val="center"/>
              <w:rPr>
                <w:rFonts w:ascii="仿宋" w:hAnsi="仿宋" w:eastAsia="仿宋" w:cs="仿宋"/>
                <w:sz w:val="28"/>
                <w:szCs w:val="28"/>
              </w:rPr>
            </w:pPr>
            <w:r>
              <w:rPr>
                <w:rFonts w:hint="eastAsia" w:ascii="仿宋" w:hAnsi="仿宋" w:eastAsia="仿宋" w:cs="仿宋"/>
                <w:sz w:val="28"/>
                <w:szCs w:val="28"/>
              </w:rPr>
              <w:t>族</w:t>
            </w:r>
          </w:p>
          <w:p>
            <w:pPr>
              <w:spacing w:line="300" w:lineRule="exact"/>
              <w:jc w:val="center"/>
              <w:rPr>
                <w:rFonts w:hint="eastAsia" w:ascii="仿宋" w:hAnsi="仿宋" w:eastAsia="仿宋" w:cs="仿宋"/>
                <w:spacing w:val="-12"/>
                <w:sz w:val="28"/>
                <w:szCs w:val="28"/>
              </w:rPr>
            </w:pPr>
            <w:r>
              <w:rPr>
                <w:rFonts w:hint="eastAsia" w:ascii="仿宋" w:hAnsi="仿宋" w:eastAsia="仿宋" w:cs="仿宋"/>
                <w:sz w:val="28"/>
                <w:szCs w:val="28"/>
              </w:rPr>
              <w:t>镇</w:t>
            </w:r>
          </w:p>
        </w:tc>
        <w:tc>
          <w:tcPr>
            <w:tcW w:w="2520" w:type="dxa"/>
            <w:tcBorders>
              <w:top w:val="single" w:color="auto" w:sz="4" w:space="0"/>
              <w:left w:val="single" w:color="auto" w:sz="4" w:space="0"/>
              <w:bottom w:val="single" w:color="auto" w:sz="4" w:space="0"/>
              <w:right w:val="single" w:color="auto" w:sz="4" w:space="0"/>
            </w:tcBorders>
            <w:vAlign w:val="center"/>
          </w:tcPr>
          <w:p>
            <w:pPr>
              <w:spacing w:after="50" w:line="300" w:lineRule="exact"/>
              <w:jc w:val="center"/>
              <w:rPr>
                <w:rFonts w:hint="eastAsia" w:ascii="仿宋" w:hAnsi="仿宋" w:eastAsia="仿宋" w:cs="仿宋"/>
                <w:spacing w:val="-12"/>
                <w:sz w:val="28"/>
                <w:szCs w:val="28"/>
              </w:rPr>
            </w:pPr>
            <w:r>
              <w:rPr>
                <w:rFonts w:hint="eastAsia" w:ascii="仿宋" w:hAnsi="仿宋" w:eastAsia="仿宋" w:cs="仿宋"/>
                <w:spacing w:val="-12"/>
                <w:sz w:val="28"/>
                <w:szCs w:val="28"/>
              </w:rPr>
              <w:t>骨干道路绿化</w:t>
            </w:r>
          </w:p>
        </w:tc>
        <w:tc>
          <w:tcPr>
            <w:tcW w:w="6244" w:type="dxa"/>
            <w:tcBorders>
              <w:top w:val="single" w:color="auto" w:sz="4" w:space="0"/>
              <w:left w:val="single" w:color="auto" w:sz="4" w:space="0"/>
              <w:bottom w:val="single" w:color="auto" w:sz="4" w:space="0"/>
              <w:right w:val="single" w:color="auto" w:sz="4" w:space="0"/>
            </w:tcBorders>
            <w:vAlign w:val="center"/>
          </w:tcPr>
          <w:p>
            <w:pPr>
              <w:spacing w:after="50" w:line="300" w:lineRule="exact"/>
              <w:rPr>
                <w:rFonts w:hint="eastAsia" w:ascii="仿宋" w:hAnsi="仿宋" w:eastAsia="仿宋" w:cs="仿宋"/>
                <w:spacing w:val="-12"/>
                <w:sz w:val="28"/>
                <w:szCs w:val="28"/>
              </w:rPr>
            </w:pPr>
            <w:r>
              <w:rPr>
                <w:rFonts w:hint="eastAsia" w:ascii="仿宋" w:hAnsi="仿宋" w:eastAsia="仿宋" w:cs="仿宋"/>
                <w:spacing w:val="-12"/>
                <w:sz w:val="28"/>
                <w:szCs w:val="28"/>
              </w:rPr>
              <w:t>对老102省道、兴边路两侧绿化带进行补植完善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5" w:hRule="atLeast"/>
        </w:trPr>
        <w:tc>
          <w:tcPr>
            <w:tcW w:w="776" w:type="dxa"/>
            <w:vMerge w:val="restart"/>
            <w:tcBorders>
              <w:top w:val="single" w:color="auto" w:sz="4" w:space="0"/>
              <w:left w:val="single" w:color="auto" w:sz="4" w:space="0"/>
              <w:right w:val="single" w:color="auto" w:sz="4" w:space="0"/>
            </w:tcBorders>
            <w:vAlign w:val="center"/>
          </w:tcPr>
          <w:p>
            <w:pPr>
              <w:spacing w:after="50" w:line="300" w:lineRule="exact"/>
              <w:jc w:val="center"/>
              <w:rPr>
                <w:rFonts w:hint="eastAsia" w:ascii="仿宋" w:hAnsi="仿宋" w:eastAsia="仿宋" w:cs="仿宋"/>
                <w:spacing w:val="-12"/>
                <w:sz w:val="28"/>
                <w:szCs w:val="28"/>
              </w:rPr>
            </w:pPr>
            <w:r>
              <w:rPr>
                <w:rFonts w:hint="eastAsia" w:ascii="仿宋" w:hAnsi="仿宋" w:eastAsia="仿宋" w:cs="仿宋"/>
                <w:spacing w:val="-12"/>
                <w:sz w:val="28"/>
                <w:szCs w:val="28"/>
              </w:rPr>
              <w:t>金</w:t>
            </w:r>
          </w:p>
          <w:p>
            <w:pPr>
              <w:spacing w:after="50" w:line="300" w:lineRule="exact"/>
              <w:jc w:val="center"/>
              <w:rPr>
                <w:rFonts w:hint="eastAsia" w:ascii="仿宋" w:hAnsi="仿宋" w:eastAsia="仿宋" w:cs="仿宋"/>
                <w:spacing w:val="-12"/>
                <w:sz w:val="28"/>
                <w:szCs w:val="28"/>
              </w:rPr>
            </w:pPr>
            <w:r>
              <w:rPr>
                <w:rFonts w:hint="eastAsia" w:ascii="仿宋" w:hAnsi="仿宋" w:eastAsia="仿宋" w:cs="仿宋"/>
                <w:spacing w:val="-12"/>
                <w:sz w:val="28"/>
                <w:szCs w:val="28"/>
              </w:rPr>
              <w:t>山</w:t>
            </w:r>
          </w:p>
          <w:p>
            <w:pPr>
              <w:spacing w:after="50" w:line="300" w:lineRule="exact"/>
              <w:jc w:val="center"/>
              <w:rPr>
                <w:rFonts w:hint="eastAsia" w:ascii="仿宋" w:hAnsi="仿宋" w:eastAsia="仿宋" w:cs="仿宋"/>
                <w:spacing w:val="-12"/>
                <w:sz w:val="28"/>
                <w:szCs w:val="28"/>
              </w:rPr>
            </w:pPr>
            <w:r>
              <w:rPr>
                <w:rFonts w:hint="eastAsia" w:ascii="仿宋" w:hAnsi="仿宋" w:eastAsia="仿宋" w:cs="仿宋"/>
                <w:spacing w:val="-12"/>
                <w:sz w:val="28"/>
                <w:szCs w:val="28"/>
              </w:rPr>
              <w:t>镇</w:t>
            </w:r>
          </w:p>
        </w:tc>
        <w:tc>
          <w:tcPr>
            <w:tcW w:w="2520" w:type="dxa"/>
            <w:tcBorders>
              <w:top w:val="single" w:color="auto" w:sz="4" w:space="0"/>
              <w:left w:val="single" w:color="auto" w:sz="4" w:space="0"/>
              <w:bottom w:val="single" w:color="auto" w:sz="4" w:space="0"/>
              <w:right w:val="single" w:color="auto" w:sz="4" w:space="0"/>
            </w:tcBorders>
            <w:vAlign w:val="center"/>
          </w:tcPr>
          <w:p>
            <w:pPr>
              <w:spacing w:after="50" w:line="300" w:lineRule="exact"/>
              <w:jc w:val="center"/>
              <w:rPr>
                <w:rFonts w:hint="eastAsia" w:ascii="仿宋" w:hAnsi="仿宋" w:eastAsia="仿宋" w:cs="仿宋"/>
                <w:spacing w:val="-12"/>
                <w:sz w:val="28"/>
                <w:szCs w:val="28"/>
              </w:rPr>
            </w:pPr>
            <w:r>
              <w:rPr>
                <w:rFonts w:hint="eastAsia" w:ascii="仿宋" w:hAnsi="仿宋" w:eastAsia="仿宋" w:cs="仿宋"/>
                <w:sz w:val="28"/>
                <w:szCs w:val="28"/>
              </w:rPr>
              <w:t>骨干道路绿化</w:t>
            </w:r>
          </w:p>
        </w:tc>
        <w:tc>
          <w:tcPr>
            <w:tcW w:w="6244" w:type="dxa"/>
            <w:tcBorders>
              <w:top w:val="single" w:color="auto" w:sz="4" w:space="0"/>
              <w:left w:val="single" w:color="auto" w:sz="4" w:space="0"/>
              <w:bottom w:val="single" w:color="auto" w:sz="4" w:space="0"/>
              <w:right w:val="single" w:color="auto" w:sz="4" w:space="0"/>
            </w:tcBorders>
            <w:vAlign w:val="center"/>
          </w:tcPr>
          <w:p>
            <w:pPr>
              <w:spacing w:after="50" w:line="300" w:lineRule="exact"/>
              <w:rPr>
                <w:rFonts w:hint="eastAsia" w:ascii="仿宋" w:hAnsi="仿宋" w:eastAsia="仿宋" w:cs="仿宋"/>
                <w:spacing w:val="-12"/>
                <w:sz w:val="28"/>
                <w:szCs w:val="28"/>
              </w:rPr>
            </w:pPr>
            <w:r>
              <w:rPr>
                <w:rFonts w:hint="eastAsia" w:ascii="仿宋" w:hAnsi="仿宋" w:eastAsia="仿宋" w:cs="仿宋"/>
                <w:sz w:val="28"/>
                <w:szCs w:val="28"/>
              </w:rPr>
              <w:t>对张边路、兴边路、淄江路、辛化路、边南路两侧绿化带进行补植完善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4" w:hRule="atLeast"/>
        </w:trPr>
        <w:tc>
          <w:tcPr>
            <w:tcW w:w="0" w:type="auto"/>
            <w:vMerge w:val="continue"/>
            <w:tcBorders>
              <w:left w:val="single" w:color="auto" w:sz="4" w:space="0"/>
              <w:right w:val="single" w:color="auto" w:sz="4" w:space="0"/>
            </w:tcBorders>
            <w:vAlign w:val="center"/>
          </w:tcPr>
          <w:p>
            <w:pPr>
              <w:widowControl/>
              <w:jc w:val="center"/>
              <w:rPr>
                <w:rFonts w:hint="eastAsia" w:ascii="仿宋" w:hAnsi="仿宋" w:eastAsia="仿宋" w:cs="仿宋"/>
                <w:spacing w:val="-12"/>
                <w:sz w:val="28"/>
                <w:szCs w:val="28"/>
              </w:rPr>
            </w:pPr>
          </w:p>
        </w:tc>
        <w:tc>
          <w:tcPr>
            <w:tcW w:w="2520" w:type="dxa"/>
            <w:tcBorders>
              <w:top w:val="single" w:color="auto" w:sz="4" w:space="0"/>
              <w:left w:val="single" w:color="auto" w:sz="4" w:space="0"/>
              <w:right w:val="single" w:color="auto" w:sz="4" w:space="0"/>
            </w:tcBorders>
            <w:vAlign w:val="center"/>
          </w:tcPr>
          <w:p>
            <w:pPr>
              <w:spacing w:after="50" w:line="300" w:lineRule="exact"/>
              <w:ind w:left="141" w:leftChars="67"/>
              <w:rPr>
                <w:rFonts w:hint="eastAsia" w:ascii="仿宋" w:hAnsi="仿宋" w:eastAsia="仿宋" w:cs="仿宋"/>
                <w:spacing w:val="-12"/>
                <w:sz w:val="28"/>
                <w:szCs w:val="28"/>
              </w:rPr>
            </w:pPr>
            <w:r>
              <w:rPr>
                <w:rFonts w:hint="eastAsia" w:ascii="仿宋" w:hAnsi="仿宋" w:eastAsia="仿宋" w:cs="仿宋"/>
                <w:sz w:val="28"/>
                <w:szCs w:val="28"/>
              </w:rPr>
              <w:t>荒山绿化工作</w:t>
            </w:r>
          </w:p>
        </w:tc>
        <w:tc>
          <w:tcPr>
            <w:tcW w:w="6244" w:type="dxa"/>
            <w:tcBorders>
              <w:top w:val="single" w:color="auto" w:sz="4" w:space="0"/>
              <w:left w:val="single" w:color="auto" w:sz="4" w:space="0"/>
              <w:right w:val="single" w:color="auto" w:sz="4" w:space="0"/>
            </w:tcBorders>
            <w:vAlign w:val="center"/>
          </w:tcPr>
          <w:p>
            <w:pPr>
              <w:spacing w:after="50" w:line="300" w:lineRule="exact"/>
              <w:rPr>
                <w:rFonts w:hint="eastAsia" w:ascii="仿宋" w:hAnsi="仿宋" w:eastAsia="仿宋" w:cs="仿宋"/>
                <w:spacing w:val="-12"/>
                <w:sz w:val="28"/>
                <w:szCs w:val="28"/>
              </w:rPr>
            </w:pPr>
            <w:r>
              <w:rPr>
                <w:rFonts w:hint="eastAsia" w:ascii="仿宋" w:hAnsi="仿宋" w:eastAsia="仿宋" w:cs="仿宋"/>
                <w:sz w:val="28"/>
                <w:szCs w:val="28"/>
              </w:rPr>
              <w:t>完成200亩宜林荒山、荒坡、荒地绿化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trPr>
        <w:tc>
          <w:tcPr>
            <w:tcW w:w="776" w:type="dxa"/>
            <w:tcBorders>
              <w:top w:val="single" w:color="auto" w:sz="4" w:space="0"/>
              <w:left w:val="single" w:color="auto" w:sz="4" w:space="0"/>
              <w:bottom w:val="single" w:color="auto" w:sz="4" w:space="0"/>
              <w:right w:val="single" w:color="auto" w:sz="4" w:space="0"/>
            </w:tcBorders>
            <w:vAlign w:val="center"/>
          </w:tcPr>
          <w:p>
            <w:pPr>
              <w:spacing w:after="50" w:line="300" w:lineRule="exact"/>
              <w:jc w:val="center"/>
              <w:rPr>
                <w:rFonts w:hint="eastAsia" w:ascii="仿宋" w:hAnsi="仿宋" w:eastAsia="仿宋" w:cs="仿宋"/>
                <w:spacing w:val="-12"/>
                <w:sz w:val="28"/>
                <w:szCs w:val="28"/>
              </w:rPr>
            </w:pPr>
            <w:r>
              <w:rPr>
                <w:rFonts w:hint="eastAsia" w:ascii="仿宋" w:hAnsi="仿宋" w:eastAsia="仿宋" w:cs="仿宋"/>
                <w:spacing w:val="-12"/>
                <w:sz w:val="28"/>
                <w:szCs w:val="28"/>
              </w:rPr>
              <w:t>稷</w:t>
            </w:r>
          </w:p>
          <w:p>
            <w:pPr>
              <w:spacing w:after="50" w:line="300" w:lineRule="exact"/>
              <w:jc w:val="center"/>
              <w:rPr>
                <w:rFonts w:hint="eastAsia" w:ascii="仿宋" w:hAnsi="仿宋" w:eastAsia="仿宋" w:cs="仿宋"/>
                <w:spacing w:val="-12"/>
                <w:sz w:val="28"/>
                <w:szCs w:val="28"/>
              </w:rPr>
            </w:pPr>
            <w:r>
              <w:rPr>
                <w:rFonts w:hint="eastAsia" w:ascii="仿宋" w:hAnsi="仿宋" w:eastAsia="仿宋" w:cs="仿宋"/>
                <w:spacing w:val="-12"/>
                <w:sz w:val="28"/>
                <w:szCs w:val="28"/>
              </w:rPr>
              <w:t>下</w:t>
            </w:r>
          </w:p>
          <w:p>
            <w:pPr>
              <w:spacing w:after="50" w:line="300" w:lineRule="exact"/>
              <w:jc w:val="center"/>
              <w:rPr>
                <w:rFonts w:hint="eastAsia" w:ascii="仿宋" w:hAnsi="仿宋" w:eastAsia="仿宋" w:cs="仿宋"/>
                <w:spacing w:val="-12"/>
                <w:sz w:val="28"/>
                <w:szCs w:val="28"/>
              </w:rPr>
            </w:pPr>
            <w:r>
              <w:rPr>
                <w:rFonts w:hint="eastAsia" w:ascii="仿宋" w:hAnsi="仿宋" w:eastAsia="仿宋" w:cs="仿宋"/>
                <w:spacing w:val="-12"/>
                <w:sz w:val="28"/>
                <w:szCs w:val="28"/>
              </w:rPr>
              <w:t>街</w:t>
            </w:r>
          </w:p>
          <w:p>
            <w:pPr>
              <w:spacing w:after="50" w:line="300" w:lineRule="exact"/>
              <w:jc w:val="center"/>
              <w:rPr>
                <w:rFonts w:hint="eastAsia" w:ascii="仿宋" w:hAnsi="仿宋" w:eastAsia="仿宋" w:cs="仿宋"/>
                <w:spacing w:val="-12"/>
                <w:sz w:val="28"/>
                <w:szCs w:val="28"/>
              </w:rPr>
            </w:pPr>
            <w:r>
              <w:rPr>
                <w:rFonts w:hint="eastAsia" w:ascii="仿宋" w:hAnsi="仿宋" w:eastAsia="仿宋" w:cs="仿宋"/>
                <w:spacing w:val="-12"/>
                <w:sz w:val="28"/>
                <w:szCs w:val="28"/>
              </w:rPr>
              <w:t>道</w:t>
            </w:r>
          </w:p>
        </w:tc>
        <w:tc>
          <w:tcPr>
            <w:tcW w:w="2520" w:type="dxa"/>
            <w:tcBorders>
              <w:top w:val="single" w:color="auto" w:sz="4" w:space="0"/>
              <w:left w:val="single" w:color="auto" w:sz="4" w:space="0"/>
              <w:bottom w:val="single" w:color="auto" w:sz="4" w:space="0"/>
              <w:right w:val="single" w:color="auto" w:sz="4" w:space="0"/>
            </w:tcBorders>
            <w:vAlign w:val="center"/>
          </w:tcPr>
          <w:p>
            <w:pPr>
              <w:spacing w:after="50" w:line="300" w:lineRule="exact"/>
              <w:jc w:val="center"/>
              <w:rPr>
                <w:rFonts w:hint="eastAsia" w:ascii="仿宋" w:hAnsi="仿宋" w:eastAsia="仿宋" w:cs="仿宋"/>
                <w:sz w:val="28"/>
                <w:szCs w:val="28"/>
              </w:rPr>
            </w:pPr>
            <w:r>
              <w:rPr>
                <w:rFonts w:hint="eastAsia" w:ascii="仿宋" w:hAnsi="仿宋" w:eastAsia="仿宋" w:cs="仿宋"/>
                <w:sz w:val="28"/>
                <w:szCs w:val="28"/>
              </w:rPr>
              <w:t>骨干道路绿化</w:t>
            </w:r>
          </w:p>
        </w:tc>
        <w:tc>
          <w:tcPr>
            <w:tcW w:w="6244" w:type="dxa"/>
            <w:tcBorders>
              <w:top w:val="single" w:color="auto" w:sz="4" w:space="0"/>
              <w:left w:val="single" w:color="auto" w:sz="4" w:space="0"/>
              <w:bottom w:val="single" w:color="auto" w:sz="4" w:space="0"/>
              <w:right w:val="single" w:color="auto" w:sz="4" w:space="0"/>
            </w:tcBorders>
            <w:vAlign w:val="center"/>
          </w:tcPr>
          <w:p>
            <w:pPr>
              <w:spacing w:after="50" w:line="300" w:lineRule="exact"/>
              <w:rPr>
                <w:rFonts w:hint="eastAsia" w:ascii="仿宋" w:hAnsi="仿宋" w:eastAsia="仿宋" w:cs="仿宋"/>
                <w:sz w:val="28"/>
                <w:szCs w:val="28"/>
              </w:rPr>
            </w:pPr>
            <w:r>
              <w:rPr>
                <w:rFonts w:hint="eastAsia" w:ascii="仿宋" w:hAnsi="仿宋" w:eastAsia="仿宋" w:cs="仿宋"/>
                <w:sz w:val="28"/>
                <w:szCs w:val="28"/>
              </w:rPr>
              <w:t>对王家工业园路、耿王进村路、溡源路、郑王路、东安-南安、齐盛路两侧绿化带补植完善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7" w:hRule="atLeast"/>
        </w:trPr>
        <w:tc>
          <w:tcPr>
            <w:tcW w:w="776" w:type="dxa"/>
            <w:vMerge w:val="restart"/>
            <w:tcBorders>
              <w:top w:val="single" w:color="auto" w:sz="4" w:space="0"/>
              <w:left w:val="single" w:color="auto" w:sz="4" w:space="0"/>
              <w:right w:val="single" w:color="auto" w:sz="4" w:space="0"/>
            </w:tcBorders>
            <w:vAlign w:val="center"/>
          </w:tcPr>
          <w:p>
            <w:pPr>
              <w:spacing w:after="50" w:line="300" w:lineRule="exact"/>
              <w:jc w:val="center"/>
              <w:rPr>
                <w:rFonts w:hint="eastAsia" w:ascii="仿宋" w:hAnsi="仿宋" w:eastAsia="仿宋" w:cs="仿宋"/>
                <w:spacing w:val="-12"/>
                <w:sz w:val="28"/>
                <w:szCs w:val="28"/>
              </w:rPr>
            </w:pPr>
            <w:r>
              <w:rPr>
                <w:rFonts w:hint="eastAsia" w:ascii="仿宋" w:hAnsi="仿宋" w:eastAsia="仿宋" w:cs="仿宋"/>
                <w:spacing w:val="-12"/>
                <w:sz w:val="28"/>
                <w:szCs w:val="28"/>
              </w:rPr>
              <w:t>辛</w:t>
            </w:r>
          </w:p>
          <w:p>
            <w:pPr>
              <w:spacing w:after="50" w:line="300" w:lineRule="exact"/>
              <w:jc w:val="center"/>
              <w:rPr>
                <w:rFonts w:hint="eastAsia" w:ascii="仿宋" w:hAnsi="仿宋" w:eastAsia="仿宋" w:cs="仿宋"/>
                <w:spacing w:val="-12"/>
                <w:sz w:val="28"/>
                <w:szCs w:val="28"/>
              </w:rPr>
            </w:pPr>
            <w:r>
              <w:rPr>
                <w:rFonts w:hint="eastAsia" w:ascii="仿宋" w:hAnsi="仿宋" w:eastAsia="仿宋" w:cs="仿宋"/>
                <w:spacing w:val="-12"/>
                <w:sz w:val="28"/>
                <w:szCs w:val="28"/>
              </w:rPr>
              <w:t>店</w:t>
            </w:r>
          </w:p>
          <w:p>
            <w:pPr>
              <w:spacing w:after="50" w:line="300" w:lineRule="exact"/>
              <w:jc w:val="center"/>
              <w:rPr>
                <w:rFonts w:hint="eastAsia" w:ascii="仿宋" w:hAnsi="仿宋" w:eastAsia="仿宋" w:cs="仿宋"/>
                <w:spacing w:val="-12"/>
                <w:sz w:val="28"/>
                <w:szCs w:val="28"/>
              </w:rPr>
            </w:pPr>
            <w:r>
              <w:rPr>
                <w:rFonts w:hint="eastAsia" w:ascii="仿宋" w:hAnsi="仿宋" w:eastAsia="仿宋" w:cs="仿宋"/>
                <w:spacing w:val="-12"/>
                <w:sz w:val="28"/>
                <w:szCs w:val="28"/>
              </w:rPr>
              <w:t>街</w:t>
            </w:r>
          </w:p>
          <w:p>
            <w:pPr>
              <w:spacing w:after="50" w:line="300" w:lineRule="exact"/>
              <w:jc w:val="center"/>
              <w:rPr>
                <w:rFonts w:hint="eastAsia" w:ascii="仿宋" w:hAnsi="仿宋" w:eastAsia="仿宋" w:cs="仿宋"/>
                <w:spacing w:val="-12"/>
                <w:sz w:val="28"/>
                <w:szCs w:val="28"/>
              </w:rPr>
            </w:pPr>
            <w:r>
              <w:rPr>
                <w:rFonts w:hint="eastAsia" w:ascii="仿宋" w:hAnsi="仿宋" w:eastAsia="仿宋" w:cs="仿宋"/>
                <w:spacing w:val="-12"/>
                <w:sz w:val="28"/>
                <w:szCs w:val="28"/>
              </w:rPr>
              <w:t>道</w:t>
            </w:r>
          </w:p>
        </w:tc>
        <w:tc>
          <w:tcPr>
            <w:tcW w:w="2520" w:type="dxa"/>
            <w:tcBorders>
              <w:top w:val="single" w:color="auto" w:sz="4" w:space="0"/>
              <w:left w:val="single" w:color="auto" w:sz="4" w:space="0"/>
              <w:bottom w:val="single" w:color="auto" w:sz="4" w:space="0"/>
              <w:right w:val="single" w:color="auto" w:sz="4" w:space="0"/>
            </w:tcBorders>
            <w:vAlign w:val="center"/>
          </w:tcPr>
          <w:p>
            <w:pPr>
              <w:spacing w:after="50" w:line="300" w:lineRule="exact"/>
              <w:jc w:val="center"/>
              <w:rPr>
                <w:rFonts w:hint="eastAsia" w:ascii="仿宋" w:hAnsi="仿宋" w:eastAsia="仿宋" w:cs="仿宋"/>
                <w:sz w:val="28"/>
                <w:szCs w:val="28"/>
              </w:rPr>
            </w:pPr>
            <w:r>
              <w:rPr>
                <w:rFonts w:hint="eastAsia" w:ascii="仿宋" w:hAnsi="仿宋" w:eastAsia="仿宋" w:cs="仿宋"/>
                <w:sz w:val="28"/>
                <w:szCs w:val="28"/>
              </w:rPr>
              <w:t>骨干道路绿化</w:t>
            </w:r>
          </w:p>
        </w:tc>
        <w:tc>
          <w:tcPr>
            <w:tcW w:w="6244" w:type="dxa"/>
            <w:tcBorders>
              <w:top w:val="single" w:color="auto" w:sz="4" w:space="0"/>
              <w:left w:val="single" w:color="auto" w:sz="4" w:space="0"/>
              <w:right w:val="single" w:color="auto" w:sz="4" w:space="0"/>
            </w:tcBorders>
            <w:vAlign w:val="center"/>
          </w:tcPr>
          <w:p>
            <w:pPr>
              <w:spacing w:after="50" w:line="300" w:lineRule="exact"/>
              <w:rPr>
                <w:rFonts w:hint="eastAsia" w:ascii="仿宋" w:hAnsi="仿宋" w:eastAsia="仿宋" w:cs="仿宋"/>
                <w:spacing w:val="-12"/>
                <w:sz w:val="28"/>
                <w:szCs w:val="28"/>
              </w:rPr>
            </w:pPr>
            <w:r>
              <w:rPr>
                <w:rFonts w:hint="eastAsia" w:ascii="仿宋" w:hAnsi="仿宋" w:eastAsia="仿宋" w:cs="仿宋"/>
                <w:sz w:val="28"/>
                <w:szCs w:val="28"/>
              </w:rPr>
              <w:t>对乙烯路、辛化路、溡源路、老102省道、淄江路两侧绿化带补植完善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776" w:type="dxa"/>
            <w:vMerge w:val="continue"/>
            <w:tcBorders>
              <w:left w:val="single" w:color="auto" w:sz="4" w:space="0"/>
              <w:right w:val="single" w:color="auto" w:sz="4" w:space="0"/>
            </w:tcBorders>
            <w:vAlign w:val="center"/>
          </w:tcPr>
          <w:p>
            <w:pPr>
              <w:spacing w:after="50" w:line="300" w:lineRule="exact"/>
              <w:jc w:val="center"/>
              <w:rPr>
                <w:rFonts w:hint="eastAsia" w:ascii="仿宋" w:hAnsi="仿宋" w:eastAsia="仿宋" w:cs="仿宋"/>
                <w:spacing w:val="-12"/>
                <w:sz w:val="28"/>
                <w:szCs w:val="28"/>
              </w:rPr>
            </w:pPr>
          </w:p>
        </w:tc>
        <w:tc>
          <w:tcPr>
            <w:tcW w:w="2520" w:type="dxa"/>
            <w:tcBorders>
              <w:top w:val="single" w:color="auto" w:sz="4" w:space="0"/>
              <w:left w:val="single" w:color="auto" w:sz="4" w:space="0"/>
              <w:bottom w:val="single" w:color="auto" w:sz="4" w:space="0"/>
              <w:right w:val="single" w:color="auto" w:sz="4" w:space="0"/>
            </w:tcBorders>
            <w:vAlign w:val="center"/>
          </w:tcPr>
          <w:p>
            <w:pPr>
              <w:spacing w:after="50" w:line="300" w:lineRule="exact"/>
              <w:jc w:val="center"/>
              <w:rPr>
                <w:rFonts w:hint="eastAsia" w:ascii="仿宋" w:hAnsi="仿宋" w:eastAsia="仿宋" w:cs="仿宋"/>
                <w:sz w:val="28"/>
                <w:szCs w:val="28"/>
              </w:rPr>
            </w:pPr>
            <w:r>
              <w:rPr>
                <w:rFonts w:hint="eastAsia" w:ascii="仿宋" w:hAnsi="仿宋" w:eastAsia="仿宋" w:cs="仿宋"/>
                <w:sz w:val="28"/>
                <w:szCs w:val="28"/>
              </w:rPr>
              <w:t>水源地绿化补植</w:t>
            </w:r>
          </w:p>
        </w:tc>
        <w:tc>
          <w:tcPr>
            <w:tcW w:w="6244" w:type="dxa"/>
            <w:tcBorders>
              <w:left w:val="single" w:color="auto" w:sz="4" w:space="0"/>
              <w:right w:val="single" w:color="auto" w:sz="4" w:space="0"/>
            </w:tcBorders>
            <w:vAlign w:val="center"/>
          </w:tcPr>
          <w:p>
            <w:pPr>
              <w:spacing w:after="50" w:line="300" w:lineRule="exact"/>
              <w:rPr>
                <w:rFonts w:hint="eastAsia" w:ascii="仿宋" w:hAnsi="仿宋" w:eastAsia="仿宋" w:cs="仿宋"/>
                <w:sz w:val="28"/>
                <w:szCs w:val="28"/>
              </w:rPr>
            </w:pPr>
            <w:r>
              <w:rPr>
                <w:rFonts w:hint="eastAsia" w:ascii="仿宋" w:hAnsi="仿宋" w:eastAsia="仿宋" w:cs="仿宋"/>
                <w:sz w:val="28"/>
                <w:szCs w:val="28"/>
              </w:rPr>
              <w:t>对已完成的大武地下水富集区绿化项目进行补植完善和绿化提升</w:t>
            </w:r>
          </w:p>
        </w:tc>
      </w:tr>
    </w:tbl>
    <w:p>
      <w:pPr>
        <w:spacing w:line="520" w:lineRule="exact"/>
        <w:ind w:left="859" w:leftChars="76" w:hanging="700" w:hangingChars="250"/>
        <w:rPr>
          <w:rFonts w:hint="eastAsia" w:ascii="仿宋_GB2312" w:eastAsia="仿宋_GB2312" w:cs="仿宋_GB2312"/>
          <w:sz w:val="28"/>
          <w:szCs w:val="28"/>
        </w:rPr>
      </w:pPr>
    </w:p>
    <w:p>
      <w:pPr>
        <w:spacing w:line="520" w:lineRule="exact"/>
        <w:ind w:left="859" w:leftChars="76" w:hanging="700" w:hangingChars="250"/>
        <w:rPr>
          <w:rFonts w:hint="eastAsia" w:ascii="仿宋_GB2312" w:eastAsia="仿宋_GB2312" w:cs="仿宋_GB2312"/>
          <w:sz w:val="28"/>
          <w:szCs w:val="28"/>
        </w:rPr>
      </w:pPr>
    </w:p>
    <w:p>
      <w:pPr>
        <w:spacing w:line="600" w:lineRule="exact"/>
        <w:jc w:val="center"/>
        <w:rPr>
          <w:rFonts w:hint="eastAsia" w:ascii="仿宋_GB2312" w:eastAsia="仿宋_GB2312"/>
          <w:sz w:val="32"/>
          <w:szCs w:val="32"/>
        </w:rPr>
      </w:pPr>
      <w:bookmarkStart w:id="0" w:name="_GoBack"/>
      <w:bookmarkEnd w:id="0"/>
    </w:p>
    <w:sectPr>
      <w:footerReference r:id="rId3" w:type="default"/>
      <w:pgSz w:w="11910" w:h="16840"/>
      <w:pgMar w:top="2098" w:right="1474" w:bottom="1985" w:left="1588" w:header="0" w:footer="907" w:gutter="0"/>
      <w:pgNumType w:start="1"/>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宋体"/>
    <w:panose1 w:val="02010609030101010101"/>
    <w:charset w:val="86"/>
    <w:family w:val="modern"/>
    <w:pitch w:val="default"/>
    <w:sig w:usb0="00000000" w:usb1="00000000" w:usb2="00000000" w:usb3="00000000" w:csb0="00040000" w:csb1="00000000"/>
  </w:font>
  <w:font w:name="宋体+FPEF">
    <w:altName w:val="宋体"/>
    <w:panose1 w:val="00000000000000000000"/>
    <w:charset w:val="86"/>
    <w:family w:val="roman"/>
    <w:pitch w:val="default"/>
    <w:sig w:usb0="00000000" w:usb1="00000000" w:usb2="0000001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仿宋">
    <w:altName w:val="宋体"/>
    <w:panose1 w:val="02010609060101010101"/>
    <w:charset w:val="86"/>
    <w:family w:val="modern"/>
    <w:pitch w:val="default"/>
    <w:sig w:usb0="00000000" w:usb1="00000000"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楷体_GB2312">
    <w:altName w:val="宋体"/>
    <w:panose1 w:val="02010609030101010101"/>
    <w:charset w:val="86"/>
    <w:family w:val="modern"/>
    <w:pitch w:val="default"/>
    <w:sig w:usb0="00000000" w:usb1="00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DejaVu Sans">
    <w:panose1 w:val="020B0603030804020204"/>
    <w:charset w:val="00"/>
    <w:family w:val="auto"/>
    <w:pitch w:val="default"/>
    <w:sig w:usb0="E7006EFF" w:usb1="D200FDFF" w:usb2="0A246029" w:usb3="0400200C" w:csb0="600001FF" w:csb1="DFFF0000"/>
  </w:font>
  <w:font w:name="NanumGothic">
    <w:panose1 w:val="020D0604000000000000"/>
    <w:charset w:val="81"/>
    <w:family w:val="auto"/>
    <w:pitch w:val="default"/>
    <w:sig w:usb0="900002A7" w:usb1="29D7FCFB" w:usb2="00000010" w:usb3="00000000" w:csb0="00080001"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11299379"/>
      <w:docPartObj>
        <w:docPartGallery w:val="autotext"/>
      </w:docPartObj>
    </w:sdtPr>
    <w:sdtEndPr>
      <w:rPr>
        <w:sz w:val="24"/>
        <w:szCs w:val="24"/>
      </w:rPr>
    </w:sdtEndPr>
    <w:sdtContent>
      <w:p>
        <w:pPr>
          <w:pStyle w:val="5"/>
          <w:jc w:val="center"/>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2</w:t>
        </w:r>
        <w:r>
          <w:rPr>
            <w:sz w:val="24"/>
            <w:szCs w:val="24"/>
          </w:rPr>
          <w:fldChar w:fldCharType="end"/>
        </w:r>
      </w:p>
    </w:sdtContent>
  </w:sdt>
  <w:p>
    <w:pPr>
      <w:pStyle w:val="3"/>
      <w:spacing w:line="14" w:lineRule="auto"/>
      <w:rPr>
        <w:sz w:val="2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2D6"/>
    <w:rsid w:val="000F5637"/>
    <w:rsid w:val="001A0243"/>
    <w:rsid w:val="001A08AB"/>
    <w:rsid w:val="002262D6"/>
    <w:rsid w:val="00236CB1"/>
    <w:rsid w:val="00333442"/>
    <w:rsid w:val="004E7E44"/>
    <w:rsid w:val="005A4FF9"/>
    <w:rsid w:val="006E42C6"/>
    <w:rsid w:val="008101C7"/>
    <w:rsid w:val="009172FA"/>
    <w:rsid w:val="00B66932"/>
    <w:rsid w:val="00C033B8"/>
    <w:rsid w:val="00CC0678"/>
    <w:rsid w:val="00D0785D"/>
    <w:rsid w:val="00F4326F"/>
    <w:rsid w:val="00FE7BC5"/>
    <w:rsid w:val="384313AB"/>
    <w:rsid w:val="BD6661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next w:val="1"/>
    <w:link w:val="12"/>
    <w:qFormat/>
    <w:uiPriority w:val="0"/>
    <w:pPr>
      <w:outlineLvl w:val="0"/>
    </w:pPr>
    <w:rPr>
      <w:rFonts w:ascii="Times New Roman" w:hAnsi="Times New Roman" w:eastAsia="仿宋_GB2312" w:cs="Times New Roman"/>
      <w:b/>
      <w:bCs/>
      <w:snapToGrid w:val="0"/>
      <w:kern w:val="44"/>
      <w:sz w:val="44"/>
      <w:szCs w:val="4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4"/>
    <w:qFormat/>
    <w:uiPriority w:val="1"/>
    <w:pPr>
      <w:autoSpaceDE w:val="0"/>
      <w:autoSpaceDN w:val="0"/>
      <w:jc w:val="left"/>
    </w:pPr>
    <w:rPr>
      <w:rFonts w:ascii="宋体" w:hAnsi="宋体" w:cs="宋体"/>
      <w:kern w:val="0"/>
      <w:sz w:val="29"/>
      <w:szCs w:val="29"/>
      <w:lang w:eastAsia="en-US"/>
    </w:rPr>
  </w:style>
  <w:style w:type="paragraph" w:styleId="4">
    <w:name w:val="Balloon Text"/>
    <w:basedOn w:val="1"/>
    <w:link w:val="18"/>
    <w:semiHidden/>
    <w:unhideWhenUsed/>
    <w:qFormat/>
    <w:uiPriority w:val="99"/>
    <w:pPr>
      <w:autoSpaceDE w:val="0"/>
      <w:autoSpaceDN w:val="0"/>
      <w:jc w:val="left"/>
    </w:pPr>
    <w:rPr>
      <w:rFonts w:ascii="宋体" w:hAnsi="宋体" w:cs="宋体"/>
      <w:kern w:val="0"/>
      <w:sz w:val="18"/>
      <w:szCs w:val="18"/>
      <w:lang w:eastAsia="en-US"/>
    </w:rPr>
  </w:style>
  <w:style w:type="paragraph" w:styleId="5">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character" w:customStyle="1" w:styleId="10">
    <w:name w:val="页眉 字符"/>
    <w:basedOn w:val="9"/>
    <w:link w:val="6"/>
    <w:qFormat/>
    <w:uiPriority w:val="99"/>
    <w:rPr>
      <w:sz w:val="18"/>
      <w:szCs w:val="18"/>
    </w:rPr>
  </w:style>
  <w:style w:type="character" w:customStyle="1" w:styleId="11">
    <w:name w:val="页脚 字符"/>
    <w:basedOn w:val="9"/>
    <w:link w:val="5"/>
    <w:qFormat/>
    <w:uiPriority w:val="99"/>
    <w:rPr>
      <w:sz w:val="18"/>
      <w:szCs w:val="18"/>
    </w:rPr>
  </w:style>
  <w:style w:type="character" w:customStyle="1" w:styleId="12">
    <w:name w:val="标题 1 字符"/>
    <w:basedOn w:val="9"/>
    <w:link w:val="2"/>
    <w:qFormat/>
    <w:uiPriority w:val="0"/>
    <w:rPr>
      <w:rFonts w:ascii="Times New Roman" w:hAnsi="Times New Roman" w:eastAsia="仿宋_GB2312" w:cs="Times New Roman"/>
      <w:b/>
      <w:bCs/>
      <w:snapToGrid w:val="0"/>
      <w:kern w:val="44"/>
      <w:sz w:val="44"/>
      <w:szCs w:val="44"/>
    </w:rPr>
  </w:style>
  <w:style w:type="table" w:customStyle="1" w:styleId="13">
    <w:name w:val="Table Normal"/>
    <w:semiHidden/>
    <w:unhideWhenUsed/>
    <w:qFormat/>
    <w:uiPriority w:val="2"/>
    <w:pPr>
      <w:widowControl w:val="0"/>
      <w:autoSpaceDE w:val="0"/>
      <w:autoSpaceDN w:val="0"/>
    </w:pPr>
    <w:rPr>
      <w:kern w:val="0"/>
      <w:sz w:val="22"/>
      <w:lang w:eastAsia="en-US"/>
    </w:rPr>
    <w:tblPr>
      <w:tblCellMar>
        <w:top w:w="0" w:type="dxa"/>
        <w:left w:w="0" w:type="dxa"/>
        <w:bottom w:w="0" w:type="dxa"/>
        <w:right w:w="0" w:type="dxa"/>
      </w:tblCellMar>
    </w:tblPr>
  </w:style>
  <w:style w:type="character" w:customStyle="1" w:styleId="14">
    <w:name w:val="正文文本 字符"/>
    <w:basedOn w:val="9"/>
    <w:link w:val="3"/>
    <w:qFormat/>
    <w:uiPriority w:val="1"/>
    <w:rPr>
      <w:rFonts w:ascii="宋体" w:hAnsi="宋体" w:eastAsia="宋体" w:cs="宋体"/>
      <w:kern w:val="0"/>
      <w:sz w:val="29"/>
      <w:szCs w:val="29"/>
      <w:lang w:eastAsia="en-US"/>
    </w:rPr>
  </w:style>
  <w:style w:type="paragraph" w:styleId="15">
    <w:name w:val="List Paragraph"/>
    <w:basedOn w:val="1"/>
    <w:qFormat/>
    <w:uiPriority w:val="1"/>
    <w:pPr>
      <w:autoSpaceDE w:val="0"/>
      <w:autoSpaceDN w:val="0"/>
      <w:jc w:val="left"/>
    </w:pPr>
    <w:rPr>
      <w:rFonts w:ascii="宋体" w:hAnsi="宋体" w:cs="宋体"/>
      <w:kern w:val="0"/>
      <w:sz w:val="22"/>
      <w:szCs w:val="22"/>
      <w:lang w:eastAsia="en-US"/>
    </w:rPr>
  </w:style>
  <w:style w:type="paragraph" w:customStyle="1" w:styleId="16">
    <w:name w:val="Table Paragraph"/>
    <w:basedOn w:val="1"/>
    <w:qFormat/>
    <w:uiPriority w:val="1"/>
    <w:pPr>
      <w:autoSpaceDE w:val="0"/>
      <w:autoSpaceDN w:val="0"/>
      <w:jc w:val="left"/>
    </w:pPr>
    <w:rPr>
      <w:rFonts w:ascii="宋体" w:hAnsi="宋体" w:cs="宋体"/>
      <w:kern w:val="0"/>
      <w:sz w:val="22"/>
      <w:szCs w:val="22"/>
      <w:lang w:eastAsia="en-US"/>
    </w:rPr>
  </w:style>
  <w:style w:type="character" w:customStyle="1" w:styleId="17">
    <w:name w:val="fontstyle01"/>
    <w:basedOn w:val="9"/>
    <w:qFormat/>
    <w:uiPriority w:val="0"/>
    <w:rPr>
      <w:rFonts w:hint="eastAsia" w:ascii="宋体+FPEF" w:eastAsia="宋体+FPEF"/>
      <w:color w:val="000000"/>
      <w:sz w:val="22"/>
      <w:szCs w:val="22"/>
    </w:rPr>
  </w:style>
  <w:style w:type="character" w:customStyle="1" w:styleId="18">
    <w:name w:val="批注框文本 字符"/>
    <w:basedOn w:val="9"/>
    <w:link w:val="4"/>
    <w:semiHidden/>
    <w:qFormat/>
    <w:uiPriority w:val="99"/>
    <w:rPr>
      <w:rFonts w:ascii="宋体" w:hAnsi="宋体" w:eastAsia="宋体" w:cs="宋体"/>
      <w:kern w:val="0"/>
      <w:sz w:val="18"/>
      <w:szCs w:val="18"/>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Pages>
  <Words>3205</Words>
  <Characters>3318</Characters>
  <Lines>25</Lines>
  <Paragraphs>7</Paragraphs>
  <TotalTime>0</TotalTime>
  <ScaleCrop>false</ScaleCrop>
  <LinksUpToDate>false</LinksUpToDate>
  <CharactersWithSpaces>3445</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2020-12-30T14:24:00Z</dcterms:created>
  <dc:creator>政府办管理员</dc:creator>
  <cp:lastModifiedBy>administrator</cp:lastModifiedBy>
  <cp:lastPrinted>2020-12-30T14:21:00Z</cp:lastPrinted>
  <dcterms:modified xsi:type="dcterms:W3CDTF">2026-02-10T11:14:58Z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eyJoZGlkIjoiZjQ5YmNjNGRiYmMyM2VhZTljMjQ3YTY0Nzk4MjJmOTMiLCJ1c2VySWQiOiI1MTg0NDc3MzkifQ==</vt:lpwstr>
  </property>
  <property fmtid="{D5CDD505-2E9C-101B-9397-08002B2CF9AE}" pid="3" name="KSOProductBuildVer">
    <vt:lpwstr>2052-11.8.2.9958</vt:lpwstr>
  </property>
  <property fmtid="{D5CDD505-2E9C-101B-9397-08002B2CF9AE}" pid="4" name="ICV">
    <vt:lpwstr>476B0A1D9A234F7F81DD396D193A0B18_12</vt:lpwstr>
  </property>
</Properties>
</file>