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7"/>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7"/>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2020</w:t>
      </w:r>
      <w:r>
        <w:rPr>
          <w:rFonts w:hint="eastAsia" w:ascii="仿宋" w:hAnsi="仿宋" w:eastAsia="仿宋" w:cs="仿宋"/>
          <w:sz w:val="32"/>
          <w:szCs w:val="32"/>
        </w:rPr>
        <w:t xml:space="preserve"> 〕</w:t>
      </w:r>
      <w:r>
        <w:rPr>
          <w:rFonts w:ascii="仿宋" w:hAnsi="仿宋" w:eastAsia="仿宋" w:cs="仿宋"/>
          <w:sz w:val="32"/>
          <w:szCs w:val="32"/>
        </w:rPr>
        <w:t>112</w:t>
      </w:r>
      <w:r>
        <w:rPr>
          <w:rFonts w:hint="eastAsia" w:ascii="仿宋" w:hAnsi="仿宋" w:eastAsia="仿宋" w:cs="仿宋"/>
          <w:sz w:val="32"/>
          <w:szCs w:val="32"/>
        </w:rPr>
        <w:t>号</w:t>
      </w:r>
      <w:r>
        <w:rPr>
          <w:rFonts w:hint="eastAsia" w:ascii="仿宋" w:hAnsi="仿宋" w:eastAsia="仿宋" w:cs="仿宋"/>
          <w:b/>
          <w:sz w:val="36"/>
          <w:szCs w:val="36"/>
        </w:rPr>
        <w:t xml:space="preserve">            </w:t>
      </w:r>
    </w:p>
    <w:p>
      <w:pPr>
        <w:rPr>
          <w:rFonts w:ascii="仿宋_GB2312" w:eastAsia="仿宋_GB2312"/>
          <w:sz w:val="32"/>
          <w:szCs w:val="32"/>
        </w:rPr>
      </w:pPr>
    </w:p>
    <w:p>
      <w:pPr>
        <w:spacing w:line="520" w:lineRule="exact"/>
        <w:jc w:val="center"/>
        <w:rPr>
          <w:rFonts w:hint="eastAsia" w:ascii="仿宋" w:hAnsi="仿宋" w:eastAsia="仿宋"/>
          <w:sz w:val="32"/>
          <w:szCs w:val="32"/>
        </w:rPr>
      </w:pPr>
      <w:r>
        <w:rPr>
          <w:rFonts w:hint="eastAsia" w:ascii="仿宋" w:hAnsi="仿宋" w:eastAsia="仿宋"/>
          <w:sz w:val="32"/>
          <w:szCs w:val="32"/>
        </w:rPr>
        <w:t xml:space="preserve">       </w:t>
      </w:r>
    </w:p>
    <w:p>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临淄区人民政府</w:t>
      </w:r>
    </w:p>
    <w:p>
      <w:pPr>
        <w:spacing w:line="72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关于对2020年二十大重点工作实行</w:t>
      </w:r>
    </w:p>
    <w:p>
      <w:pPr>
        <w:spacing w:line="720" w:lineRule="exact"/>
        <w:jc w:val="center"/>
        <w:rPr>
          <w:rFonts w:hint="eastAsia" w:ascii="方正小标宋简体" w:hAnsi="仿宋" w:eastAsia="方正小标宋简体"/>
          <w:sz w:val="44"/>
          <w:szCs w:val="44"/>
        </w:rPr>
      </w:pPr>
      <w:r>
        <w:rPr>
          <w:rFonts w:hint="eastAsia" w:ascii="方正小标宋简体" w:hAnsi="仿宋" w:eastAsia="方正小标宋简体"/>
          <w:sz w:val="44"/>
          <w:szCs w:val="44"/>
        </w:rPr>
        <w:t>精准督查的通知</w:t>
      </w:r>
    </w:p>
    <w:p>
      <w:pPr>
        <w:rPr>
          <w:rFonts w:hint="eastAsia" w:ascii="仿宋" w:hAnsi="仿宋" w:eastAsia="仿宋"/>
          <w:sz w:val="32"/>
          <w:szCs w:val="32"/>
        </w:rPr>
      </w:pPr>
    </w:p>
    <w:p>
      <w:pPr>
        <w:rPr>
          <w:rFonts w:hint="eastAsia" w:ascii="仿宋" w:hAnsi="仿宋" w:eastAsia="仿宋"/>
          <w:sz w:val="32"/>
          <w:szCs w:val="32"/>
        </w:rPr>
      </w:pPr>
      <w:r>
        <w:rPr>
          <w:rFonts w:hint="eastAsia" w:ascii="仿宋" w:hAnsi="仿宋" w:eastAsia="仿宋"/>
          <w:sz w:val="32"/>
          <w:szCs w:val="32"/>
        </w:rPr>
        <w:t>各镇人民政府、街道办事处，各开发区管委会，区政府各部门，有关企事业单位：</w:t>
      </w:r>
    </w:p>
    <w:p>
      <w:pPr>
        <w:ind w:firstLine="640" w:firstLineChars="200"/>
        <w:rPr>
          <w:rFonts w:hint="eastAsia" w:ascii="仿宋" w:hAnsi="仿宋" w:eastAsia="仿宋"/>
          <w:sz w:val="32"/>
          <w:szCs w:val="32"/>
        </w:rPr>
      </w:pPr>
      <w:r>
        <w:rPr>
          <w:rFonts w:hint="eastAsia" w:ascii="仿宋" w:hAnsi="仿宋" w:eastAsia="仿宋"/>
          <w:sz w:val="32"/>
          <w:szCs w:val="32"/>
        </w:rPr>
        <w:t>白平和区长在区第十八届人大四次会议上所作《政府工作报告》，从六个方面对全区2020年各项工作进行了安排部署，并提出了明确的工作目标和要求。各单位要切实提高思想认识，全力抓好会议精神的贯彻落实，确保年度工作目标任务圆满完成，为建设“家敦民富、大气精美”的现代化临淄作出积极贡献。</w:t>
      </w:r>
    </w:p>
    <w:p>
      <w:pPr>
        <w:ind w:firstLine="640" w:firstLineChars="200"/>
        <w:rPr>
          <w:rFonts w:hint="eastAsia" w:ascii="仿宋" w:hAnsi="仿宋" w:eastAsia="仿宋"/>
          <w:sz w:val="32"/>
          <w:szCs w:val="32"/>
        </w:rPr>
      </w:pPr>
      <w:r>
        <w:rPr>
          <w:rFonts w:hint="eastAsia" w:ascii="仿宋" w:hAnsi="仿宋" w:eastAsia="仿宋"/>
          <w:sz w:val="32"/>
          <w:szCs w:val="32"/>
        </w:rPr>
        <w:t>根据区政府领导要求，区政府督查室筛选确定了二十大重点工作，调度各责任单位制定了三、四季度工作目标（详见附表）。各责任单位要对照分工，迅速明确责任人，完善工作措施，狠抓推进落实，确保负责工作按期保质保量完成。</w:t>
      </w:r>
    </w:p>
    <w:p>
      <w:pPr>
        <w:ind w:firstLine="640" w:firstLineChars="200"/>
        <w:rPr>
          <w:rFonts w:hint="eastAsia" w:ascii="仿宋" w:hAnsi="仿宋" w:eastAsia="仿宋"/>
          <w:sz w:val="32"/>
          <w:szCs w:val="32"/>
        </w:rPr>
      </w:pPr>
      <w:r>
        <w:rPr>
          <w:rFonts w:hint="eastAsia" w:ascii="仿宋" w:hAnsi="仿宋" w:eastAsia="仿宋"/>
          <w:sz w:val="32"/>
          <w:szCs w:val="32"/>
        </w:rPr>
        <w:t>区政府将根据每项工作的性质特点，采用《督查进行时》电视栏目通报、实地暗访、联合督查等针对性督查方式，开展定向精准督查，确保督出实情、查出实效。每季度结束后3个工作日内，各单位要将本季度工作推进落实情况形成书面材料，要求内容简洁精炼，数字表述清楚，以纸质（须经主要负责人签字并加盖单位公章）和电子两种形式报区政府督查室。联系电话：7220589，协同办公邮箱：临淄区政府督查室。</w:t>
      </w:r>
    </w:p>
    <w:p>
      <w:pPr>
        <w:ind w:firstLine="630"/>
        <w:rPr>
          <w:rFonts w:hint="eastAsia" w:ascii="仿宋" w:hAnsi="仿宋" w:eastAsia="仿宋"/>
          <w:sz w:val="32"/>
          <w:szCs w:val="32"/>
        </w:rPr>
      </w:pPr>
    </w:p>
    <w:p>
      <w:pPr>
        <w:ind w:firstLine="640" w:firstLineChars="200"/>
        <w:rPr>
          <w:rFonts w:hint="eastAsia" w:ascii="仿宋" w:hAnsi="仿宋" w:eastAsia="仿宋" w:cs="仿宋_GB2312"/>
          <w:sz w:val="32"/>
          <w:szCs w:val="32"/>
        </w:rPr>
      </w:pPr>
      <w:r>
        <w:rPr>
          <w:rFonts w:hint="eastAsia" w:ascii="仿宋" w:hAnsi="仿宋" w:eastAsia="仿宋"/>
          <w:sz w:val="32"/>
          <w:szCs w:val="32"/>
        </w:rPr>
        <w:t>附件：</w:t>
      </w:r>
      <w:r>
        <w:rPr>
          <w:rFonts w:hint="eastAsia" w:ascii="仿宋" w:hAnsi="仿宋" w:eastAsia="仿宋" w:cs="仿宋_GB2312"/>
          <w:sz w:val="32"/>
          <w:szCs w:val="32"/>
        </w:rPr>
        <w:t>2020年区政府二十大重点工作任务目标分解表</w:t>
      </w:r>
    </w:p>
    <w:p>
      <w:pPr>
        <w:rPr>
          <w:rFonts w:hint="eastAsia" w:ascii="仿宋" w:hAnsi="仿宋" w:eastAsia="仿宋"/>
          <w:sz w:val="32"/>
          <w:szCs w:val="32"/>
        </w:rPr>
      </w:pPr>
    </w:p>
    <w:p>
      <w:pPr>
        <w:tabs>
          <w:tab w:val="left" w:pos="5490"/>
        </w:tabs>
        <w:rPr>
          <w:rFonts w:hint="eastAsia" w:ascii="仿宋" w:hAnsi="仿宋" w:eastAsia="仿宋"/>
          <w:sz w:val="32"/>
          <w:szCs w:val="32"/>
        </w:rPr>
      </w:pPr>
      <w:r>
        <w:rPr>
          <w:rFonts w:ascii="仿宋" w:hAnsi="仿宋" w:eastAsia="仿宋"/>
          <w:sz w:val="32"/>
          <w:szCs w:val="32"/>
        </w:rPr>
        <w:tab/>
      </w:r>
    </w:p>
    <w:p>
      <w:pPr>
        <w:tabs>
          <w:tab w:val="left" w:pos="7350"/>
        </w:tabs>
        <w:rPr>
          <w:rFonts w:ascii="仿宋" w:hAnsi="仿宋" w:eastAsia="仿宋"/>
          <w:sz w:val="32"/>
          <w:szCs w:val="32"/>
        </w:rPr>
      </w:pPr>
      <w:r>
        <w:rPr>
          <w:rFonts w:hint="eastAsia" w:ascii="仿宋" w:hAnsi="仿宋" w:eastAsia="仿宋"/>
          <w:sz w:val="32"/>
          <w:szCs w:val="32"/>
        </w:rPr>
        <w:t xml:space="preserve">                               </w:t>
      </w:r>
    </w:p>
    <w:p>
      <w:pPr>
        <w:tabs>
          <w:tab w:val="left" w:pos="7350"/>
        </w:tabs>
        <w:ind w:firstLine="5760" w:firstLineChars="1800"/>
        <w:rPr>
          <w:rFonts w:hint="eastAsia" w:ascii="仿宋" w:hAnsi="仿宋" w:eastAsia="仿宋"/>
          <w:sz w:val="32"/>
          <w:szCs w:val="32"/>
        </w:rPr>
      </w:pPr>
      <w:r>
        <w:rPr>
          <w:rFonts w:hint="eastAsia" w:ascii="仿宋" w:hAnsi="仿宋" w:eastAsia="仿宋"/>
          <w:sz w:val="32"/>
          <w:szCs w:val="32"/>
        </w:rPr>
        <w:t>临淄区人民政府</w:t>
      </w:r>
    </w:p>
    <w:p>
      <w:pPr>
        <w:tabs>
          <w:tab w:val="left" w:pos="7350"/>
          <w:tab w:val="left" w:pos="7770"/>
        </w:tabs>
        <w:ind w:right="-88" w:rightChars="-42" w:firstLine="4320" w:firstLineChars="1350"/>
        <w:rPr>
          <w:rFonts w:ascii="仿宋" w:hAnsi="仿宋" w:eastAsia="仿宋"/>
          <w:sz w:val="32"/>
          <w:szCs w:val="32"/>
        </w:rPr>
      </w:pPr>
      <w:r>
        <w:rPr>
          <w:rFonts w:hint="eastAsia" w:ascii="仿宋" w:hAnsi="仿宋" w:eastAsia="仿宋"/>
          <w:sz w:val="32"/>
          <w:szCs w:val="32"/>
        </w:rPr>
        <w:t xml:space="preserve">         2020年8月</w:t>
      </w:r>
      <w:r>
        <w:rPr>
          <w:rFonts w:ascii="仿宋" w:hAnsi="仿宋" w:eastAsia="仿宋"/>
          <w:sz w:val="32"/>
          <w:szCs w:val="32"/>
        </w:rPr>
        <w:t>12</w:t>
      </w:r>
      <w:r>
        <w:rPr>
          <w:rFonts w:hint="eastAsia" w:ascii="仿宋" w:hAnsi="仿宋" w:eastAsia="仿宋"/>
          <w:sz w:val="32"/>
          <w:szCs w:val="32"/>
        </w:rPr>
        <w:t>日</w:t>
      </w:r>
    </w:p>
    <w:p>
      <w:pPr>
        <w:ind w:firstLine="640" w:firstLineChars="200"/>
        <w:rPr>
          <w:rFonts w:ascii="仿宋" w:hAnsi="仿宋" w:eastAsia="仿宋" w:cs="仿宋_GB2312"/>
          <w:sz w:val="32"/>
          <w:szCs w:val="32"/>
        </w:rPr>
      </w:pPr>
      <w:r>
        <w:rPr>
          <w:rFonts w:hint="eastAsia" w:ascii="仿宋" w:hAnsi="仿宋" w:eastAsia="仿宋" w:cs="仿宋_GB2312"/>
          <w:sz w:val="32"/>
          <w:szCs w:val="32"/>
        </w:rPr>
        <w:t>（此件公开发布）</w:t>
      </w:r>
    </w:p>
    <w:p>
      <w:pPr>
        <w:pStyle w:val="2"/>
        <w:rPr>
          <w:rFonts w:hint="eastAsia" w:ascii="仿宋" w:hAnsi="仿宋" w:eastAsia="仿宋" w:cs="仿宋_GB2312"/>
          <w:kern w:val="2"/>
          <w:sz w:val="32"/>
          <w:szCs w:val="32"/>
          <w:u w:val="single"/>
        </w:rPr>
        <w:sectPr>
          <w:footerReference r:id="rId3" w:type="default"/>
          <w:footerReference r:id="rId4" w:type="even"/>
          <w:pgSz w:w="11906" w:h="16838"/>
          <w:pgMar w:top="1361" w:right="1616" w:bottom="1361" w:left="1588" w:header="851" w:footer="992" w:gutter="0"/>
          <w:cols w:space="720" w:num="1"/>
          <w:docGrid w:type="lines" w:linePitch="312" w:charSpace="0"/>
        </w:sectPr>
      </w:pPr>
    </w:p>
    <w:p>
      <w:pPr>
        <w:rPr>
          <w:rFonts w:hint="eastAsia" w:ascii="黑体" w:hAnsi="黑体" w:eastAsia="黑体" w:cs="方正小标宋简体"/>
          <w:sz w:val="32"/>
          <w:szCs w:val="32"/>
        </w:rPr>
      </w:pPr>
      <w:r>
        <w:rPr>
          <w:rFonts w:hint="eastAsia" w:ascii="黑体" w:hAnsi="黑体" w:eastAsia="黑体" w:cs="方正小标宋简体"/>
          <w:sz w:val="32"/>
          <w:szCs w:val="32"/>
        </w:rPr>
        <w:t>附件</w:t>
      </w:r>
    </w:p>
    <w:p>
      <w:pPr>
        <w:pStyle w:val="2"/>
        <w:rPr>
          <w:rFonts w:hint="eastAsia"/>
        </w:rPr>
      </w:pPr>
      <w:r>
        <w:rPr>
          <w:rFonts w:hint="eastAsia" w:ascii="方正小标宋简体" w:hAnsi="方正小标宋简体" w:cs="方正小标宋简体"/>
          <w:spacing w:val="-6"/>
        </w:rPr>
        <w:t>2020年区政府二十大重点工作任务目标分解表</w:t>
      </w:r>
    </w:p>
    <w:tbl>
      <w:tblPr>
        <w:tblStyle w:val="8"/>
        <w:tblW w:w="13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3666"/>
        <w:gridCol w:w="3690"/>
        <w:gridCol w:w="3465"/>
        <w:gridCol w:w="1110"/>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493" w:type="dxa"/>
            <w:vAlign w:val="center"/>
          </w:tcPr>
          <w:p>
            <w:pPr>
              <w:jc w:val="center"/>
              <w:rPr>
                <w:rFonts w:ascii="黑体" w:hAnsi="黑体" w:eastAsia="黑体" w:cs="黑体"/>
                <w:sz w:val="24"/>
              </w:rPr>
            </w:pPr>
            <w:r>
              <w:rPr>
                <w:rFonts w:hint="eastAsia" w:ascii="黑体" w:hAnsi="黑体" w:eastAsia="黑体" w:cs="黑体"/>
                <w:sz w:val="24"/>
              </w:rPr>
              <w:t>序号</w:t>
            </w:r>
          </w:p>
        </w:tc>
        <w:tc>
          <w:tcPr>
            <w:tcW w:w="3666" w:type="dxa"/>
            <w:vAlign w:val="center"/>
          </w:tcPr>
          <w:p>
            <w:pPr>
              <w:jc w:val="center"/>
              <w:rPr>
                <w:rFonts w:hint="eastAsia" w:ascii="黑体" w:hAnsi="黑体" w:eastAsia="黑体" w:cs="黑体"/>
                <w:sz w:val="24"/>
              </w:rPr>
            </w:pPr>
            <w:r>
              <w:rPr>
                <w:rFonts w:hint="eastAsia" w:ascii="黑体" w:hAnsi="黑体" w:eastAsia="黑体" w:cs="黑体"/>
                <w:sz w:val="24"/>
              </w:rPr>
              <w:t>年度工作任务</w:t>
            </w:r>
          </w:p>
        </w:tc>
        <w:tc>
          <w:tcPr>
            <w:tcW w:w="3690" w:type="dxa"/>
            <w:vAlign w:val="center"/>
          </w:tcPr>
          <w:p>
            <w:pPr>
              <w:jc w:val="center"/>
              <w:rPr>
                <w:rFonts w:ascii="黑体" w:hAnsi="黑体" w:eastAsia="黑体" w:cs="黑体"/>
                <w:sz w:val="24"/>
              </w:rPr>
            </w:pPr>
            <w:r>
              <w:rPr>
                <w:rFonts w:hint="eastAsia" w:ascii="黑体" w:hAnsi="黑体" w:eastAsia="黑体" w:cs="黑体"/>
                <w:sz w:val="24"/>
              </w:rPr>
              <w:t>第三季度目标</w:t>
            </w:r>
          </w:p>
        </w:tc>
        <w:tc>
          <w:tcPr>
            <w:tcW w:w="3465" w:type="dxa"/>
            <w:vAlign w:val="center"/>
          </w:tcPr>
          <w:p>
            <w:pPr>
              <w:jc w:val="center"/>
              <w:rPr>
                <w:rFonts w:ascii="黑体" w:hAnsi="黑体" w:eastAsia="黑体" w:cs="黑体"/>
                <w:sz w:val="24"/>
              </w:rPr>
            </w:pPr>
            <w:r>
              <w:rPr>
                <w:rFonts w:hint="eastAsia" w:ascii="黑体" w:hAnsi="黑体" w:eastAsia="黑体" w:cs="黑体"/>
                <w:sz w:val="24"/>
              </w:rPr>
              <w:t>第四季度目标</w:t>
            </w:r>
          </w:p>
        </w:tc>
        <w:tc>
          <w:tcPr>
            <w:tcW w:w="1110" w:type="dxa"/>
            <w:vAlign w:val="center"/>
          </w:tcPr>
          <w:p>
            <w:pPr>
              <w:jc w:val="center"/>
              <w:rPr>
                <w:rFonts w:hint="eastAsia" w:ascii="黑体" w:hAnsi="黑体" w:eastAsia="黑体" w:cs="黑体"/>
                <w:sz w:val="24"/>
              </w:rPr>
            </w:pPr>
            <w:r>
              <w:rPr>
                <w:rFonts w:hint="eastAsia" w:ascii="黑体" w:hAnsi="黑体" w:eastAsia="黑体" w:cs="黑体"/>
                <w:sz w:val="24"/>
              </w:rPr>
              <w:t>责任  领导</w:t>
            </w:r>
          </w:p>
        </w:tc>
        <w:tc>
          <w:tcPr>
            <w:tcW w:w="1530" w:type="dxa"/>
            <w:vAlign w:val="center"/>
          </w:tcPr>
          <w:p>
            <w:pPr>
              <w:jc w:val="center"/>
              <w:rPr>
                <w:rFonts w:ascii="黑体" w:hAnsi="黑体" w:eastAsia="黑体" w:cs="黑体"/>
                <w:sz w:val="24"/>
              </w:rPr>
            </w:pPr>
            <w:r>
              <w:rPr>
                <w:rFonts w:hint="eastAsia" w:ascii="黑体" w:hAnsi="黑体" w:eastAsia="黑体" w:cs="黑体"/>
                <w:sz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493" w:type="dxa"/>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紧紧围绕“五个优化”，深入推进智能化技术改造，新培育上云企业520家、智慧示范工厂5家、智能标杆车间30个。培优做强企业主体，新增省级以上单项冠军、隐形冠军、瞪羚企业5家以上。</w:t>
            </w:r>
          </w:p>
        </w:tc>
        <w:tc>
          <w:tcPr>
            <w:tcW w:w="3690" w:type="dxa"/>
          </w:tcPr>
          <w:p>
            <w:pPr>
              <w:rPr>
                <w:rFonts w:hint="eastAsia" w:ascii="仿宋" w:hAnsi="仿宋" w:eastAsia="仿宋" w:cs="宋体"/>
                <w:sz w:val="24"/>
              </w:rPr>
            </w:pPr>
            <w:r>
              <w:rPr>
                <w:rFonts w:hint="eastAsia" w:ascii="仿宋" w:hAnsi="仿宋" w:eastAsia="仿宋" w:cs="宋体"/>
                <w:sz w:val="24"/>
              </w:rPr>
              <w:t>开展规模以上工业企业智能化技术改造诊断工作，公布第二批智能化改造服务商；通过座谈会、登门拜访等多种形式，提高企业诊断、技改积极性，推动工作顺利开展。对前期已申报的国家级单项冠军企业、省级单项冠军企业、第二批国家专精特新“小巨人”企业加大跟踪对接，通过开展工信云讲堂等形式，做好申报瞪羚企业的前期政策宣传工作。</w:t>
            </w:r>
          </w:p>
          <w:p>
            <w:pPr>
              <w:rPr>
                <w:rFonts w:hint="eastAsia" w:ascii="仿宋" w:hAnsi="仿宋" w:eastAsia="仿宋" w:cs="仿宋"/>
                <w:sz w:val="24"/>
              </w:rPr>
            </w:pPr>
          </w:p>
        </w:tc>
        <w:tc>
          <w:tcPr>
            <w:tcW w:w="3465" w:type="dxa"/>
            <w:vAlign w:val="center"/>
          </w:tcPr>
          <w:p>
            <w:pPr>
              <w:rPr>
                <w:rFonts w:ascii="仿宋" w:hAnsi="仿宋" w:eastAsia="仿宋" w:cs="宋体"/>
                <w:sz w:val="24"/>
              </w:rPr>
            </w:pPr>
            <w:r>
              <w:rPr>
                <w:rFonts w:hint="eastAsia" w:ascii="仿宋" w:hAnsi="仿宋" w:eastAsia="仿宋" w:cs="宋体"/>
                <w:sz w:val="24"/>
              </w:rPr>
              <w:t>除大武地下水富集区“两区”内需搬迁拆除企业、长期关停企业、行政区划划转企业等无法实施诊断的企业外，组织其余规上企业智能化改造诊断全覆盖。组织企业积极申报智慧工厂、智能车间，完成年度目标。积极对上对接沟通，及时了解申报进程，查缺补漏，年内新增省级及以上单项冠军、瞪羚企业、“小巨人”企业5家以上。</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李 玲</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区工信局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493" w:type="dxa"/>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实施好总投资364亿元的78个重点技改项目，技改投资力争突破100亿元。加快推进总投资855亿元的100个市区重点项目，确保实现“两个100%”。</w:t>
            </w:r>
          </w:p>
        </w:tc>
        <w:tc>
          <w:tcPr>
            <w:tcW w:w="3690" w:type="dxa"/>
            <w:vAlign w:val="center"/>
          </w:tcPr>
          <w:p>
            <w:pPr>
              <w:rPr>
                <w:rFonts w:hint="eastAsia" w:ascii="仿宋" w:hAnsi="仿宋" w:eastAsia="仿宋" w:cs="仿宋"/>
                <w:sz w:val="24"/>
              </w:rPr>
            </w:pPr>
            <w:r>
              <w:rPr>
                <w:rFonts w:hint="eastAsia" w:ascii="仿宋" w:hAnsi="仿宋" w:eastAsia="仿宋" w:cs="宋体"/>
                <w:sz w:val="24"/>
              </w:rPr>
              <w:t>做好市区重点技改项目调度服务推动工作，重点技改项目投资力争达到56亿元。</w:t>
            </w:r>
            <w:r>
              <w:rPr>
                <w:rFonts w:hint="eastAsia" w:ascii="仿宋" w:hAnsi="仿宋" w:eastAsia="仿宋" w:cs="仿宋"/>
                <w:sz w:val="24"/>
              </w:rPr>
              <w:t>市区重点建设类项目年度投资完成率70%以上，开工率达到90%以上。</w:t>
            </w:r>
          </w:p>
        </w:tc>
        <w:tc>
          <w:tcPr>
            <w:tcW w:w="3465" w:type="dxa"/>
            <w:vAlign w:val="center"/>
          </w:tcPr>
          <w:p>
            <w:pPr>
              <w:rPr>
                <w:rFonts w:ascii="仿宋" w:hAnsi="仿宋" w:eastAsia="仿宋" w:cs="宋体"/>
                <w:sz w:val="24"/>
              </w:rPr>
            </w:pPr>
            <w:r>
              <w:rPr>
                <w:rFonts w:hint="eastAsia" w:ascii="仿宋" w:hAnsi="仿宋" w:eastAsia="仿宋" w:cs="宋体"/>
                <w:sz w:val="24"/>
              </w:rPr>
              <w:t>推动智能化改造工作，选树典型项目，重点技改项目投资完成年度目标。</w:t>
            </w:r>
            <w:r>
              <w:rPr>
                <w:rFonts w:hint="eastAsia" w:ascii="仿宋" w:hAnsi="仿宋" w:eastAsia="仿宋" w:cs="仿宋"/>
                <w:sz w:val="24"/>
              </w:rPr>
              <w:t>市区重点建设类项目年度投资完成率、开工率实现“两个100%”。</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王立明李  玲</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区重点项目服务中心  区工信局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493" w:type="dxa"/>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依托智能装备产业园，完善配套高端化装备制造、智能化核心部件、新能源集成模块三大链条，构建集研发设计、生产制造、实验测试、标准制定、应用展示“五位一体”的智慧标杆园区。依托大数据产业园，加强与华为、同方等知名企业的战略合作，打造先进的数据应用产业平台、高清视频物联基地。依托集成电路新材料产业园，推动中电科十二所、四十九所的核心技术转化应用，打造引领全国的第三代半导体新材料产业高地。依托新医药产业园，借力疫情防控催生的新机遇，带动新医药产业规模扩张、提档升级。</w:t>
            </w:r>
          </w:p>
        </w:tc>
        <w:tc>
          <w:tcPr>
            <w:tcW w:w="3690" w:type="dxa"/>
            <w:vAlign w:val="center"/>
          </w:tcPr>
          <w:p>
            <w:pPr>
              <w:rPr>
                <w:rFonts w:hint="eastAsia" w:eastAsia="仿宋_GB2312"/>
                <w:sz w:val="24"/>
              </w:rPr>
            </w:pPr>
            <w:r>
              <w:rPr>
                <w:rFonts w:eastAsia="仿宋_GB2312"/>
                <w:b/>
                <w:bCs/>
                <w:sz w:val="24"/>
                <w:shd w:val="clear" w:color="auto" w:fill="FFFFFF"/>
              </w:rPr>
              <w:t>智能装备产业园：</w:t>
            </w:r>
            <w:r>
              <w:rPr>
                <w:rFonts w:eastAsia="仿宋_GB2312"/>
                <w:sz w:val="24"/>
                <w:shd w:val="clear" w:color="auto" w:fill="FFFFFF"/>
              </w:rPr>
              <w:t>基础设施建设基本完成，4家入园企业设备全部进场，部分产品试生产。</w:t>
            </w:r>
            <w:r>
              <w:rPr>
                <w:rFonts w:eastAsia="仿宋_GB2312"/>
                <w:b/>
                <w:bCs/>
                <w:sz w:val="24"/>
                <w:shd w:val="clear" w:color="auto" w:fill="FFFFFF"/>
              </w:rPr>
              <w:t>大数据产业园：</w:t>
            </w:r>
            <w:r>
              <w:rPr>
                <w:rFonts w:hint="eastAsia" w:eastAsia="仿宋_GB2312"/>
                <w:sz w:val="24"/>
                <w:shd w:val="clear" w:color="auto" w:fill="FFFFFF"/>
              </w:rPr>
              <w:t>完善鲲鹏（华为）产业创新基地项目展厅，推进产业创新基地签订合作协议</w:t>
            </w:r>
            <w:r>
              <w:rPr>
                <w:rFonts w:eastAsia="仿宋_GB2312"/>
                <w:sz w:val="24"/>
                <w:shd w:val="clear" w:color="auto" w:fill="FFFFFF"/>
              </w:rPr>
              <w:t>。</w:t>
            </w:r>
            <w:r>
              <w:rPr>
                <w:rFonts w:eastAsia="仿宋_GB2312"/>
                <w:b/>
                <w:bCs/>
                <w:sz w:val="24"/>
                <w:shd w:val="clear" w:color="auto" w:fill="FFFFFF"/>
              </w:rPr>
              <w:t>半导体材料产业园：</w:t>
            </w:r>
            <w:r>
              <w:rPr>
                <w:rFonts w:eastAsia="仿宋_GB2312"/>
                <w:sz w:val="24"/>
                <w:shd w:val="clear" w:color="auto" w:fill="FFFFFF"/>
              </w:rPr>
              <w:t>落实入园项目选址。</w:t>
            </w:r>
            <w:r>
              <w:rPr>
                <w:rFonts w:eastAsia="仿宋_GB2312"/>
                <w:b/>
                <w:bCs/>
                <w:sz w:val="24"/>
                <w:shd w:val="clear" w:color="auto" w:fill="FFFFFF"/>
              </w:rPr>
              <w:t>新医药产业园</w:t>
            </w:r>
            <w:r>
              <w:rPr>
                <w:rFonts w:eastAsia="仿宋_GB2312"/>
                <w:sz w:val="24"/>
                <w:shd w:val="clear" w:color="auto" w:fill="FFFFFF"/>
              </w:rPr>
              <w:t>：金银谷产业园2个项目动工建设，新引进1个医药类项目；永聚科技1个车间设备安装到位。</w:t>
            </w:r>
          </w:p>
        </w:tc>
        <w:tc>
          <w:tcPr>
            <w:tcW w:w="3465" w:type="dxa"/>
            <w:vAlign w:val="center"/>
          </w:tcPr>
          <w:p>
            <w:pPr>
              <w:rPr>
                <w:rFonts w:eastAsia="仿宋_GB2312"/>
                <w:sz w:val="24"/>
              </w:rPr>
            </w:pPr>
            <w:r>
              <w:rPr>
                <w:rFonts w:eastAsia="仿宋_GB2312"/>
                <w:b/>
                <w:bCs/>
                <w:sz w:val="24"/>
                <w:shd w:val="clear" w:color="auto" w:fill="FFFFFF"/>
              </w:rPr>
              <w:t>智能装备产业园：</w:t>
            </w:r>
            <w:r>
              <w:rPr>
                <w:rFonts w:eastAsia="仿宋_GB2312"/>
                <w:sz w:val="24"/>
                <w:shd w:val="clear" w:color="auto" w:fill="FFFFFF"/>
              </w:rPr>
              <w:t>基础设施建设及配套工程建设完成；4家入园企业部分产品达到生产条件。</w:t>
            </w:r>
            <w:r>
              <w:rPr>
                <w:rFonts w:eastAsia="仿宋_GB2312"/>
                <w:b/>
                <w:bCs/>
                <w:sz w:val="24"/>
                <w:shd w:val="clear" w:color="auto" w:fill="FFFFFF"/>
              </w:rPr>
              <w:t>大数据产业园：</w:t>
            </w:r>
            <w:r>
              <w:rPr>
                <w:rFonts w:eastAsia="仿宋_GB2312"/>
                <w:sz w:val="24"/>
                <w:shd w:val="clear" w:color="auto" w:fill="FFFFFF"/>
              </w:rPr>
              <w:t>爱特云翔IDC大数据产业园</w:t>
            </w:r>
            <w:r>
              <w:rPr>
                <w:rFonts w:hint="eastAsia" w:eastAsia="仿宋_GB2312"/>
                <w:sz w:val="24"/>
                <w:shd w:val="clear" w:color="auto" w:fill="FFFFFF"/>
              </w:rPr>
              <w:t>二期项目主体建设完成；鲲鹏（华为）产业创新基地办理前期手续</w:t>
            </w:r>
            <w:r>
              <w:rPr>
                <w:rFonts w:eastAsia="仿宋_GB2312"/>
                <w:sz w:val="24"/>
                <w:shd w:val="clear" w:color="auto" w:fill="FFFFFF"/>
              </w:rPr>
              <w:t>。</w:t>
            </w:r>
            <w:r>
              <w:rPr>
                <w:rFonts w:eastAsia="仿宋_GB2312"/>
                <w:b/>
                <w:bCs/>
                <w:sz w:val="24"/>
                <w:shd w:val="clear" w:color="auto" w:fill="FFFFFF"/>
              </w:rPr>
              <w:t>半导体材料产业园：</w:t>
            </w:r>
            <w:r>
              <w:rPr>
                <w:rFonts w:eastAsia="仿宋_GB2312"/>
                <w:sz w:val="24"/>
                <w:shd w:val="clear" w:color="auto" w:fill="FFFFFF"/>
              </w:rPr>
              <w:t>办理入园项目前期</w:t>
            </w:r>
            <w:r>
              <w:rPr>
                <w:rFonts w:hint="eastAsia" w:eastAsia="仿宋_GB2312"/>
                <w:sz w:val="24"/>
                <w:shd w:val="clear" w:color="auto" w:fill="FFFFFF"/>
              </w:rPr>
              <w:t>手续。</w:t>
            </w:r>
            <w:r>
              <w:rPr>
                <w:rFonts w:eastAsia="仿宋_GB2312"/>
                <w:b/>
                <w:bCs/>
                <w:sz w:val="24"/>
                <w:shd w:val="clear" w:color="auto" w:fill="FFFFFF"/>
              </w:rPr>
              <w:t>新医药产业园：</w:t>
            </w:r>
            <w:r>
              <w:rPr>
                <w:rFonts w:eastAsia="仿宋_GB2312"/>
                <w:sz w:val="24"/>
                <w:shd w:val="clear" w:color="auto" w:fill="FFFFFF"/>
              </w:rPr>
              <w:t>金银谷产业园1个新项目投产；永聚科技1个车间投产；蓝帆医疗年产300亿只丁腈手套项目开工建设</w:t>
            </w:r>
            <w:r>
              <w:rPr>
                <w:rFonts w:eastAsia="仿宋_GB2312"/>
                <w:sz w:val="24"/>
              </w:rPr>
              <w:t>。</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王立明</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临淄经济开发区管委会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4" w:hRule="atLeast"/>
        </w:trPr>
        <w:tc>
          <w:tcPr>
            <w:tcW w:w="493" w:type="dxa"/>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推进落实“六个一”平台招引机制，充分发挥4家专业招商公司作用，瞄准国企央企、世界500强、民企500强等龙头企业和知名科研院所，积极组织招商推介活动，力争实际到位外来资金突破200亿元。抓好基金招商，加快构建“1+4+N”基金体系。</w:t>
            </w:r>
          </w:p>
        </w:tc>
        <w:tc>
          <w:tcPr>
            <w:tcW w:w="3690" w:type="dxa"/>
            <w:vAlign w:val="center"/>
          </w:tcPr>
          <w:p>
            <w:pPr>
              <w:rPr>
                <w:rFonts w:hint="eastAsia" w:eastAsia="仿宋"/>
                <w:sz w:val="24"/>
                <w:shd w:val="clear" w:color="auto" w:fill="FFFFFF"/>
              </w:rPr>
            </w:pPr>
            <w:r>
              <w:rPr>
                <w:rFonts w:eastAsia="仿宋_GB2312"/>
                <w:sz w:val="24"/>
                <w:shd w:val="clear" w:color="auto" w:fill="FFFFFF"/>
              </w:rPr>
              <w:t>确定临淄经济开发</w:t>
            </w:r>
            <w:r>
              <w:rPr>
                <w:rFonts w:hint="eastAsia" w:eastAsia="仿宋_GB2312"/>
                <w:sz w:val="24"/>
                <w:shd w:val="clear" w:color="auto" w:fill="FFFFFF"/>
              </w:rPr>
              <w:t>区</w:t>
            </w:r>
            <w:r>
              <w:rPr>
                <w:rFonts w:eastAsia="仿宋_GB2312"/>
                <w:sz w:val="24"/>
                <w:shd w:val="clear" w:color="auto" w:fill="FFFFFF"/>
              </w:rPr>
              <w:t>规划范围，“四新”产业服务组到位开展工作，临淄区产业会客厅全面运行，4家专业招商公司按照各自园区政策开展招商活动。</w:t>
            </w:r>
            <w:r>
              <w:rPr>
                <w:rFonts w:hint="eastAsia" w:eastAsia="仿宋_GB2312"/>
                <w:sz w:val="24"/>
                <w:shd w:val="clear" w:color="auto" w:fill="FFFFFF"/>
              </w:rPr>
              <w:t>加大重点在谈项目沟通力度，推动优质项目签约，完成实际到位外来资金150亿元。</w:t>
            </w:r>
            <w:r>
              <w:rPr>
                <w:rFonts w:hint="eastAsia" w:ascii="仿宋" w:hAnsi="仿宋" w:eastAsia="仿宋" w:cs="仿宋"/>
                <w:sz w:val="24"/>
              </w:rPr>
              <w:t>力争成立1支产业基金，支持我区四强产业发展。</w:t>
            </w:r>
          </w:p>
        </w:tc>
        <w:tc>
          <w:tcPr>
            <w:tcW w:w="3465" w:type="dxa"/>
            <w:vAlign w:val="center"/>
          </w:tcPr>
          <w:p>
            <w:pPr>
              <w:rPr>
                <w:rFonts w:hint="eastAsia" w:eastAsia="仿宋_GB2312"/>
                <w:sz w:val="24"/>
                <w:shd w:val="clear" w:color="auto" w:fill="FFFFFF"/>
              </w:rPr>
            </w:pPr>
            <w:r>
              <w:rPr>
                <w:rFonts w:eastAsia="仿宋_GB2312"/>
                <w:sz w:val="24"/>
                <w:shd w:val="clear" w:color="auto" w:fill="FFFFFF"/>
              </w:rPr>
              <w:t>4家专业招商公司组织招商洽谈24家次以上，</w:t>
            </w:r>
            <w:r>
              <w:rPr>
                <w:rFonts w:hint="eastAsia" w:eastAsia="仿宋_GB2312"/>
                <w:sz w:val="24"/>
                <w:shd w:val="clear" w:color="auto" w:fill="FFFFFF"/>
              </w:rPr>
              <w:t>经济开发区</w:t>
            </w:r>
            <w:r>
              <w:rPr>
                <w:rFonts w:eastAsia="仿宋_GB2312"/>
                <w:sz w:val="24"/>
                <w:shd w:val="clear" w:color="auto" w:fill="FFFFFF"/>
              </w:rPr>
              <w:t>实现2个以上新项目签约、1个以上新项目落地建设。</w:t>
            </w:r>
            <w:r>
              <w:rPr>
                <w:rFonts w:hint="eastAsia" w:eastAsia="仿宋_GB2312"/>
                <w:sz w:val="24"/>
                <w:shd w:val="clear" w:color="auto" w:fill="FFFFFF"/>
              </w:rPr>
              <w:t>完成实际到位外来资金150亿元。</w:t>
            </w:r>
            <w:r>
              <w:rPr>
                <w:rFonts w:hint="eastAsia" w:ascii="仿宋" w:hAnsi="仿宋" w:eastAsia="仿宋" w:cs="宋体"/>
                <w:sz w:val="24"/>
              </w:rPr>
              <w:t>力争完成“1+4+N”基金体系中4只基金设立，借助基金的资金和资源优势导入符合我区发展规划的优质企业和项目。</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王立明李  玲</w:t>
            </w:r>
          </w:p>
        </w:tc>
        <w:tc>
          <w:tcPr>
            <w:tcW w:w="1530" w:type="dxa"/>
            <w:vAlign w:val="center"/>
          </w:tcPr>
          <w:p>
            <w:pPr>
              <w:jc w:val="center"/>
              <w:rPr>
                <w:rFonts w:ascii="仿宋" w:hAnsi="仿宋" w:eastAsia="仿宋" w:cs="宋体"/>
                <w:sz w:val="24"/>
              </w:rPr>
            </w:pPr>
            <w:r>
              <w:rPr>
                <w:rFonts w:hint="eastAsia" w:ascii="仿宋" w:hAnsi="仿宋" w:eastAsia="仿宋" w:cs="宋体"/>
                <w:sz w:val="24"/>
              </w:rPr>
              <w:t>临淄经济开发区管委会      区投资促进中心     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93" w:type="dxa"/>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加快中央和省环保督察及“回头看”反馈问题整改，坚决打赢污染防治攻坚战。实施230条工业炉窑达标整治，完成气代煤改造1.6万户，压减燃煤28万吨以上。力争空气质量良好率达到64%以上。大力推进“全员环保”。</w:t>
            </w:r>
          </w:p>
        </w:tc>
        <w:tc>
          <w:tcPr>
            <w:tcW w:w="3690" w:type="dxa"/>
            <w:vAlign w:val="center"/>
          </w:tcPr>
          <w:p>
            <w:pPr>
              <w:rPr>
                <w:rFonts w:hint="eastAsia" w:ascii="仿宋" w:hAnsi="仿宋" w:eastAsia="仿宋" w:cs="仿宋"/>
                <w:color w:val="FF0000"/>
                <w:sz w:val="24"/>
              </w:rPr>
            </w:pPr>
            <w:r>
              <w:rPr>
                <w:rFonts w:hint="eastAsia" w:ascii="仿宋" w:hAnsi="仿宋" w:eastAsia="仿宋" w:cs="仿宋"/>
                <w:sz w:val="24"/>
                <w:shd w:val="clear" w:color="auto" w:fill="FFFFFF"/>
              </w:rPr>
              <w:t>确保中央和省环保督察及“回头看”反馈问题整改完成一个销号一个，完成生活垃圾、危废和医废处理能力不足问题整改。加快推进污染防治攻坚战，完成挥发性有机物治理，推进工业炉窑达标综合整治，</w:t>
            </w:r>
            <w:r>
              <w:rPr>
                <w:rFonts w:hint="eastAsia" w:ascii="仿宋" w:hAnsi="仿宋" w:eastAsia="仿宋" w:cs="宋体"/>
                <w:sz w:val="24"/>
              </w:rPr>
              <w:t>对照《产业结构调整目录（2019年本）》组织对属于“淘汰类”工业炉窑进行淘汰。</w:t>
            </w:r>
            <w:r>
              <w:rPr>
                <w:rFonts w:hint="eastAsia" w:ascii="仿宋" w:hAnsi="仿宋" w:eastAsia="仿宋" w:cs="仿宋"/>
                <w:sz w:val="24"/>
              </w:rPr>
              <w:t>完成气代煤改造1.3万户。持续压减燃煤，2019和2020年累计压减煤炭消费28.5万吨。</w:t>
            </w:r>
            <w:r>
              <w:rPr>
                <w:rFonts w:hint="eastAsia" w:ascii="仿宋" w:hAnsi="仿宋" w:eastAsia="仿宋" w:cs="仿宋"/>
                <w:sz w:val="24"/>
                <w:shd w:val="clear" w:color="auto" w:fill="FFFFFF"/>
              </w:rPr>
              <w:t>按照“全员环保”实施意见，推动“全员环保”在我区的实施。</w:t>
            </w:r>
          </w:p>
        </w:tc>
        <w:tc>
          <w:tcPr>
            <w:tcW w:w="3465" w:type="dxa"/>
            <w:vAlign w:val="center"/>
          </w:tcPr>
          <w:p>
            <w:pPr>
              <w:rPr>
                <w:rFonts w:ascii="仿宋" w:hAnsi="仿宋" w:eastAsia="仿宋" w:cs="宋体"/>
                <w:color w:val="FF0000"/>
                <w:sz w:val="24"/>
              </w:rPr>
            </w:pPr>
            <w:r>
              <w:rPr>
                <w:rFonts w:hint="eastAsia" w:ascii="仿宋" w:hAnsi="仿宋" w:eastAsia="仿宋" w:cs="仿宋"/>
                <w:sz w:val="24"/>
                <w:shd w:val="clear" w:color="auto" w:fill="FFFFFF"/>
              </w:rPr>
              <w:t>确保中央和省环保督察及“回头看”反馈问题整改完成一个销号一个，按期完成今年年底到期的反馈问题整改。完成230条工业炉窑达标整治，</w:t>
            </w:r>
            <w:r>
              <w:rPr>
                <w:rFonts w:hint="eastAsia" w:ascii="仿宋" w:hAnsi="仿宋" w:eastAsia="仿宋" w:cs="宋体"/>
                <w:sz w:val="24"/>
              </w:rPr>
              <w:t>监督指导企业完成“淘汰类”工业炉窑的淘汰工作。</w:t>
            </w:r>
            <w:r>
              <w:rPr>
                <w:rFonts w:hint="eastAsia" w:ascii="仿宋" w:hAnsi="仿宋" w:eastAsia="仿宋" w:cs="仿宋"/>
                <w:sz w:val="24"/>
              </w:rPr>
              <w:t>完成气代煤改造1.6万户。2019和2020年累计压减煤炭消费38万吨，完成上级考核任务。</w:t>
            </w:r>
            <w:r>
              <w:rPr>
                <w:rFonts w:hint="eastAsia" w:ascii="仿宋" w:hAnsi="仿宋" w:eastAsia="仿宋" w:cs="仿宋"/>
                <w:sz w:val="24"/>
                <w:shd w:val="clear" w:color="auto" w:fill="FFFFFF"/>
              </w:rPr>
              <w:t>完成全市下达的污染防治攻坚战目标任务，空气质量良好率达到64%。</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王立明李  玲王俊涛</w:t>
            </w:r>
          </w:p>
        </w:tc>
        <w:tc>
          <w:tcPr>
            <w:tcW w:w="1530" w:type="dxa"/>
            <w:vAlign w:val="center"/>
          </w:tcPr>
          <w:p>
            <w:pPr>
              <w:jc w:val="center"/>
              <w:rPr>
                <w:rFonts w:ascii="仿宋" w:hAnsi="仿宋" w:eastAsia="仿宋" w:cs="宋体"/>
                <w:sz w:val="24"/>
              </w:rPr>
            </w:pPr>
            <w:r>
              <w:rPr>
                <w:rFonts w:hint="eastAsia" w:ascii="仿宋" w:hAnsi="仿宋" w:eastAsia="仿宋" w:cs="宋体"/>
                <w:sz w:val="24"/>
              </w:rPr>
              <w:t>临淄生态环境分局   区工信局  区发改局  区住建局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 w:type="dxa"/>
            <w:vAlign w:val="center"/>
          </w:tcPr>
          <w:p>
            <w:pPr>
              <w:jc w:val="center"/>
              <w:rPr>
                <w:rFonts w:hint="eastAsia" w:ascii="仿宋" w:hAnsi="仿宋" w:eastAsia="仿宋" w:cs="仿宋"/>
                <w:sz w:val="24"/>
              </w:rPr>
            </w:pPr>
            <w:r>
              <w:rPr>
                <w:rFonts w:hint="eastAsia" w:ascii="仿宋" w:hAnsi="仿宋" w:eastAsia="仿宋" w:cs="仿宋"/>
                <w:sz w:val="24"/>
              </w:rPr>
              <w:t>6</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坚决完成大武地下水富集区内企业拆除任务，抓好搬迁企业土壤污染检测和生态修复治理。加强危险废物全过程监管，建成投用危废医废综合处置中心、管仲环保固废处置项目。</w:t>
            </w:r>
          </w:p>
        </w:tc>
        <w:tc>
          <w:tcPr>
            <w:tcW w:w="3690" w:type="dxa"/>
            <w:vAlign w:val="center"/>
          </w:tcPr>
          <w:p>
            <w:pPr>
              <w:rPr>
                <w:rFonts w:hint="eastAsia" w:ascii="仿宋" w:hAnsi="仿宋" w:eastAsia="仿宋" w:cs="宋体"/>
                <w:sz w:val="24"/>
              </w:rPr>
            </w:pPr>
            <w:r>
              <w:rPr>
                <w:rFonts w:hint="eastAsia" w:ascii="仿宋" w:hAnsi="仿宋" w:eastAsia="仿宋" w:cs="仿宋"/>
                <w:sz w:val="24"/>
                <w:shd w:val="clear" w:color="auto" w:fill="FFFFFF"/>
              </w:rPr>
              <w:t>编制完成两区土壤污染状况调查方案并进行专家评审。开展危险废物专项整治行动，进一步提升危险废物监管水平，完成淄博首拓环境有限公司危废项目及医废项目的基建工作，管仲环保危废填埋场项目建设完成60%。</w:t>
            </w:r>
            <w:r>
              <w:rPr>
                <w:rFonts w:hint="eastAsia" w:ascii="仿宋" w:hAnsi="仿宋" w:eastAsia="仿宋" w:cs="宋体"/>
                <w:sz w:val="24"/>
              </w:rPr>
              <w:t>9月份推进非化工企业的拆除工作；督促相关镇办启动两区内化工企业的关停拆除工作。</w:t>
            </w:r>
          </w:p>
        </w:tc>
        <w:tc>
          <w:tcPr>
            <w:tcW w:w="3465" w:type="dxa"/>
            <w:vAlign w:val="center"/>
          </w:tcPr>
          <w:p>
            <w:pPr>
              <w:rPr>
                <w:rFonts w:hint="eastAsia" w:ascii="仿宋" w:hAnsi="仿宋" w:eastAsia="仿宋" w:cs="宋体"/>
                <w:sz w:val="24"/>
              </w:rPr>
            </w:pPr>
            <w:r>
              <w:rPr>
                <w:rFonts w:hint="eastAsia" w:ascii="仿宋" w:hAnsi="仿宋" w:eastAsia="仿宋" w:cs="宋体"/>
                <w:sz w:val="24"/>
              </w:rPr>
              <w:t>完成两区内企业拆除工作</w:t>
            </w:r>
            <w:r>
              <w:rPr>
                <w:rFonts w:hint="eastAsia" w:ascii="仿宋" w:hAnsi="仿宋" w:eastAsia="仿宋" w:cs="仿宋"/>
                <w:sz w:val="24"/>
                <w:shd w:val="clear" w:color="auto" w:fill="FFFFFF"/>
              </w:rPr>
              <w:t>，启动土壤污染状况调查，完成调查招标，并分批次有序开展土壤污染状况调查。推广省生态环境大数据平台固废监管系统，用好产废台账记录、转移联单申请等功能。确保淄博首拓环境有限公司危废项目投入试运行，管仲环保危废填埋项目完成基建工作。</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王立明李  玲</w:t>
            </w:r>
          </w:p>
        </w:tc>
        <w:tc>
          <w:tcPr>
            <w:tcW w:w="1530" w:type="dxa"/>
            <w:vAlign w:val="center"/>
          </w:tcPr>
          <w:p>
            <w:pPr>
              <w:jc w:val="center"/>
              <w:rPr>
                <w:rFonts w:ascii="仿宋" w:hAnsi="仿宋" w:eastAsia="仿宋" w:cs="宋体"/>
                <w:sz w:val="24"/>
              </w:rPr>
            </w:pPr>
            <w:r>
              <w:rPr>
                <w:rFonts w:hint="eastAsia" w:ascii="仿宋" w:hAnsi="仿宋" w:eastAsia="仿宋" w:cs="宋体"/>
                <w:sz w:val="24"/>
              </w:rPr>
              <w:t>区工信局 临淄生态环境分局   金山镇人民政府     金岭回族镇人民政府 辛店街道办事处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7</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加强矿山资源监管，全面完成废弃矿山生态修复任务。持续开展国土绿化行动，新增绿化造林5000亩。</w:t>
            </w:r>
          </w:p>
        </w:tc>
        <w:tc>
          <w:tcPr>
            <w:tcW w:w="3690" w:type="dxa"/>
            <w:vAlign w:val="center"/>
          </w:tcPr>
          <w:p>
            <w:pPr>
              <w:rPr>
                <w:rFonts w:hint="eastAsia" w:ascii="仿宋" w:hAnsi="仿宋" w:eastAsia="仿宋" w:cs="仿宋"/>
                <w:sz w:val="24"/>
                <w:shd w:val="clear" w:color="auto" w:fill="FFFFFF"/>
              </w:rPr>
            </w:pPr>
            <w:r>
              <w:rPr>
                <w:rFonts w:hint="eastAsia" w:ascii="仿宋" w:hAnsi="仿宋" w:eastAsia="仿宋" w:cs="仿宋"/>
                <w:sz w:val="24"/>
                <w:shd w:val="clear" w:color="auto" w:fill="FFFFFF"/>
              </w:rPr>
              <w:t>完成成俊石料厂、韩家石料厂等15处露天矿山生态修复任务；</w:t>
            </w:r>
            <w:r>
              <w:rPr>
                <w:rFonts w:hint="eastAsia" w:ascii="仿宋" w:hAnsi="仿宋" w:eastAsia="仿宋" w:cs="仿宋"/>
                <w:sz w:val="24"/>
              </w:rPr>
              <w:t>完成新增绿化造林，做好管护工作。</w:t>
            </w:r>
          </w:p>
        </w:tc>
        <w:tc>
          <w:tcPr>
            <w:tcW w:w="3465" w:type="dxa"/>
            <w:vAlign w:val="center"/>
          </w:tcPr>
          <w:p>
            <w:pPr>
              <w:rPr>
                <w:rFonts w:hint="eastAsia" w:ascii="仿宋" w:hAnsi="仿宋" w:eastAsia="仿宋" w:cs="仿宋"/>
                <w:sz w:val="24"/>
                <w:shd w:val="clear" w:color="auto" w:fill="FFFFFF"/>
              </w:rPr>
            </w:pPr>
            <w:r>
              <w:rPr>
                <w:rFonts w:hint="eastAsia" w:ascii="仿宋" w:hAnsi="仿宋" w:eastAsia="仿宋" w:cs="仿宋"/>
                <w:sz w:val="24"/>
                <w:shd w:val="clear" w:color="auto" w:fill="FFFFFF"/>
              </w:rPr>
              <w:t>完成传利石料厂、鑫华石料厂等10处露天矿山生态修复任务；完成45处矿山图斑治理任务；</w:t>
            </w:r>
            <w:r>
              <w:rPr>
                <w:rFonts w:hint="eastAsia" w:ascii="仿宋" w:hAnsi="仿宋" w:eastAsia="仿宋" w:cs="宋体"/>
                <w:sz w:val="24"/>
              </w:rPr>
              <w:t>加强造林地块管护工作，做好迎接省市验收核查工作。</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王立明</w:t>
            </w:r>
          </w:p>
        </w:tc>
        <w:tc>
          <w:tcPr>
            <w:tcW w:w="1530" w:type="dxa"/>
            <w:vAlign w:val="center"/>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区自然资源局</w:t>
            </w:r>
          </w:p>
          <w:p>
            <w:pPr>
              <w:pStyle w:val="2"/>
              <w:rPr>
                <w:rFonts w:hint="eastAsia"/>
              </w:rPr>
            </w:pPr>
            <w:r>
              <w:rPr>
                <w:rFonts w:hint="eastAsia" w:ascii="仿宋_GB2312" w:hAnsi="仿宋_GB2312" w:cs="仿宋_GB2312"/>
                <w:sz w:val="24"/>
              </w:rPr>
              <w:t>区林业服务中心     金山镇人民政府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8" w:hRule="atLeast"/>
        </w:trPr>
        <w:tc>
          <w:tcPr>
            <w:tcW w:w="493" w:type="dxa"/>
            <w:vAlign w:val="center"/>
          </w:tcPr>
          <w:p>
            <w:pPr>
              <w:jc w:val="center"/>
              <w:rPr>
                <w:rFonts w:hint="eastAsia" w:ascii="仿宋" w:hAnsi="仿宋" w:eastAsia="仿宋" w:cs="仿宋"/>
                <w:sz w:val="24"/>
              </w:rPr>
            </w:pPr>
            <w:r>
              <w:rPr>
                <w:rFonts w:hint="eastAsia" w:ascii="仿宋" w:hAnsi="仿宋" w:eastAsia="仿宋" w:cs="仿宋"/>
                <w:sz w:val="24"/>
              </w:rPr>
              <w:t>8</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精心编制“十四五”规划，谋划好未来五年发展蓝图。以编制新一轮国土空间总体规划为契机，加快推进多规合一，科学划定“三区三线”，实现空间管控一张图。</w:t>
            </w:r>
          </w:p>
        </w:tc>
        <w:tc>
          <w:tcPr>
            <w:tcW w:w="3690"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组织规划编制单位实地调研，完成“十四五”规划初稿。</w:t>
            </w:r>
            <w:r>
              <w:rPr>
                <w:rFonts w:hint="eastAsia" w:ascii="仿宋" w:hAnsi="仿宋" w:eastAsia="仿宋" w:cs="仿宋"/>
                <w:sz w:val="24"/>
              </w:rPr>
              <w:t>按照市自然资源局的统一部署，稳步推进我区国土空间总体规划编制各项工作。跟进做好我区生态保护红线评估调整成果方案省厅审查批复工作。做好我区基本农田保护红线、城镇开发边界评估调整划定工作。</w:t>
            </w:r>
          </w:p>
        </w:tc>
        <w:tc>
          <w:tcPr>
            <w:tcW w:w="3465" w:type="dxa"/>
            <w:vAlign w:val="center"/>
          </w:tcPr>
          <w:p>
            <w:pPr>
              <w:rPr>
                <w:rFonts w:ascii="仿宋" w:hAnsi="仿宋" w:eastAsia="仿宋" w:cs="宋体"/>
                <w:sz w:val="24"/>
              </w:rPr>
            </w:pPr>
            <w:r>
              <w:rPr>
                <w:rFonts w:hint="eastAsia" w:ascii="仿宋" w:hAnsi="仿宋" w:eastAsia="仿宋" w:cs="仿宋"/>
                <w:sz w:val="24"/>
                <w:shd w:val="clear" w:color="auto" w:fill="FFFFFF"/>
              </w:rPr>
              <w:t>对“十四五”规划初稿进行修改、完善，广泛征求意见、建议，修订后形成汇报稿。</w:t>
            </w:r>
            <w:r>
              <w:rPr>
                <w:rFonts w:hint="eastAsia" w:ascii="仿宋" w:hAnsi="仿宋" w:eastAsia="仿宋" w:cs="宋体"/>
                <w:sz w:val="24"/>
              </w:rPr>
              <w:t>按照市自然资源局的统一部署，稳步推进我区国土空间总体规划编制各项工作。跟进做好我区生态保护红线评估调整成果方案省厅审查批复工作。做好我区基本农田保护红线、城镇开发边界评估调整划定工作，逐步实现空间管控一张图。</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王立明</w:t>
            </w:r>
          </w:p>
        </w:tc>
        <w:tc>
          <w:tcPr>
            <w:tcW w:w="1530" w:type="dxa"/>
            <w:vAlign w:val="center"/>
          </w:tcPr>
          <w:p>
            <w:pPr>
              <w:jc w:val="center"/>
              <w:rPr>
                <w:rFonts w:ascii="仿宋" w:hAnsi="仿宋" w:eastAsia="仿宋" w:cs="宋体"/>
                <w:sz w:val="24"/>
              </w:rPr>
            </w:pPr>
            <w:r>
              <w:rPr>
                <w:rFonts w:hint="eastAsia" w:ascii="仿宋" w:hAnsi="仿宋" w:eastAsia="仿宋" w:cs="宋体"/>
                <w:sz w:val="24"/>
              </w:rPr>
              <w:t>区发改局 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9" w:hRule="atLeast"/>
        </w:trPr>
        <w:tc>
          <w:tcPr>
            <w:tcW w:w="493" w:type="dxa"/>
            <w:vAlign w:val="center"/>
          </w:tcPr>
          <w:p>
            <w:pPr>
              <w:jc w:val="center"/>
              <w:rPr>
                <w:rFonts w:hint="eastAsia" w:ascii="仿宋" w:hAnsi="仿宋" w:eastAsia="仿宋" w:cs="仿宋"/>
                <w:sz w:val="24"/>
              </w:rPr>
            </w:pPr>
            <w:r>
              <w:rPr>
                <w:rFonts w:hint="eastAsia" w:ascii="仿宋" w:hAnsi="仿宋" w:eastAsia="仿宋" w:cs="仿宋"/>
                <w:sz w:val="24"/>
              </w:rPr>
              <w:t>9</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加快省级现代农业产业园建设，争创国家级区域良种繁育基地。做大做强农业龙头企业，新增新型农业经营主体50家、“三品一标”15个以上，打响特色农产品区域公共品牌。</w:t>
            </w:r>
          </w:p>
        </w:tc>
        <w:tc>
          <w:tcPr>
            <w:tcW w:w="3690" w:type="dxa"/>
            <w:vAlign w:val="center"/>
          </w:tcPr>
          <w:p>
            <w:pPr>
              <w:rPr>
                <w:rFonts w:hint="eastAsia" w:ascii="仿宋" w:hAnsi="仿宋" w:eastAsia="仿宋" w:cs="仿宋"/>
                <w:sz w:val="24"/>
                <w:shd w:val="clear" w:color="auto" w:fill="FFFFFF"/>
              </w:rPr>
            </w:pPr>
            <w:r>
              <w:rPr>
                <w:rFonts w:hint="eastAsia" w:ascii="仿宋" w:hAnsi="仿宋" w:eastAsia="仿宋" w:cs="仿宋"/>
                <w:sz w:val="24"/>
                <w:shd w:val="clear" w:color="auto" w:fill="FFFFFF"/>
              </w:rPr>
              <w:t>省级现代农业产业园项目完成总投资的90%，积极谋划国家级区域良种繁育基地申报。鼓励新型农业经营主体注册，力争达到20家以上，组织“三品一标”材料申报。</w:t>
            </w:r>
          </w:p>
        </w:tc>
        <w:tc>
          <w:tcPr>
            <w:tcW w:w="3465" w:type="dxa"/>
            <w:vAlign w:val="center"/>
          </w:tcPr>
          <w:p>
            <w:pPr>
              <w:rPr>
                <w:rFonts w:ascii="仿宋" w:hAnsi="仿宋" w:eastAsia="仿宋" w:cs="仿宋"/>
                <w:sz w:val="24"/>
                <w:shd w:val="clear" w:color="auto" w:fill="FFFFFF"/>
              </w:rPr>
            </w:pPr>
            <w:r>
              <w:rPr>
                <w:rFonts w:hint="eastAsia" w:ascii="仿宋" w:hAnsi="仿宋" w:eastAsia="仿宋" w:cs="仿宋"/>
                <w:sz w:val="24"/>
                <w:shd w:val="clear" w:color="auto" w:fill="FFFFFF"/>
              </w:rPr>
              <w:t>省级现代农业产业园建成，通过省级验收，积极争创国家级区域良种繁育基地。扶持鼓励农业龙头企业，新增新型农业经营主体50家，“三品一标”15个，打响特色农产品区域公共品牌。</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刘恩慧</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10</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扶持薄弱村发展增收，确保所有村居集体经济收入突破10万元。创建市级以上乡村振兴示范片区5个以上。</w:t>
            </w:r>
          </w:p>
        </w:tc>
        <w:tc>
          <w:tcPr>
            <w:tcW w:w="3690" w:type="dxa"/>
            <w:vAlign w:val="center"/>
          </w:tcPr>
          <w:p>
            <w:pPr>
              <w:rPr>
                <w:rFonts w:hint="eastAsia" w:ascii="仿宋" w:hAnsi="仿宋" w:eastAsia="仿宋" w:cs="仿宋"/>
                <w:sz w:val="24"/>
              </w:rPr>
            </w:pPr>
            <w:r>
              <w:rPr>
                <w:rFonts w:hint="eastAsia" w:ascii="仿宋" w:hAnsi="仿宋" w:eastAsia="仿宋" w:cs="仿宋"/>
                <w:sz w:val="24"/>
              </w:rPr>
              <w:t>230个行政村集体经济收入达到10万元以上。完成乡村振兴示范片区年度创建目标的60％以上。</w:t>
            </w:r>
          </w:p>
        </w:tc>
        <w:tc>
          <w:tcPr>
            <w:tcW w:w="3465" w:type="dxa"/>
            <w:vAlign w:val="center"/>
          </w:tcPr>
          <w:p>
            <w:pPr>
              <w:rPr>
                <w:rFonts w:ascii="仿宋" w:hAnsi="仿宋" w:eastAsia="仿宋" w:cs="宋体"/>
                <w:sz w:val="24"/>
              </w:rPr>
            </w:pPr>
            <w:r>
              <w:rPr>
                <w:rFonts w:hint="eastAsia" w:ascii="仿宋" w:hAnsi="仿宋" w:eastAsia="仿宋" w:cs="仿宋"/>
                <w:sz w:val="24"/>
              </w:rPr>
              <w:t>404个行政村集体经济收入全部达到10万元以上。完成乡村振兴示范片区年度目标任务。</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刘恩慧</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 xml:space="preserve">区农业农村局       </w:t>
            </w:r>
            <w:r>
              <w:rPr>
                <w:rFonts w:hint="eastAsia" w:ascii="仿宋" w:hAnsi="仿宋" w:eastAsia="仿宋" w:cs="仿宋"/>
                <w:kern w:val="32"/>
                <w:sz w:val="24"/>
              </w:rPr>
              <w:t>区农业农村事业发展中心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1"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11</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启动实施杨坡路北延、博临路拓宽改造三期工程。做好临淄大道东延等6条道路前期工作。修建“四好农村路”30.4公里，优化快速通达交通路网。启动胶济铁路临淄站恢复客运项目。</w:t>
            </w:r>
          </w:p>
        </w:tc>
        <w:tc>
          <w:tcPr>
            <w:tcW w:w="3690" w:type="dxa"/>
            <w:vAlign w:val="center"/>
          </w:tcPr>
          <w:p>
            <w:pPr>
              <w:jc w:val="left"/>
              <w:rPr>
                <w:rFonts w:hint="eastAsia" w:ascii="仿宋" w:hAnsi="仿宋" w:eastAsia="仿宋" w:cs="仿宋"/>
                <w:sz w:val="24"/>
              </w:rPr>
            </w:pPr>
            <w:r>
              <w:rPr>
                <w:rFonts w:hint="eastAsia" w:ascii="仿宋" w:hAnsi="仿宋" w:eastAsia="仿宋" w:cs="仿宋"/>
                <w:b/>
                <w:bCs/>
                <w:sz w:val="24"/>
              </w:rPr>
              <w:t>杨坡路北延：</w:t>
            </w:r>
            <w:r>
              <w:rPr>
                <w:rFonts w:hint="eastAsia" w:ascii="仿宋" w:hAnsi="仿宋" w:eastAsia="仿宋" w:cs="仿宋"/>
                <w:sz w:val="24"/>
              </w:rPr>
              <w:t>配合完成勘测定界、文物、土地预审、规划选址手续；</w:t>
            </w:r>
            <w:r>
              <w:rPr>
                <w:rFonts w:hint="eastAsia" w:ascii="仿宋" w:hAnsi="仿宋" w:eastAsia="仿宋" w:cs="仿宋"/>
                <w:b/>
                <w:bCs/>
                <w:sz w:val="24"/>
              </w:rPr>
              <w:t>博临路拓宽改造三期工程：</w:t>
            </w:r>
            <w:r>
              <w:rPr>
                <w:rFonts w:hint="eastAsia" w:ascii="仿宋" w:hAnsi="仿宋" w:eastAsia="仿宋" w:cs="仿宋"/>
                <w:sz w:val="24"/>
              </w:rPr>
              <w:t>完成水稳基层施工；</w:t>
            </w:r>
            <w:r>
              <w:rPr>
                <w:rFonts w:hint="eastAsia" w:ascii="仿宋" w:hAnsi="仿宋" w:eastAsia="仿宋" w:cs="仿宋"/>
                <w:b/>
                <w:bCs/>
                <w:sz w:val="24"/>
              </w:rPr>
              <w:t>临淄大道东延等6条道路前期工作：</w:t>
            </w:r>
            <w:r>
              <w:rPr>
                <w:rFonts w:hint="eastAsia" w:ascii="仿宋" w:hAnsi="仿宋" w:eastAsia="仿宋" w:cs="仿宋"/>
                <w:sz w:val="24"/>
              </w:rPr>
              <w:t>站前路西延、溡源路北延完成土地预审，临淄大道完成除预审、立项外所有手续，配合市交通运输局做好G308、G309、淄博大东外环建设有关工作；</w:t>
            </w:r>
            <w:r>
              <w:rPr>
                <w:rFonts w:hint="eastAsia" w:ascii="仿宋" w:hAnsi="仿宋" w:eastAsia="仿宋" w:cs="仿宋"/>
                <w:b/>
                <w:bCs/>
                <w:sz w:val="24"/>
              </w:rPr>
              <w:t>“四好农村路”路网提档升级工程：</w:t>
            </w:r>
            <w:r>
              <w:rPr>
                <w:rFonts w:hint="eastAsia" w:ascii="仿宋" w:hAnsi="仿宋" w:eastAsia="仿宋" w:cs="仿宋"/>
                <w:sz w:val="24"/>
              </w:rPr>
              <w:t xml:space="preserve"> 30.4公里全部完成；</w:t>
            </w:r>
            <w:r>
              <w:rPr>
                <w:rFonts w:hint="eastAsia" w:ascii="仿宋" w:hAnsi="仿宋" w:eastAsia="仿宋" w:cs="仿宋"/>
                <w:b/>
                <w:bCs/>
                <w:sz w:val="24"/>
              </w:rPr>
              <w:t>胶济铁路临淄站：</w:t>
            </w:r>
            <w:r>
              <w:rPr>
                <w:rFonts w:hint="eastAsia" w:ascii="仿宋" w:hAnsi="仿宋" w:eastAsia="仿宋" w:cs="仿宋"/>
                <w:sz w:val="24"/>
              </w:rPr>
              <w:t>完成工程可行性研究报告和社会稳定风险分析报告编制。</w:t>
            </w:r>
          </w:p>
        </w:tc>
        <w:tc>
          <w:tcPr>
            <w:tcW w:w="3465" w:type="dxa"/>
            <w:vAlign w:val="center"/>
          </w:tcPr>
          <w:p>
            <w:pPr>
              <w:jc w:val="left"/>
              <w:rPr>
                <w:rFonts w:hint="eastAsia" w:ascii="仿宋" w:hAnsi="仿宋" w:eastAsia="仿宋" w:cs="仿宋"/>
                <w:sz w:val="24"/>
              </w:rPr>
            </w:pPr>
            <w:r>
              <w:rPr>
                <w:rFonts w:hint="eastAsia" w:ascii="仿宋" w:hAnsi="仿宋" w:eastAsia="仿宋" w:cs="仿宋"/>
                <w:b/>
                <w:bCs/>
                <w:sz w:val="24"/>
              </w:rPr>
              <w:t>杨坡路北延：</w:t>
            </w:r>
            <w:r>
              <w:rPr>
                <w:rFonts w:hint="eastAsia" w:ascii="仿宋" w:hAnsi="仿宋" w:eastAsia="仿宋" w:cs="仿宋"/>
                <w:sz w:val="24"/>
              </w:rPr>
              <w:t>进行供地报批；</w:t>
            </w:r>
            <w:r>
              <w:rPr>
                <w:rFonts w:hint="eastAsia" w:ascii="仿宋" w:hAnsi="仿宋" w:eastAsia="仿宋" w:cs="仿宋"/>
                <w:b/>
                <w:bCs/>
                <w:sz w:val="24"/>
              </w:rPr>
              <w:t>博临路拓宽改造三期工期：</w:t>
            </w:r>
            <w:r>
              <w:rPr>
                <w:rFonts w:hint="eastAsia" w:ascii="仿宋" w:hAnsi="仿宋" w:eastAsia="仿宋" w:cs="仿宋"/>
                <w:sz w:val="24"/>
              </w:rPr>
              <w:t>完成路面及交安设施，竣工通车；</w:t>
            </w:r>
            <w:r>
              <w:rPr>
                <w:rFonts w:hint="eastAsia" w:ascii="仿宋" w:hAnsi="仿宋" w:eastAsia="仿宋" w:cs="仿宋"/>
                <w:b/>
                <w:bCs/>
                <w:sz w:val="24"/>
              </w:rPr>
              <w:t>临淄大道东延等6条道路前期工作：</w:t>
            </w:r>
            <w:r>
              <w:rPr>
                <w:rFonts w:hint="eastAsia" w:ascii="仿宋" w:hAnsi="仿宋" w:eastAsia="仿宋" w:cs="仿宋"/>
                <w:sz w:val="24"/>
              </w:rPr>
              <w:t>站前路西延、溡源路北延、临淄大道完成立项，配合市交通运输局做好G308、G309、淄博大东外环建设有关工作；</w:t>
            </w:r>
            <w:r>
              <w:rPr>
                <w:rFonts w:hint="eastAsia" w:ascii="仿宋" w:hAnsi="仿宋" w:eastAsia="仿宋" w:cs="仿宋"/>
                <w:b/>
                <w:bCs/>
                <w:sz w:val="24"/>
              </w:rPr>
              <w:t>“四好农村路” 路网提档升级工程：</w:t>
            </w:r>
            <w:r>
              <w:rPr>
                <w:rFonts w:hint="eastAsia" w:ascii="仿宋" w:hAnsi="仿宋" w:eastAsia="仿宋" w:cs="仿宋"/>
                <w:sz w:val="24"/>
              </w:rPr>
              <w:t>整理资料迎接省、市验收；</w:t>
            </w:r>
            <w:r>
              <w:rPr>
                <w:rFonts w:hint="eastAsia" w:ascii="仿宋" w:hAnsi="仿宋" w:eastAsia="仿宋" w:cs="仿宋"/>
                <w:b/>
                <w:bCs/>
                <w:sz w:val="24"/>
              </w:rPr>
              <w:t>胶济铁路临淄站：</w:t>
            </w:r>
            <w:r>
              <w:rPr>
                <w:rFonts w:hint="eastAsia" w:ascii="仿宋" w:hAnsi="仿宋" w:eastAsia="仿宋" w:cs="仿宋"/>
                <w:sz w:val="24"/>
              </w:rPr>
              <w:t>完成土地预审等前期手续办理，完成工程立项手续。</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王俊涛</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区交通运输局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12</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有序实施三改工程。新实施3个棚户区改造项目，对2021年计划实施3个项目启动征收程序，实施5个老旧小区改造项目。</w:t>
            </w:r>
          </w:p>
        </w:tc>
        <w:tc>
          <w:tcPr>
            <w:tcW w:w="3690" w:type="dxa"/>
            <w:vAlign w:val="center"/>
          </w:tcPr>
          <w:p>
            <w:pPr>
              <w:rPr>
                <w:rFonts w:hint="eastAsia" w:ascii="仿宋" w:hAnsi="仿宋" w:eastAsia="仿宋" w:cs="仿宋"/>
                <w:sz w:val="24"/>
              </w:rPr>
            </w:pPr>
            <w:r>
              <w:rPr>
                <w:rFonts w:hint="eastAsia" w:ascii="仿宋" w:hAnsi="仿宋" w:eastAsia="仿宋" w:cs="仿宋"/>
                <w:sz w:val="24"/>
              </w:rPr>
              <w:t>2个棚户区改造项目开工建设；做好</w:t>
            </w:r>
            <w:r>
              <w:rPr>
                <w:rFonts w:hint="eastAsia" w:ascii="仿宋" w:hAnsi="仿宋" w:eastAsia="仿宋" w:cs="仿宋"/>
                <w:sz w:val="24"/>
                <w:shd w:val="clear" w:color="auto" w:fill="FFFFFF"/>
              </w:rPr>
              <w:t>2021年计划实施3个项目</w:t>
            </w:r>
            <w:r>
              <w:rPr>
                <w:rFonts w:hint="eastAsia" w:ascii="仿宋" w:hAnsi="仿宋" w:eastAsia="仿宋" w:cs="仿宋"/>
                <w:sz w:val="24"/>
              </w:rPr>
              <w:t>中涉及国有土地上房屋征收的前期准备工作；5个老旧小区改造项目全部开工。</w:t>
            </w:r>
          </w:p>
        </w:tc>
        <w:tc>
          <w:tcPr>
            <w:tcW w:w="3465" w:type="dxa"/>
            <w:vAlign w:val="center"/>
          </w:tcPr>
          <w:p>
            <w:pPr>
              <w:rPr>
                <w:rFonts w:hint="eastAsia" w:ascii="仿宋" w:hAnsi="仿宋" w:eastAsia="仿宋" w:cs="仿宋"/>
                <w:sz w:val="24"/>
              </w:rPr>
            </w:pPr>
            <w:r>
              <w:rPr>
                <w:rFonts w:hint="eastAsia" w:ascii="仿宋" w:hAnsi="仿宋" w:eastAsia="仿宋" w:cs="仿宋"/>
                <w:sz w:val="24"/>
              </w:rPr>
              <w:t>3个棚户区改造项目开工，其中辛店街道朱家村棚改项目主体完工；做好</w:t>
            </w:r>
            <w:r>
              <w:rPr>
                <w:rFonts w:hint="eastAsia" w:ascii="仿宋" w:hAnsi="仿宋" w:eastAsia="仿宋" w:cs="仿宋"/>
                <w:sz w:val="24"/>
                <w:shd w:val="clear" w:color="auto" w:fill="FFFFFF"/>
              </w:rPr>
              <w:t>2021年计划实施3个项目</w:t>
            </w:r>
            <w:r>
              <w:rPr>
                <w:rFonts w:hint="eastAsia" w:ascii="仿宋" w:hAnsi="仿宋" w:eastAsia="仿宋" w:cs="仿宋"/>
                <w:sz w:val="24"/>
              </w:rPr>
              <w:t>具备征收条件的小区房屋征收的摸底调查工作；5个老旧小区改造项目总体进度完成50%。</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王俊涛</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区住建局 区住房保障事务服务中心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3"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13</w:t>
            </w:r>
          </w:p>
        </w:tc>
        <w:tc>
          <w:tcPr>
            <w:tcW w:w="3666" w:type="dxa"/>
            <w:vAlign w:val="center"/>
          </w:tcPr>
          <w:p>
            <w:pPr>
              <w:rPr>
                <w:rFonts w:hint="eastAsia" w:ascii="仿宋" w:hAnsi="仿宋" w:eastAsia="仿宋" w:cs="仿宋"/>
                <w:sz w:val="24"/>
                <w:shd w:val="clear" w:color="auto" w:fill="FFFFFF"/>
              </w:rPr>
            </w:pPr>
            <w:r>
              <w:rPr>
                <w:rFonts w:hint="eastAsia" w:ascii="仿宋" w:hAnsi="仿宋" w:eastAsia="仿宋" w:cs="仿宋"/>
                <w:sz w:val="24"/>
                <w:shd w:val="clear" w:color="auto" w:fill="FFFFFF"/>
              </w:rPr>
              <w:t>持续开展城乡环境整治“八大会战”，试点推进生活垃圾分类。</w:t>
            </w:r>
          </w:p>
        </w:tc>
        <w:tc>
          <w:tcPr>
            <w:tcW w:w="3690" w:type="dxa"/>
            <w:vAlign w:val="center"/>
          </w:tcPr>
          <w:p>
            <w:pPr>
              <w:rPr>
                <w:rFonts w:hint="eastAsia" w:ascii="仿宋" w:hAnsi="仿宋" w:eastAsia="仿宋" w:cs="仿宋"/>
                <w:sz w:val="24"/>
                <w:shd w:val="clear" w:color="auto" w:fill="FFFFFF"/>
              </w:rPr>
            </w:pPr>
            <w:r>
              <w:rPr>
                <w:rFonts w:hint="eastAsia" w:ascii="仿宋" w:hAnsi="仿宋" w:eastAsia="仿宋" w:cs="仿宋"/>
                <w:b/>
                <w:bCs/>
                <w:sz w:val="24"/>
                <w:shd w:val="clear" w:color="auto" w:fill="FFFFFF"/>
              </w:rPr>
              <w:t>八大会战：</w:t>
            </w:r>
            <w:r>
              <w:rPr>
                <w:rFonts w:hint="eastAsia" w:ascii="仿宋" w:hAnsi="仿宋" w:eastAsia="仿宋" w:cs="仿宋"/>
                <w:sz w:val="24"/>
                <w:shd w:val="clear" w:color="auto" w:fill="FFFFFF"/>
              </w:rPr>
              <w:t>对各镇办514处平交道口和32万㎡硬化情况进行集中抽检和验收；组织裸露地二次补植行动，完成台账中154块、29万㎡裸露土地50%以上整治任务；完成成俊石料厂、韩家石料厂等15处露天矿山生态修复任务;完成华能辛店电厂无组织排放整治；完成56处在建房屋建筑项目</w:t>
            </w:r>
            <w:r>
              <w:rPr>
                <w:rFonts w:ascii="仿宋" w:hAnsi="仿宋" w:eastAsia="仿宋" w:cs="仿宋"/>
                <w:sz w:val="24"/>
                <w:shd w:val="clear" w:color="auto" w:fill="FFFFFF"/>
              </w:rPr>
              <w:t>β射线</w:t>
            </w:r>
            <w:r>
              <w:rPr>
                <w:rFonts w:hint="eastAsia" w:ascii="仿宋" w:hAnsi="仿宋" w:eastAsia="仿宋" w:cs="仿宋"/>
                <w:sz w:val="24"/>
                <w:shd w:val="clear" w:color="auto" w:fill="FFFFFF"/>
              </w:rPr>
              <w:t>PM10监测</w:t>
            </w:r>
            <w:r>
              <w:rPr>
                <w:rFonts w:ascii="仿宋" w:hAnsi="仿宋" w:eastAsia="仿宋" w:cs="仿宋"/>
                <w:sz w:val="24"/>
                <w:shd w:val="clear" w:color="auto" w:fill="FFFFFF"/>
              </w:rPr>
              <w:t>设备</w:t>
            </w:r>
            <w:r>
              <w:rPr>
                <w:rFonts w:hint="eastAsia" w:ascii="仿宋" w:hAnsi="仿宋" w:eastAsia="仿宋" w:cs="仿宋"/>
                <w:sz w:val="24"/>
                <w:shd w:val="clear" w:color="auto" w:fill="FFFFFF"/>
              </w:rPr>
              <w:t>安装率；完成10个农村片区的连片整治。</w:t>
            </w:r>
            <w:r>
              <w:rPr>
                <w:rFonts w:hint="eastAsia" w:ascii="仿宋" w:hAnsi="仿宋" w:eastAsia="仿宋" w:cs="仿宋"/>
                <w:b/>
                <w:bCs/>
                <w:sz w:val="24"/>
              </w:rPr>
              <w:t>垃圾分类：</w:t>
            </w:r>
            <w:r>
              <w:rPr>
                <w:rFonts w:hint="eastAsia" w:ascii="仿宋" w:hAnsi="仿宋" w:eastAsia="仿宋" w:cs="仿宋"/>
                <w:sz w:val="24"/>
              </w:rPr>
              <w:t xml:space="preserve">组织现场观摩会，推广经验，指导督促试点镇办扩大分类试点片区，开展第二批城市小区生活垃圾分类试点，生活小区分类覆盖率达34%，推进农村生活垃圾分类试点工作，生活垃圾分类试点村覆盖率达38%，配齐生活垃圾分类设施，加大宣传，引导居民积极参与垃圾分类工作，提高分类准确率。 </w:t>
            </w:r>
          </w:p>
        </w:tc>
        <w:tc>
          <w:tcPr>
            <w:tcW w:w="3465" w:type="dxa"/>
            <w:vAlign w:val="center"/>
          </w:tcPr>
          <w:p>
            <w:pPr>
              <w:rPr>
                <w:rFonts w:ascii="仿宋" w:hAnsi="仿宋" w:eastAsia="仿宋" w:cs="仿宋"/>
                <w:sz w:val="24"/>
                <w:shd w:val="clear" w:color="auto" w:fill="FFFFFF"/>
              </w:rPr>
            </w:pPr>
            <w:r>
              <w:rPr>
                <w:rFonts w:hint="eastAsia" w:ascii="仿宋" w:hAnsi="仿宋" w:eastAsia="仿宋" w:cs="仿宋"/>
                <w:b/>
                <w:bCs/>
                <w:sz w:val="24"/>
                <w:shd w:val="clear" w:color="auto" w:fill="FFFFFF"/>
              </w:rPr>
              <w:t>八大会战：</w:t>
            </w:r>
            <w:r>
              <w:rPr>
                <w:rFonts w:hint="eastAsia" w:ascii="仿宋" w:hAnsi="仿宋" w:eastAsia="仿宋" w:cs="仿宋"/>
                <w:sz w:val="24"/>
                <w:shd w:val="clear" w:color="auto" w:fill="FFFFFF"/>
              </w:rPr>
              <w:t>对城区临淄大道与一诺路节点进行提升，做好绿化补植，对新发现的裸露土地即查即改，督导各镇办做好绿化管护，全面消除裸露土地；加大对路域综合治理的督查考核，建立路域整治长效机制；完成传利石料厂、鑫华石料厂等10处露天矿山生态修复任务，完成45处矿山图斑治理任务；完成齐鲁公司热电厂无组织排放整治；确保房屋建筑工地</w:t>
            </w:r>
            <w:r>
              <w:rPr>
                <w:rFonts w:ascii="仿宋" w:hAnsi="仿宋" w:eastAsia="仿宋" w:cs="仿宋"/>
                <w:sz w:val="24"/>
                <w:shd w:val="clear" w:color="auto" w:fill="FFFFFF"/>
              </w:rPr>
              <w:t>β射线</w:t>
            </w:r>
            <w:r>
              <w:rPr>
                <w:rFonts w:hint="eastAsia" w:ascii="仿宋" w:hAnsi="仿宋" w:eastAsia="仿宋" w:cs="仿宋"/>
                <w:sz w:val="24"/>
                <w:shd w:val="clear" w:color="auto" w:fill="FFFFFF"/>
              </w:rPr>
              <w:t>PM10监测与视频监控系统流畅运行，各</w:t>
            </w:r>
            <w:r>
              <w:rPr>
                <w:rFonts w:ascii="仿宋" w:hAnsi="仿宋" w:eastAsia="仿宋" w:cs="仿宋"/>
                <w:sz w:val="24"/>
                <w:shd w:val="clear" w:color="auto" w:fill="FFFFFF"/>
              </w:rPr>
              <w:t>建筑施工现场扬尘防治</w:t>
            </w:r>
            <w:r>
              <w:rPr>
                <w:rFonts w:hint="eastAsia" w:ascii="仿宋" w:hAnsi="仿宋" w:eastAsia="仿宋" w:cs="仿宋"/>
                <w:sz w:val="24"/>
                <w:shd w:val="clear" w:color="auto" w:fill="FFFFFF"/>
              </w:rPr>
              <w:t>达到</w:t>
            </w:r>
            <w:r>
              <w:rPr>
                <w:rFonts w:ascii="仿宋" w:hAnsi="仿宋" w:eastAsia="仿宋" w:cs="仿宋"/>
                <w:sz w:val="24"/>
                <w:shd w:val="clear" w:color="auto" w:fill="FFFFFF"/>
              </w:rPr>
              <w:t>“8个100%”</w:t>
            </w:r>
            <w:r>
              <w:rPr>
                <w:rFonts w:hint="eastAsia" w:ascii="仿宋" w:hAnsi="仿宋" w:eastAsia="仿宋" w:cs="仿宋"/>
                <w:sz w:val="24"/>
                <w:shd w:val="clear" w:color="auto" w:fill="FFFFFF"/>
              </w:rPr>
              <w:t>标准；完成全部13个农村片区的连片整治。</w:t>
            </w:r>
            <w:r>
              <w:rPr>
                <w:rFonts w:hint="eastAsia" w:ascii="仿宋" w:hAnsi="仿宋" w:eastAsia="仿宋" w:cs="仿宋"/>
                <w:b/>
                <w:bCs/>
                <w:sz w:val="24"/>
              </w:rPr>
              <w:t>垃圾分类：</w:t>
            </w:r>
            <w:r>
              <w:rPr>
                <w:rFonts w:hint="eastAsia" w:ascii="仿宋" w:hAnsi="仿宋" w:eastAsia="仿宋" w:cs="宋体"/>
                <w:sz w:val="24"/>
              </w:rPr>
              <w:t>巩固完善“分类投放、分类收集、分类运输、分类处理”的生活垃圾处理体系，基本建成生活垃圾分类示范片区，逐步提高生活垃圾分类覆盖面。制定生活垃圾分类示范片区验收标准，并分批组织实施。</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王俊涛</w:t>
            </w:r>
          </w:p>
        </w:tc>
        <w:tc>
          <w:tcPr>
            <w:tcW w:w="1530" w:type="dxa"/>
            <w:vAlign w:val="center"/>
          </w:tcPr>
          <w:p>
            <w:pPr>
              <w:jc w:val="center"/>
              <w:rPr>
                <w:rFonts w:ascii="仿宋" w:hAnsi="仿宋" w:eastAsia="仿宋" w:cs="宋体"/>
                <w:sz w:val="24"/>
              </w:rPr>
            </w:pPr>
            <w:r>
              <w:rPr>
                <w:rFonts w:hint="eastAsia" w:ascii="仿宋" w:hAnsi="仿宋" w:eastAsia="仿宋" w:cs="宋体"/>
                <w:sz w:val="24"/>
              </w:rPr>
              <w:t>区综合行政执法局   区市政园林环卫事务服务中心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2"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14</w:t>
            </w:r>
          </w:p>
        </w:tc>
        <w:tc>
          <w:tcPr>
            <w:tcW w:w="3666" w:type="dxa"/>
            <w:vAlign w:val="center"/>
          </w:tcPr>
          <w:p>
            <w:pPr>
              <w:rPr>
                <w:rFonts w:hint="eastAsia" w:ascii="仿宋" w:hAnsi="仿宋" w:eastAsia="仿宋" w:cs="仿宋"/>
                <w:sz w:val="24"/>
                <w:shd w:val="clear" w:color="auto" w:fill="FFFFFF"/>
              </w:rPr>
            </w:pPr>
            <w:r>
              <w:rPr>
                <w:rFonts w:hint="eastAsia" w:ascii="仿宋" w:hAnsi="仿宋" w:eastAsia="仿宋" w:cs="仿宋"/>
                <w:sz w:val="24"/>
                <w:shd w:val="clear" w:color="auto" w:fill="FFFFFF"/>
              </w:rPr>
              <w:t>聘请高水平专家做好稷下学宫规划设计，高标准推进齐国故城考古遗址公园建设，做好姜太公祠、管仲纪念馆改造的规划设计和招商引资工作。推进《蹴鞠小子》动漫制作。精心办好第十七届齐文化节，配合承办淄博首届国际青岛啤酒节。</w:t>
            </w:r>
          </w:p>
        </w:tc>
        <w:tc>
          <w:tcPr>
            <w:tcW w:w="3690" w:type="dxa"/>
            <w:vAlign w:val="center"/>
          </w:tcPr>
          <w:p>
            <w:pPr>
              <w:rPr>
                <w:rFonts w:hint="eastAsia" w:ascii="仿宋" w:hAnsi="仿宋" w:eastAsia="仿宋" w:cs="仿宋"/>
                <w:sz w:val="24"/>
              </w:rPr>
            </w:pPr>
            <w:r>
              <w:rPr>
                <w:rFonts w:hint="eastAsia" w:ascii="仿宋" w:hAnsi="仿宋" w:eastAsia="仿宋" w:cs="仿宋"/>
                <w:b/>
                <w:bCs/>
                <w:sz w:val="24"/>
              </w:rPr>
              <w:t>稷下学宫：</w:t>
            </w:r>
            <w:r>
              <w:rPr>
                <w:rFonts w:hint="eastAsia" w:ascii="仿宋" w:hAnsi="仿宋" w:eastAsia="仿宋" w:cs="仿宋"/>
                <w:sz w:val="24"/>
              </w:rPr>
              <w:t>召开专项工作会议对项目进行专题研究，完善项目领导工作机制；邀请无锡灵山集团考察，进一步洽谈合作，对项目进项高端策划。</w:t>
            </w:r>
            <w:r>
              <w:rPr>
                <w:rFonts w:hint="eastAsia" w:ascii="仿宋" w:hAnsi="仿宋" w:eastAsia="仿宋" w:cs="仿宋"/>
                <w:b/>
                <w:bCs/>
                <w:sz w:val="24"/>
              </w:rPr>
              <w:t>齐国故城考古遗址公园：</w:t>
            </w:r>
            <w:r>
              <w:rPr>
                <w:rFonts w:hint="eastAsia" w:ascii="仿宋" w:hAnsi="仿宋" w:eastAsia="仿宋" w:cs="仿宋"/>
                <w:sz w:val="24"/>
              </w:rPr>
              <w:t>启动10号宫殿建筑基址保护展示主体工程招投标；冶铸遗址展示工程施工图通过省文旅厅审批；完成小城城墙西区南侧道路混凝土施工；加快殉马坑项目和冶铸遗址项目征地手续办理。对接灵山集团对遗址公园进行旅游规划提升。</w:t>
            </w:r>
            <w:r>
              <w:rPr>
                <w:rFonts w:hint="eastAsia" w:ascii="仿宋" w:hAnsi="仿宋" w:eastAsia="仿宋" w:cs="仿宋"/>
                <w:b/>
                <w:bCs/>
                <w:sz w:val="24"/>
              </w:rPr>
              <w:t>姜太公祠和管仲纪念馆</w:t>
            </w:r>
            <w:r>
              <w:rPr>
                <w:rFonts w:hint="eastAsia" w:ascii="仿宋" w:hAnsi="仿宋" w:eastAsia="仿宋" w:cs="仿宋"/>
                <w:sz w:val="24"/>
              </w:rPr>
              <w:t>：策划设计姜太公祠商业业态，策划提升管仲纪念馆外部绿化景观；进一步融合征集的5个策划设计成果，对姜太公祠和管仲纪念馆改造提升项目进行包装，利用各级招商渠道，大力开展招商引资。</w:t>
            </w:r>
            <w:r>
              <w:rPr>
                <w:rFonts w:hint="eastAsia" w:ascii="仿宋" w:hAnsi="仿宋" w:eastAsia="仿宋" w:cs="仿宋"/>
                <w:b/>
                <w:bCs/>
                <w:sz w:val="24"/>
              </w:rPr>
              <w:t>《</w:t>
            </w:r>
            <w:r>
              <w:rPr>
                <w:rFonts w:hint="eastAsia" w:ascii="仿宋" w:hAnsi="仿宋" w:eastAsia="仿宋" w:cs="仿宋"/>
                <w:b/>
                <w:bCs/>
                <w:sz w:val="24"/>
                <w:shd w:val="clear" w:color="auto" w:fill="FFFFFF"/>
              </w:rPr>
              <w:t>蹴鞠小子》动漫：</w:t>
            </w:r>
            <w:r>
              <w:rPr>
                <w:rFonts w:hint="eastAsia" w:ascii="仿宋" w:hAnsi="仿宋" w:eastAsia="仿宋" w:cs="仿宋"/>
                <w:sz w:val="24"/>
                <w:shd w:val="clear" w:color="auto" w:fill="FFFFFF"/>
              </w:rPr>
              <w:t>完成52集美术设定制作和前51集分镜制作。</w:t>
            </w:r>
            <w:r>
              <w:rPr>
                <w:rFonts w:hint="eastAsia" w:ascii="仿宋" w:hAnsi="仿宋" w:eastAsia="仿宋" w:cs="仿宋"/>
                <w:b/>
                <w:sz w:val="24"/>
              </w:rPr>
              <w:t>齐文化节：</w:t>
            </w:r>
            <w:r>
              <w:rPr>
                <w:rFonts w:hint="eastAsia" w:ascii="仿宋" w:hAnsi="仿宋" w:eastAsia="仿宋" w:cs="仿宋"/>
                <w:sz w:val="24"/>
              </w:rPr>
              <w:t>印发活动方案，各单位按照职责分工筹备落实，按时高质量举办第十七届齐文化节临淄区各项活动。</w:t>
            </w:r>
            <w:r>
              <w:rPr>
                <w:rFonts w:hint="eastAsia" w:ascii="仿宋" w:hAnsi="仿宋" w:eastAsia="仿宋" w:cs="仿宋"/>
                <w:b/>
                <w:bCs/>
                <w:sz w:val="24"/>
              </w:rPr>
              <w:t>啤酒节：</w:t>
            </w:r>
            <w:r>
              <w:rPr>
                <w:rFonts w:hint="eastAsia" w:ascii="仿宋" w:hAnsi="仿宋" w:eastAsia="仿宋" w:cs="仿宋"/>
                <w:sz w:val="24"/>
              </w:rPr>
              <w:t>组织好各项活动。</w:t>
            </w:r>
          </w:p>
        </w:tc>
        <w:tc>
          <w:tcPr>
            <w:tcW w:w="3465" w:type="dxa"/>
            <w:vAlign w:val="center"/>
          </w:tcPr>
          <w:p>
            <w:pPr>
              <w:rPr>
                <w:rFonts w:hint="eastAsia" w:ascii="仿宋" w:hAnsi="仿宋" w:eastAsia="仿宋" w:cs="仿宋"/>
                <w:sz w:val="24"/>
              </w:rPr>
            </w:pPr>
            <w:r>
              <w:rPr>
                <w:rFonts w:hint="eastAsia" w:ascii="仿宋" w:hAnsi="仿宋" w:eastAsia="仿宋" w:cs="仿宋"/>
                <w:b/>
                <w:bCs/>
                <w:sz w:val="24"/>
              </w:rPr>
              <w:t>稷下学宫：</w:t>
            </w:r>
            <w:r>
              <w:rPr>
                <w:rFonts w:hint="eastAsia" w:ascii="仿宋" w:hAnsi="仿宋" w:eastAsia="仿宋" w:cs="仿宋"/>
                <w:sz w:val="24"/>
              </w:rPr>
              <w:t>与灵山集团保持密切联系，加强合作，优化前期项目规划策划成果，持续推进项目规划设计。</w:t>
            </w:r>
            <w:r>
              <w:rPr>
                <w:rFonts w:hint="eastAsia" w:ascii="仿宋" w:hAnsi="仿宋" w:eastAsia="仿宋" w:cs="仿宋"/>
                <w:b/>
                <w:bCs/>
                <w:sz w:val="24"/>
              </w:rPr>
              <w:t>齐国故城考古遗址公园：</w:t>
            </w:r>
            <w:r>
              <w:rPr>
                <w:rFonts w:hint="eastAsia" w:ascii="仿宋" w:hAnsi="仿宋" w:eastAsia="仿宋" w:cs="仿宋"/>
                <w:sz w:val="24"/>
              </w:rPr>
              <w:t>10号宫殿建筑基址保护展示主体工程进场施工；冶铸遗址展示工程涉建区域工程考古发掘通过国家文物局审批；完成小城城墙参观车行路和步行路道路面层施工；加快殉马坑项目和冶铸遗址项目征地手续办理。做好与灵山集团合作对接工作。</w:t>
            </w:r>
            <w:r>
              <w:rPr>
                <w:rFonts w:hint="eastAsia" w:ascii="仿宋" w:hAnsi="仿宋" w:eastAsia="仿宋" w:cs="仿宋"/>
                <w:b/>
                <w:bCs/>
                <w:sz w:val="24"/>
              </w:rPr>
              <w:t>姜太公祠和管仲纪念馆</w:t>
            </w:r>
            <w:r>
              <w:rPr>
                <w:rFonts w:hint="eastAsia" w:ascii="仿宋" w:hAnsi="仿宋" w:eastAsia="仿宋" w:cs="仿宋"/>
                <w:sz w:val="24"/>
              </w:rPr>
              <w:t>：对接高端规划机构，启动姜太公祠和管仲纪念馆改造提升项目规划设计；制作项目招商画册，与客商积极洽谈合作，持续加大对外招商力度。</w:t>
            </w:r>
            <w:r>
              <w:rPr>
                <w:rFonts w:hint="eastAsia" w:ascii="仿宋" w:hAnsi="仿宋" w:eastAsia="仿宋" w:cs="仿宋"/>
                <w:b/>
                <w:bCs/>
                <w:sz w:val="24"/>
              </w:rPr>
              <w:t>《</w:t>
            </w:r>
            <w:r>
              <w:rPr>
                <w:rFonts w:hint="eastAsia" w:ascii="仿宋" w:hAnsi="仿宋" w:eastAsia="仿宋" w:cs="仿宋"/>
                <w:b/>
                <w:bCs/>
                <w:sz w:val="24"/>
                <w:shd w:val="clear" w:color="auto" w:fill="FFFFFF"/>
              </w:rPr>
              <w:t>蹴鞠小子》动漫：</w:t>
            </w:r>
            <w:r>
              <w:rPr>
                <w:rFonts w:hint="eastAsia" w:ascii="仿宋" w:hAnsi="仿宋" w:eastAsia="仿宋" w:cs="仿宋"/>
                <w:sz w:val="24"/>
                <w:shd w:val="clear" w:color="auto" w:fill="FFFFFF"/>
              </w:rPr>
              <w:t>完成前26集成片制作。</w:t>
            </w:r>
            <w:r>
              <w:rPr>
                <w:rFonts w:hint="eastAsia" w:ascii="仿宋" w:hAnsi="仿宋" w:eastAsia="仿宋" w:cs="仿宋"/>
                <w:b/>
                <w:bCs/>
                <w:sz w:val="24"/>
                <w:szCs w:val="22"/>
              </w:rPr>
              <w:t>齐文化节：</w:t>
            </w:r>
            <w:r>
              <w:rPr>
                <w:rFonts w:hint="eastAsia" w:ascii="仿宋" w:hAnsi="仿宋" w:eastAsia="仿宋" w:cs="仿宋"/>
                <w:bCs/>
                <w:sz w:val="24"/>
                <w:szCs w:val="22"/>
              </w:rPr>
              <w:t>完成齐文化节资料归档、活动总结等相关工作。</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刘恩慧</w:t>
            </w:r>
          </w:p>
        </w:tc>
        <w:tc>
          <w:tcPr>
            <w:tcW w:w="1530" w:type="dxa"/>
            <w:vAlign w:val="center"/>
          </w:tcPr>
          <w:p>
            <w:pPr>
              <w:jc w:val="center"/>
              <w:rPr>
                <w:rFonts w:ascii="仿宋" w:hAnsi="仿宋" w:eastAsia="仿宋" w:cs="宋体"/>
                <w:sz w:val="24"/>
              </w:rPr>
            </w:pPr>
            <w:r>
              <w:rPr>
                <w:rFonts w:hint="eastAsia" w:ascii="仿宋" w:hAnsi="仿宋" w:eastAsia="仿宋" w:cs="宋体"/>
                <w:sz w:val="24"/>
              </w:rPr>
              <w:t>区文旅局 区节办   金岭回族镇人民政府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15</w:t>
            </w:r>
          </w:p>
        </w:tc>
        <w:tc>
          <w:tcPr>
            <w:tcW w:w="3666" w:type="dxa"/>
            <w:vAlign w:val="center"/>
          </w:tcPr>
          <w:p>
            <w:pPr>
              <w:rPr>
                <w:rFonts w:hint="eastAsia" w:ascii="仿宋" w:hAnsi="仿宋" w:eastAsia="仿宋" w:cs="仿宋"/>
                <w:sz w:val="24"/>
                <w:shd w:val="clear" w:color="auto" w:fill="FFFFFF"/>
              </w:rPr>
            </w:pPr>
            <w:r>
              <w:rPr>
                <w:rFonts w:hint="eastAsia" w:ascii="仿宋" w:hAnsi="仿宋" w:eastAsia="仿宋" w:cs="仿宋"/>
                <w:sz w:val="24"/>
                <w:shd w:val="clear" w:color="auto" w:fill="FFFFFF"/>
              </w:rPr>
              <w:t>优化“一门办理”“一窗受理”工作机制，更大力度减环节、减材料、减时间、减费用，实现更多事项秒批秒办、一次办好。深化“互联网+政务服务”改革，推进“智慧审批”“掌上办事”。完善区镇村三级便民服务体系，持续推动政务服务向基层延伸。</w:t>
            </w:r>
          </w:p>
        </w:tc>
        <w:tc>
          <w:tcPr>
            <w:tcW w:w="3690" w:type="dxa"/>
            <w:vAlign w:val="center"/>
          </w:tcPr>
          <w:p>
            <w:pPr>
              <w:rPr>
                <w:rFonts w:hint="eastAsia"/>
              </w:rPr>
            </w:pPr>
            <w:r>
              <w:rPr>
                <w:rFonts w:ascii="仿宋" w:hAnsi="仿宋" w:eastAsia="仿宋" w:cs="仿宋"/>
                <w:sz w:val="24"/>
                <w:shd w:val="clear" w:color="auto" w:fill="FFFFFF"/>
              </w:rPr>
              <w:t>推进“掌上办事”，完成</w:t>
            </w:r>
            <w:r>
              <w:rPr>
                <w:rFonts w:hint="eastAsia" w:ascii="仿宋" w:hAnsi="仿宋" w:eastAsia="仿宋" w:cs="仿宋"/>
                <w:sz w:val="24"/>
                <w:shd w:val="clear" w:color="auto" w:fill="FFFFFF"/>
              </w:rPr>
              <w:t>“临淄政务服务”微信公众号</w:t>
            </w:r>
            <w:r>
              <w:rPr>
                <w:rFonts w:ascii="仿宋" w:hAnsi="仿宋" w:eastAsia="仿宋" w:cs="仿宋"/>
                <w:sz w:val="24"/>
                <w:shd w:val="clear" w:color="auto" w:fill="FFFFFF"/>
              </w:rPr>
              <w:t>“掌</w:t>
            </w:r>
            <w:r>
              <w:rPr>
                <w:rFonts w:hint="eastAsia" w:ascii="仿宋" w:hAnsi="仿宋" w:eastAsia="仿宋" w:cs="仿宋"/>
                <w:sz w:val="24"/>
                <w:shd w:val="clear" w:color="auto" w:fill="FFFFFF"/>
              </w:rPr>
              <w:t>上办事厅</w:t>
            </w:r>
            <w:r>
              <w:rPr>
                <w:rFonts w:ascii="仿宋" w:hAnsi="仿宋" w:eastAsia="仿宋" w:cs="仿宋"/>
                <w:sz w:val="24"/>
                <w:shd w:val="clear" w:color="auto" w:fill="FFFFFF"/>
              </w:rPr>
              <w:t>”功能开发，打造可查</w:t>
            </w:r>
            <w:r>
              <w:rPr>
                <w:rFonts w:hint="eastAsia" w:ascii="仿宋" w:hAnsi="仿宋" w:eastAsia="仿宋" w:cs="仿宋"/>
                <w:sz w:val="24"/>
                <w:shd w:val="clear" w:color="auto" w:fill="FFFFFF"/>
              </w:rPr>
              <w:t>、</w:t>
            </w:r>
            <w:r>
              <w:rPr>
                <w:rFonts w:ascii="仿宋" w:hAnsi="仿宋" w:eastAsia="仿宋" w:cs="仿宋"/>
                <w:sz w:val="24"/>
                <w:shd w:val="clear" w:color="auto" w:fill="FFFFFF"/>
              </w:rPr>
              <w:t>可问</w:t>
            </w:r>
            <w:r>
              <w:rPr>
                <w:rFonts w:hint="eastAsia" w:ascii="仿宋" w:hAnsi="仿宋" w:eastAsia="仿宋" w:cs="仿宋"/>
                <w:sz w:val="24"/>
                <w:shd w:val="clear" w:color="auto" w:fill="FFFFFF"/>
              </w:rPr>
              <w:t>、</w:t>
            </w:r>
            <w:r>
              <w:rPr>
                <w:rFonts w:ascii="仿宋" w:hAnsi="仿宋" w:eastAsia="仿宋" w:cs="仿宋"/>
                <w:sz w:val="24"/>
                <w:shd w:val="clear" w:color="auto" w:fill="FFFFFF"/>
              </w:rPr>
              <w:t>可办的掌上办事平台。</w:t>
            </w:r>
          </w:p>
        </w:tc>
        <w:tc>
          <w:tcPr>
            <w:tcW w:w="3465" w:type="dxa"/>
            <w:vAlign w:val="center"/>
          </w:tcPr>
          <w:p>
            <w:r>
              <w:rPr>
                <w:rFonts w:hint="eastAsia" w:ascii="仿宋" w:hAnsi="仿宋" w:eastAsia="仿宋" w:cs="仿宋"/>
                <w:sz w:val="24"/>
                <w:shd w:val="clear" w:color="auto" w:fill="FFFFFF"/>
              </w:rPr>
              <w:t>推进无差别“一窗受理”改革，完成事项标准化、颗粒化、精细化梳理，积极构建“前台综合受理、后台分类审批、统一窗口出件”的高效运转体系。扩大“秒批”范围，推出更多“秒批秒办”事项，在镇、街道便民服务中心布设商事登记自助服务终端，实现市场主体设立登记“秒批”服务全覆盖。推进镇（街道）便民服务中心标准化建设，提升基层群众办事便利度和快捷度。</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王俊涛</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区行政审批服务局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16</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完成临淄经济开发区体制机制改革。全面开展“亩产效益”综合评价。</w:t>
            </w:r>
          </w:p>
        </w:tc>
        <w:tc>
          <w:tcPr>
            <w:tcW w:w="3690" w:type="dxa"/>
            <w:vAlign w:val="center"/>
          </w:tcPr>
          <w:p>
            <w:pPr>
              <w:rPr>
                <w:rFonts w:hint="eastAsia" w:ascii="仿宋" w:hAnsi="仿宋" w:eastAsia="仿宋" w:cs="仿宋"/>
                <w:sz w:val="24"/>
              </w:rPr>
            </w:pPr>
            <w:r>
              <w:rPr>
                <w:rFonts w:hint="eastAsia" w:ascii="仿宋" w:hAnsi="仿宋" w:eastAsia="仿宋" w:cs="仿宋"/>
                <w:sz w:val="24"/>
              </w:rPr>
              <w:t>根据省市反馈意见，对开发区体制改革方案进行修改完善。全面启动规下工业企业“亩产效益”评价改革，完成规下名单筛选确认，基本完成数据采集，督促服务商完成规下企业数据中心、分类评价系统搭建。</w:t>
            </w:r>
          </w:p>
        </w:tc>
        <w:tc>
          <w:tcPr>
            <w:tcW w:w="3465" w:type="dxa"/>
            <w:vAlign w:val="center"/>
          </w:tcPr>
          <w:p>
            <w:pPr>
              <w:rPr>
                <w:rFonts w:hint="eastAsia" w:ascii="仿宋" w:hAnsi="仿宋" w:eastAsia="仿宋" w:cs="仿宋"/>
                <w:sz w:val="24"/>
              </w:rPr>
            </w:pPr>
            <w:r>
              <w:rPr>
                <w:rFonts w:hint="eastAsia" w:ascii="仿宋" w:hAnsi="仿宋" w:eastAsia="仿宋" w:cs="仿宋"/>
                <w:sz w:val="24"/>
              </w:rPr>
              <w:t>完成开发区体制机制改革工作。全面完成规下企业数据核对、评分评级、综合分析工作。在前期开发基础上，全面完成“临淄区工业企业亩产效益大数据中心”PC端及小程序开发，实现系统常态化运行，为日常工作及分析决策提供数据参考。</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王立明李  玲</w:t>
            </w:r>
          </w:p>
        </w:tc>
        <w:tc>
          <w:tcPr>
            <w:tcW w:w="1530" w:type="dxa"/>
            <w:vAlign w:val="center"/>
          </w:tcPr>
          <w:p>
            <w:pPr>
              <w:jc w:val="center"/>
              <w:rPr>
                <w:rFonts w:ascii="仿宋" w:hAnsi="仿宋" w:eastAsia="仿宋" w:cs="宋体"/>
                <w:sz w:val="24"/>
              </w:rPr>
            </w:pPr>
            <w:r>
              <w:rPr>
                <w:rFonts w:hint="eastAsia" w:ascii="仿宋" w:hAnsi="仿宋" w:eastAsia="仿宋" w:cs="宋体"/>
                <w:sz w:val="24"/>
              </w:rPr>
              <w:t>临淄经济开发区管委会 区工信局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17</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支持企业通过股权投资、并购重组、发行债券等方式扩大融资规模，力争年内在齐鲁股交中心、上交所、新三板新挂牌上市企业10家。</w:t>
            </w:r>
          </w:p>
        </w:tc>
        <w:tc>
          <w:tcPr>
            <w:tcW w:w="3690" w:type="dxa"/>
            <w:vAlign w:val="center"/>
          </w:tcPr>
          <w:p>
            <w:pPr>
              <w:rPr>
                <w:rFonts w:hint="eastAsia" w:ascii="仿宋" w:hAnsi="仿宋" w:eastAsia="仿宋" w:cs="仿宋"/>
                <w:sz w:val="24"/>
              </w:rPr>
            </w:pPr>
            <w:r>
              <w:rPr>
                <w:rFonts w:hint="eastAsia" w:ascii="仿宋" w:hAnsi="仿宋" w:eastAsia="仿宋" w:cs="仿宋"/>
                <w:sz w:val="24"/>
              </w:rPr>
              <w:t>力争</w:t>
            </w:r>
            <w:r>
              <w:rPr>
                <w:rFonts w:ascii="仿宋" w:hAnsi="仿宋" w:eastAsia="仿宋" w:cs="仿宋"/>
                <w:sz w:val="24"/>
              </w:rPr>
              <w:t>2</w:t>
            </w:r>
            <w:r>
              <w:rPr>
                <w:rFonts w:hint="eastAsia" w:ascii="仿宋" w:hAnsi="仿宋" w:eastAsia="仿宋" w:cs="仿宋"/>
                <w:sz w:val="24"/>
              </w:rPr>
              <w:t>家企业通过齐鲁股交中心挂牌材料审核，2-5家企业到齐鲁股交中心申报材料；督促鲁华</w:t>
            </w:r>
            <w:r>
              <w:rPr>
                <w:rFonts w:ascii="仿宋" w:hAnsi="仿宋" w:eastAsia="仿宋" w:cs="仿宋"/>
                <w:sz w:val="24"/>
              </w:rPr>
              <w:t>泓锦</w:t>
            </w:r>
            <w:r>
              <w:rPr>
                <w:rFonts w:hint="eastAsia" w:ascii="仿宋" w:hAnsi="仿宋" w:eastAsia="仿宋" w:cs="仿宋"/>
                <w:sz w:val="24"/>
              </w:rPr>
              <w:t>尽快向证监会</w:t>
            </w:r>
            <w:r>
              <w:rPr>
                <w:rFonts w:ascii="仿宋" w:hAnsi="仿宋" w:eastAsia="仿宋" w:cs="仿宋"/>
                <w:sz w:val="24"/>
              </w:rPr>
              <w:t>申报</w:t>
            </w:r>
            <w:r>
              <w:rPr>
                <w:rFonts w:hint="eastAsia" w:ascii="仿宋" w:hAnsi="仿宋" w:eastAsia="仿宋" w:cs="仿宋"/>
                <w:sz w:val="24"/>
              </w:rPr>
              <w:t>创业板上市</w:t>
            </w:r>
            <w:r>
              <w:rPr>
                <w:rFonts w:ascii="仿宋" w:hAnsi="仿宋" w:eastAsia="仿宋" w:cs="仿宋"/>
                <w:sz w:val="24"/>
              </w:rPr>
              <w:t>材料</w:t>
            </w:r>
            <w:r>
              <w:rPr>
                <w:rFonts w:hint="eastAsia" w:ascii="仿宋" w:hAnsi="仿宋" w:eastAsia="仿宋" w:cs="仿宋"/>
                <w:sz w:val="24"/>
              </w:rPr>
              <w:t>。</w:t>
            </w:r>
          </w:p>
        </w:tc>
        <w:tc>
          <w:tcPr>
            <w:tcW w:w="3465" w:type="dxa"/>
            <w:vAlign w:val="center"/>
          </w:tcPr>
          <w:p>
            <w:pPr>
              <w:rPr>
                <w:rFonts w:ascii="仿宋" w:hAnsi="仿宋" w:eastAsia="仿宋" w:cs="宋体"/>
                <w:sz w:val="24"/>
              </w:rPr>
            </w:pPr>
            <w:r>
              <w:rPr>
                <w:rFonts w:hint="eastAsia" w:ascii="仿宋" w:hAnsi="仿宋" w:eastAsia="仿宋" w:cs="宋体"/>
                <w:sz w:val="24"/>
              </w:rPr>
              <w:t>完成10家企业挂牌工作任务目标；鲁华泓锦向深交所申报创业板上市材料；督促海湾吊装做好辅导验收准备工作；齐翔腾达可转债发行完毕。</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王立明</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区地方金融事务协调服务中心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18</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巩固两项制度融合等工作成果，完善困难群众即时发现、即时帮扶长效机制，高质量完成脱贫攻坚任务。</w:t>
            </w:r>
          </w:p>
        </w:tc>
        <w:tc>
          <w:tcPr>
            <w:tcW w:w="3690" w:type="dxa"/>
            <w:vAlign w:val="center"/>
          </w:tcPr>
          <w:p>
            <w:pPr>
              <w:rPr>
                <w:rFonts w:hint="eastAsia" w:ascii="仿宋" w:hAnsi="仿宋" w:eastAsia="仿宋" w:cs="仿宋"/>
                <w:sz w:val="24"/>
              </w:rPr>
            </w:pPr>
            <w:r>
              <w:rPr>
                <w:rStyle w:val="10"/>
                <w:rFonts w:hint="eastAsia" w:ascii="仿宋" w:hAnsi="仿宋" w:eastAsia="仿宋" w:cs="仿宋"/>
                <w:b w:val="0"/>
                <w:bCs/>
                <w:sz w:val="24"/>
                <w:shd w:val="clear" w:color="auto" w:fill="FFFFFF"/>
              </w:rPr>
              <w:t>继续深化扶贫低保两项制度融合改革课题研究应用，全面完成即时帮扶人口和贫困人口“八有八达标”建设；进一步健全完善防止返贫监测和帮扶机制，对具有返贫致贫风险的脱贫不稳定户、即时帮扶户及因疫情或其他原因收入骤减或支出骤增户进行动态监测预警和提前干预，及时纳入帮扶范围，采取针对性帮扶措施，从而更主动、有效地化解返贫致贫风险，巩固提升脱贫成果。</w:t>
            </w:r>
          </w:p>
        </w:tc>
        <w:tc>
          <w:tcPr>
            <w:tcW w:w="3465" w:type="dxa"/>
            <w:vAlign w:val="center"/>
          </w:tcPr>
          <w:p>
            <w:pPr>
              <w:rPr>
                <w:rFonts w:hint="eastAsia" w:ascii="仿宋" w:hAnsi="仿宋" w:eastAsia="仿宋" w:cs="仿宋"/>
                <w:sz w:val="24"/>
              </w:rPr>
            </w:pPr>
            <w:r>
              <w:rPr>
                <w:rStyle w:val="10"/>
                <w:rFonts w:hint="eastAsia" w:ascii="仿宋" w:hAnsi="仿宋" w:eastAsia="仿宋" w:cs="仿宋"/>
                <w:b w:val="0"/>
                <w:bCs/>
                <w:sz w:val="24"/>
                <w:shd w:val="clear" w:color="auto" w:fill="FFFFFF"/>
              </w:rPr>
              <w:t>加快推进2020年度脱贫攻坚各项重点工作，进一步提升贫困人口“八有八达标”标准化和长期化，打造好“具有温度的临淄区贫困家庭小康样板”。围绕巩固脱贫攻坚成果，完善特殊或持续支出型困难家庭长期兜底救助和主动发现、适时预警、即时帮扶机制。健全稳定脱贫防贫长效机制，推动脱贫攻坚与乡村振兴衔接融合，全面高质量打赢脱贫攻坚战。</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刘恩慧</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0"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19</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加强区疾控中心标准化建设，健全重大疫情防控救治体系和应急物资保障体系。加快区医疗中心、妇保院综合楼建设，统筹抓好镇卫生院、社区卫生中心、农村卫生室标准化改造，推进紧密型医共体试点，支持中医药传承创新发展，提高应对突发公共卫生事件的能力和水平。</w:t>
            </w:r>
          </w:p>
        </w:tc>
        <w:tc>
          <w:tcPr>
            <w:tcW w:w="3690" w:type="dxa"/>
            <w:vAlign w:val="center"/>
          </w:tcPr>
          <w:p>
            <w:pPr>
              <w:rPr>
                <w:rFonts w:hint="eastAsia" w:ascii="仿宋" w:hAnsi="仿宋" w:eastAsia="仿宋" w:cs="仿宋"/>
                <w:sz w:val="24"/>
              </w:rPr>
            </w:pPr>
            <w:r>
              <w:rPr>
                <w:rFonts w:hint="eastAsia" w:ascii="仿宋" w:hAnsi="仿宋" w:eastAsia="仿宋" w:cs="仿宋"/>
                <w:sz w:val="24"/>
              </w:rPr>
              <w:t>提高实验室检测和流行病学调查能力，9月底完成疾控中心流调人员培训；区医疗中心完成传染楼基础及主体一层施工，门诊医技楼完成灰土换填及垫层浇筑；妇保院综合楼完成基坑支护，进行基础施工；完成46家卫生室标准化提升；推进紧密型医共体建设，完善远程诊疗、医学检验等中心建设；完成“智慧中药房”基建和设备配置，争取9月份试运行。</w:t>
            </w:r>
          </w:p>
          <w:p>
            <w:pPr>
              <w:pStyle w:val="2"/>
              <w:rPr>
                <w:rFonts w:hint="eastAsia" w:ascii="仿宋" w:hAnsi="仿宋" w:eastAsia="仿宋" w:cs="仿宋"/>
              </w:rPr>
            </w:pPr>
          </w:p>
        </w:tc>
        <w:tc>
          <w:tcPr>
            <w:tcW w:w="3465" w:type="dxa"/>
            <w:vAlign w:val="center"/>
          </w:tcPr>
          <w:p>
            <w:pPr>
              <w:rPr>
                <w:rFonts w:hint="eastAsia" w:ascii="仿宋" w:hAnsi="仿宋" w:eastAsia="仿宋" w:cs="仿宋"/>
                <w:sz w:val="24"/>
              </w:rPr>
            </w:pPr>
            <w:r>
              <w:rPr>
                <w:rFonts w:hint="eastAsia" w:ascii="仿宋" w:hAnsi="仿宋" w:eastAsia="仿宋" w:cs="仿宋"/>
                <w:sz w:val="24"/>
              </w:rPr>
              <w:t>实现急性传染病、突发重大疾病、主要慢性病、精神疾病实时监控预警；区医疗中心完成传染楼主体施工，门诊医技楼完成正负零以下施工；妇保院综合楼完成至主体地上1层；完成38家卫生室标准化提升，完成卫生院、社区中心服务能力提升； 建立紧密型医共体柔性人才流动机制，完善基层医疗机构绩效政策；初步建成“智慧中药房”并运行，在区属公立医院、镇卫生院开展代煎、配送上门。</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李  玲</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区卫健局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9" w:hRule="atLeast"/>
        </w:trPr>
        <w:tc>
          <w:tcPr>
            <w:tcW w:w="493" w:type="dxa"/>
            <w:vAlign w:val="center"/>
          </w:tcPr>
          <w:p>
            <w:pPr>
              <w:jc w:val="center"/>
              <w:rPr>
                <w:rFonts w:ascii="仿宋" w:hAnsi="仿宋" w:eastAsia="仿宋" w:cs="仿宋"/>
                <w:sz w:val="24"/>
              </w:rPr>
            </w:pPr>
            <w:r>
              <w:rPr>
                <w:rFonts w:hint="eastAsia" w:ascii="仿宋" w:hAnsi="仿宋" w:eastAsia="仿宋" w:cs="仿宋"/>
                <w:sz w:val="24"/>
              </w:rPr>
              <w:t>20</w:t>
            </w:r>
          </w:p>
        </w:tc>
        <w:tc>
          <w:tcPr>
            <w:tcW w:w="3666" w:type="dxa"/>
            <w:vAlign w:val="center"/>
          </w:tcPr>
          <w:p>
            <w:pPr>
              <w:rPr>
                <w:rFonts w:hint="eastAsia" w:ascii="仿宋" w:hAnsi="仿宋" w:eastAsia="仿宋" w:cs="仿宋"/>
                <w:sz w:val="24"/>
              </w:rPr>
            </w:pPr>
            <w:r>
              <w:rPr>
                <w:rFonts w:hint="eastAsia" w:ascii="仿宋" w:hAnsi="仿宋" w:eastAsia="仿宋" w:cs="仿宋"/>
                <w:sz w:val="24"/>
                <w:shd w:val="clear" w:color="auto" w:fill="FFFFFF"/>
              </w:rPr>
              <w:t>优化教育资源配置，建成投用齐陵中学、溡水实验学校以及8所城乡幼儿园，全力争创国家义务教育优质均衡发展区。</w:t>
            </w:r>
          </w:p>
        </w:tc>
        <w:tc>
          <w:tcPr>
            <w:tcW w:w="3690" w:type="dxa"/>
            <w:vAlign w:val="center"/>
          </w:tcPr>
          <w:p>
            <w:pPr>
              <w:rPr>
                <w:rFonts w:hint="eastAsia" w:ascii="仿宋" w:hAnsi="仿宋" w:eastAsia="仿宋" w:cs="仿宋"/>
                <w:sz w:val="24"/>
              </w:rPr>
            </w:pPr>
            <w:r>
              <w:rPr>
                <w:rFonts w:hint="eastAsia" w:ascii="仿宋" w:hAnsi="仿宋" w:eastAsia="仿宋" w:cs="仿宋"/>
                <w:sz w:val="24"/>
              </w:rPr>
              <w:t>齐陵中学完成二次结构施工，开始内外装;溡水实验学校竣工投用。皇城镇3所幼儿园投入使用；区第三实验幼儿园完成装修内配；凤凰原著幼儿园、珑悦幼儿园、熙悦幼儿园开始装修；大顺幼儿园完成主体建设。</w:t>
            </w:r>
          </w:p>
        </w:tc>
        <w:tc>
          <w:tcPr>
            <w:tcW w:w="3465" w:type="dxa"/>
            <w:vAlign w:val="center"/>
          </w:tcPr>
          <w:p>
            <w:pPr>
              <w:rPr>
                <w:rFonts w:ascii="仿宋" w:hAnsi="仿宋" w:eastAsia="仿宋" w:cs="宋体"/>
                <w:sz w:val="24"/>
              </w:rPr>
            </w:pPr>
            <w:r>
              <w:rPr>
                <w:rFonts w:hint="eastAsia" w:ascii="仿宋" w:hAnsi="仿宋" w:eastAsia="仿宋" w:cs="宋体"/>
                <w:sz w:val="24"/>
              </w:rPr>
              <w:t>齐陵中学全面完工；</w:t>
            </w:r>
            <w:r>
              <w:rPr>
                <w:rFonts w:ascii="仿宋" w:hAnsi="仿宋" w:eastAsia="仿宋" w:cs="宋体"/>
                <w:sz w:val="24"/>
              </w:rPr>
              <w:t>区第三实验幼儿园投入使用</w:t>
            </w:r>
            <w:r>
              <w:rPr>
                <w:rFonts w:hint="eastAsia" w:ascii="仿宋" w:hAnsi="仿宋" w:eastAsia="仿宋" w:cs="宋体"/>
                <w:sz w:val="24"/>
              </w:rPr>
              <w:t>；</w:t>
            </w:r>
            <w:r>
              <w:rPr>
                <w:rFonts w:ascii="仿宋" w:hAnsi="仿宋" w:eastAsia="仿宋" w:cs="宋体"/>
                <w:sz w:val="24"/>
              </w:rPr>
              <w:t>珑悦幼儿园</w:t>
            </w:r>
            <w:r>
              <w:rPr>
                <w:rFonts w:hint="eastAsia" w:ascii="仿宋" w:hAnsi="仿宋" w:eastAsia="仿宋" w:cs="宋体"/>
                <w:sz w:val="24"/>
              </w:rPr>
              <w:t>、</w:t>
            </w:r>
            <w:r>
              <w:rPr>
                <w:rFonts w:ascii="仿宋" w:hAnsi="仿宋" w:eastAsia="仿宋" w:cs="宋体"/>
                <w:sz w:val="24"/>
              </w:rPr>
              <w:t>熙悦幼儿园</w:t>
            </w:r>
            <w:r>
              <w:rPr>
                <w:rFonts w:hint="eastAsia" w:ascii="仿宋" w:hAnsi="仿宋" w:eastAsia="仿宋" w:cs="宋体"/>
                <w:sz w:val="24"/>
              </w:rPr>
              <w:t>、</w:t>
            </w:r>
            <w:r>
              <w:rPr>
                <w:rFonts w:ascii="仿宋" w:hAnsi="仿宋" w:eastAsia="仿宋" w:cs="宋体"/>
                <w:sz w:val="24"/>
              </w:rPr>
              <w:t>大顺幼儿园完成</w:t>
            </w:r>
            <w:r>
              <w:rPr>
                <w:rFonts w:hint="eastAsia" w:ascii="仿宋" w:hAnsi="仿宋" w:eastAsia="仿宋" w:cs="宋体"/>
                <w:sz w:val="24"/>
              </w:rPr>
              <w:t>装修；</w:t>
            </w:r>
            <w:r>
              <w:rPr>
                <w:rFonts w:ascii="仿宋" w:hAnsi="仿宋" w:eastAsia="仿宋" w:cs="宋体"/>
                <w:sz w:val="24"/>
              </w:rPr>
              <w:t>凤凰原著幼儿园进行装修</w:t>
            </w:r>
            <w:r>
              <w:rPr>
                <w:rFonts w:hint="eastAsia" w:ascii="仿宋" w:hAnsi="仿宋" w:eastAsia="仿宋" w:cs="宋体"/>
                <w:sz w:val="24"/>
              </w:rPr>
              <w:t>。</w:t>
            </w:r>
          </w:p>
        </w:tc>
        <w:tc>
          <w:tcPr>
            <w:tcW w:w="1110" w:type="dxa"/>
            <w:vAlign w:val="center"/>
          </w:tcPr>
          <w:p>
            <w:pPr>
              <w:jc w:val="center"/>
              <w:rPr>
                <w:rFonts w:hint="eastAsia" w:ascii="仿宋" w:hAnsi="仿宋" w:eastAsia="仿宋" w:cs="宋体"/>
                <w:sz w:val="24"/>
              </w:rPr>
            </w:pPr>
            <w:r>
              <w:rPr>
                <w:rFonts w:hint="eastAsia" w:ascii="仿宋" w:hAnsi="仿宋" w:eastAsia="仿宋" w:cs="宋体"/>
                <w:sz w:val="24"/>
              </w:rPr>
              <w:t>李  玲</w:t>
            </w:r>
          </w:p>
        </w:tc>
        <w:tc>
          <w:tcPr>
            <w:tcW w:w="1530" w:type="dxa"/>
            <w:vAlign w:val="center"/>
          </w:tcPr>
          <w:p>
            <w:pPr>
              <w:jc w:val="center"/>
              <w:rPr>
                <w:rFonts w:hint="eastAsia" w:ascii="仿宋" w:hAnsi="仿宋" w:eastAsia="仿宋" w:cs="宋体"/>
                <w:sz w:val="24"/>
              </w:rPr>
            </w:pPr>
            <w:r>
              <w:rPr>
                <w:rFonts w:hint="eastAsia" w:ascii="仿宋" w:hAnsi="仿宋" w:eastAsia="仿宋" w:cs="宋体"/>
                <w:sz w:val="24"/>
              </w:rPr>
              <w:t>区教体局</w:t>
            </w:r>
          </w:p>
        </w:tc>
      </w:tr>
    </w:tbl>
    <w:p>
      <w:pPr>
        <w:spacing w:line="240" w:lineRule="exact"/>
        <w:jc w:val="left"/>
        <w:rPr>
          <w:rFonts w:hint="eastAsia" w:ascii="仿宋" w:hAnsi="仿宋" w:eastAsia="仿宋"/>
          <w:sz w:val="32"/>
          <w:szCs w:val="32"/>
        </w:rPr>
      </w:pPr>
      <w:bookmarkStart w:id="0" w:name="_GoBack"/>
      <w:bookmarkEnd w:id="0"/>
    </w:p>
    <w:sectPr>
      <w:footerReference r:id="rId5" w:type="default"/>
      <w:pgSz w:w="11910" w:h="16840"/>
      <w:pgMar w:top="2098" w:right="1474" w:bottom="1985" w:left="1588" w:header="0" w:footer="907" w:gutter="0"/>
      <w:pgNumType w:start="1"/>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NanumGothic">
    <w:panose1 w:val="020D0604000000000000"/>
    <w:charset w:val="81"/>
    <w:family w:val="auto"/>
    <w:pitch w:val="default"/>
    <w:sig w:usb0="900002A7" w:usb1="29D7FCFB" w:usb2="00000010"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A0243"/>
    <w:rsid w:val="001A08AB"/>
    <w:rsid w:val="002262D6"/>
    <w:rsid w:val="00236CB1"/>
    <w:rsid w:val="00333442"/>
    <w:rsid w:val="004E7E44"/>
    <w:rsid w:val="005A4FF9"/>
    <w:rsid w:val="006E42C6"/>
    <w:rsid w:val="008101C7"/>
    <w:rsid w:val="00815A2E"/>
    <w:rsid w:val="00B66932"/>
    <w:rsid w:val="00C033B8"/>
    <w:rsid w:val="00C97B23"/>
    <w:rsid w:val="00CC0678"/>
    <w:rsid w:val="00D0785D"/>
    <w:rsid w:val="00F4326F"/>
    <w:rsid w:val="00FE7BC5"/>
    <w:rsid w:val="28C56ADC"/>
    <w:rsid w:val="64EB3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7808</Words>
  <Characters>8024</Characters>
  <Lines>59</Lines>
  <Paragraphs>16</Paragraphs>
  <TotalTime>1</TotalTime>
  <ScaleCrop>false</ScaleCrop>
  <LinksUpToDate>false</LinksUpToDate>
  <CharactersWithSpaces>8199</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2020-12-30T14:28:00Z</dcterms:created>
  <dc:creator>政府办管理员</dc:creator>
  <cp:lastModifiedBy>administrator</cp:lastModifiedBy>
  <cp:lastPrinted>2020-12-30T14:25:00Z</cp:lastPrinted>
  <dcterms:modified xsi:type="dcterms:W3CDTF">2026-02-10T11:21:00Z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2052-11.8.2.9958</vt:lpwstr>
  </property>
  <property fmtid="{D5CDD505-2E9C-101B-9397-08002B2CF9AE}" pid="4" name="ICV">
    <vt:lpwstr>DE9FEA81F92A4E50863BE1555650C6C1_12</vt:lpwstr>
  </property>
</Properties>
</file>