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57930">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614F9D5A">
                            <w:pPr>
                              <w:pStyle w:val="7"/>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614F9D5A">
                      <w:pPr>
                        <w:pStyle w:val="7"/>
                        <w:spacing w:before="0" w:beforeAutospacing="0" w:after="0" w:afterAutospacing="0"/>
                        <w:jc w:val="center"/>
                      </w:pPr>
                    </w:p>
                  </w:txbxContent>
                </v:textbox>
                <w10:anchorlock/>
              </v:shape>
            </w:pict>
          </mc:Fallback>
        </mc:AlternateContent>
      </w:r>
    </w:p>
    <w:p w14:paraId="227C38EB">
      <w:pPr>
        <w:rPr>
          <w:rFonts w:ascii="华文中宋" w:hAnsi="华文中宋" w:eastAsia="华文中宋"/>
          <w:b/>
          <w:sz w:val="36"/>
          <w:szCs w:val="36"/>
        </w:rPr>
      </w:pPr>
    </w:p>
    <w:p w14:paraId="6C4E583B">
      <w:pPr>
        <w:rPr>
          <w:rFonts w:ascii="华文中宋" w:hAnsi="华文中宋" w:eastAsia="华文中宋"/>
          <w:b/>
          <w:sz w:val="36"/>
          <w:szCs w:val="36"/>
        </w:rPr>
      </w:pPr>
    </w:p>
    <w:p w14:paraId="28A3D131">
      <w:pPr>
        <w:rPr>
          <w:rFonts w:ascii="华文中宋" w:hAnsi="华文中宋" w:eastAsia="华文中宋"/>
          <w:b/>
          <w:sz w:val="36"/>
          <w:szCs w:val="36"/>
        </w:rPr>
      </w:pPr>
    </w:p>
    <w:p w14:paraId="136D8826">
      <w:pPr>
        <w:rPr>
          <w:rFonts w:ascii="仿宋_GB2312" w:eastAsia="仿宋_GB2312"/>
          <w:sz w:val="32"/>
          <w:szCs w:val="32"/>
        </w:rPr>
      </w:pPr>
    </w:p>
    <w:p w14:paraId="11D7B0CB">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103</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0970AE4B">
      <w:pPr>
        <w:spacing w:line="520" w:lineRule="exact"/>
        <w:rPr>
          <w:rFonts w:hint="eastAsia" w:ascii="仿宋_GB2312" w:hAnsi="仿宋_GB2312" w:eastAsia="仿宋_GB2312" w:cs="仿宋_GB2312"/>
          <w:color w:val="000000"/>
          <w:kern w:val="0"/>
          <w:sz w:val="32"/>
          <w:szCs w:val="32"/>
        </w:rPr>
      </w:pPr>
    </w:p>
    <w:p w14:paraId="4B410119">
      <w:pPr>
        <w:rPr>
          <w:rFonts w:hint="eastAsia" w:ascii="仿宋" w:hAnsi="仿宋" w:eastAsia="仿宋"/>
          <w:sz w:val="32"/>
          <w:szCs w:val="32"/>
        </w:rPr>
      </w:pPr>
    </w:p>
    <w:p w14:paraId="2A0328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临淄区人民政府</w:t>
      </w:r>
    </w:p>
    <w:p w14:paraId="0C0B3D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关于印发《临淄区高水平推进城乡融合发展</w:t>
      </w:r>
    </w:p>
    <w:p w14:paraId="399EAB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行动方案（2020-2025年）》的通知</w:t>
      </w:r>
    </w:p>
    <w:p w14:paraId="42F999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p>
    <w:p w14:paraId="6C6606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各镇人民政府、街道办事处,区直有关部门：</w:t>
      </w:r>
    </w:p>
    <w:p w14:paraId="10CF10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现将《临淄区高水平推进城乡融合发展行动方案（2020-2025年）》印发给你们,请结合实际抓好贯彻落实。</w:t>
      </w:r>
    </w:p>
    <w:p w14:paraId="33BA87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500112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212326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5440" w:firstLineChars="1700"/>
        <w:jc w:val="left"/>
        <w:textAlignment w:val="auto"/>
        <w:rPr>
          <w:rFonts w:hint="default"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临淄区人民政府</w:t>
      </w:r>
    </w:p>
    <w:p w14:paraId="46D781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5440" w:firstLineChars="17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 xml:space="preserve">2021年7月26日 </w:t>
      </w:r>
    </w:p>
    <w:p w14:paraId="51E82B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5440" w:firstLineChars="1700"/>
        <w:jc w:val="left"/>
        <w:textAlignment w:val="auto"/>
        <w:rPr>
          <w:rFonts w:hint="eastAsia" w:ascii="仿宋_GB2312" w:hAnsi="仿宋_GB2312" w:eastAsia="仿宋_GB2312" w:cs="仿宋_GB2312"/>
          <w:color w:val="auto"/>
          <w:kern w:val="0"/>
          <w:sz w:val="32"/>
          <w:szCs w:val="32"/>
          <w:u w:val="none"/>
          <w:lang w:val="en-US" w:eastAsia="zh-CN" w:bidi="ar"/>
        </w:rPr>
      </w:pPr>
    </w:p>
    <w:p w14:paraId="6DF469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（此件公开发布）</w:t>
      </w:r>
    </w:p>
    <w:p w14:paraId="055C1B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color w:val="auto"/>
          <w:kern w:val="0"/>
          <w:sz w:val="44"/>
          <w:szCs w:val="44"/>
          <w:u w:val="none"/>
          <w:lang w:val="en-US" w:eastAsia="zh-CN" w:bidi="ar"/>
        </w:rPr>
      </w:pPr>
    </w:p>
    <w:p w14:paraId="241581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仿宋_GB2312" w:hAnsi="仿宋_GB2312" w:eastAsia="仿宋_GB2312" w:cs="仿宋_GB2312"/>
          <w:i w:val="0"/>
          <w:caps w:val="0"/>
          <w:color w:val="auto"/>
          <w:spacing w:val="0"/>
          <w:sz w:val="32"/>
          <w:szCs w:val="32"/>
          <w:u w:val="none"/>
        </w:rPr>
      </w:pPr>
      <w:r>
        <w:rPr>
          <w:rFonts w:hint="eastAsia" w:ascii="方正小标宋简体" w:hAnsi="方正小标宋简体" w:eastAsia="方正小标宋简体" w:cs="方正小标宋简体"/>
          <w:color w:val="auto"/>
          <w:kern w:val="0"/>
          <w:sz w:val="44"/>
          <w:szCs w:val="44"/>
          <w:u w:val="none"/>
          <w:lang w:val="en-US" w:eastAsia="zh-CN" w:bidi="ar"/>
        </w:rPr>
        <w:t>临淄区高水平推进城乡融合发展行动方案（2020-2025年）</w:t>
      </w:r>
      <w:r>
        <w:rPr>
          <w:rFonts w:hint="eastAsia" w:ascii="仿宋_GB2312" w:hAnsi="仿宋_GB2312" w:eastAsia="仿宋_GB2312" w:cs="仿宋_GB2312"/>
          <w:color w:val="auto"/>
          <w:kern w:val="0"/>
          <w:sz w:val="32"/>
          <w:szCs w:val="32"/>
          <w:u w:val="none"/>
          <w:lang w:val="en-US" w:eastAsia="zh-CN" w:bidi="ar"/>
        </w:rPr>
        <w:br w:type="textWrapping"/>
      </w:r>
    </w:p>
    <w:p w14:paraId="12800C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为贯彻落实《中共中央、国务院关于建立健全城乡融合发展体制机制和政策体系的意见》精神和省委省政府、市委市政府部署要求，高水平推进我区城乡融合发展，制定本行动方案。</w:t>
      </w:r>
    </w:p>
    <w:p w14:paraId="752A56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黑体" w:hAnsi="黑体" w:eastAsia="黑体" w:cs="黑体"/>
          <w:color w:val="auto"/>
          <w:kern w:val="0"/>
          <w:sz w:val="32"/>
          <w:szCs w:val="32"/>
          <w:u w:val="none"/>
          <w:lang w:val="en-US" w:eastAsia="zh-CN" w:bidi="ar"/>
        </w:rPr>
        <w:t>一、总体要求</w:t>
      </w:r>
    </w:p>
    <w:p w14:paraId="565CFA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（一）指导思想</w:t>
      </w:r>
    </w:p>
    <w:p w14:paraId="47FB31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以习近平新时代中国特色社会主义思想为指导，深入贯彻落实党中央、国务院关于城乡融合发展的决策部署和省委省政府、市委市政府工作要求，坚持城乡融合发展正确方向，坚持农业农村优先发展，以缩小城乡发展差距和居民生活水平差距为目标，以协调推进乡村振兴战略和新型城镇化战略为抓手，以促进城乡生产要素双向自由流动和公共资源合理配置为关键，立足我区基础优势，吸收借鉴国家级、省级城乡融合发展试验区实践经验，全域统筹推进，打造以工促农、城乡互补、全面融合、共同繁荣的新型工农城乡关系，高水平谱写新时代临淄城乡融合发展新篇章。</w:t>
      </w:r>
    </w:p>
    <w:p w14:paraId="520C05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（二）基本原则</w:t>
      </w:r>
    </w:p>
    <w:p w14:paraId="68FF33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——坚持政府引导和市场化运作相结合。</w:t>
      </w:r>
      <w:r>
        <w:rPr>
          <w:rFonts w:hint="eastAsia" w:ascii="仿宋_GB2312" w:hAnsi="仿宋_GB2312" w:eastAsia="仿宋_GB2312" w:cs="仿宋_GB2312"/>
          <w:color w:val="auto"/>
          <w:kern w:val="0"/>
          <w:sz w:val="32"/>
          <w:szCs w:val="32"/>
          <w:u w:val="none"/>
          <w:lang w:val="en-US" w:eastAsia="zh-CN" w:bidi="ar"/>
        </w:rPr>
        <w:t>强化政府引导作用，加强制度设计和政策安排，加快完善产权制度，为城乡融合发展夯实制度支撑。充分尊重市场规律，以城乡要素市场化配置为重点，推动城乡要素配置依据市场规则、市场价格、市场竞争实现效益最大化和效率最优化，催生发展新动能。</w:t>
      </w:r>
    </w:p>
    <w:p w14:paraId="65E081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——坚持平台运作和生态打造相结合。</w:t>
      </w:r>
      <w:r>
        <w:rPr>
          <w:rFonts w:hint="eastAsia" w:ascii="仿宋_GB2312" w:hAnsi="仿宋_GB2312" w:eastAsia="仿宋_GB2312" w:cs="仿宋_GB2312"/>
          <w:color w:val="auto"/>
          <w:kern w:val="0"/>
          <w:sz w:val="32"/>
          <w:szCs w:val="32"/>
          <w:u w:val="none"/>
          <w:lang w:val="en-US" w:eastAsia="zh-CN" w:bidi="ar"/>
        </w:rPr>
        <w:t>把平台作为城乡要素流通的关键所在，加快搭建政府监管、市场化运作、统一高效的产权交易流通平台，畅通城乡要素流通渠道。围绕平台建设，加大银行、基金、保险、信托、担保等金融和中介机构引进力度，打造城乡要素流动生态圈，加快城乡生产要素双向自由流动。</w:t>
      </w:r>
    </w:p>
    <w:p w14:paraId="49BD71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——坚持重点突破和系统推进相结合。</w:t>
      </w:r>
      <w:r>
        <w:rPr>
          <w:rFonts w:hint="eastAsia" w:ascii="仿宋_GB2312" w:hAnsi="仿宋_GB2312" w:eastAsia="仿宋_GB2312" w:cs="仿宋_GB2312"/>
          <w:color w:val="auto"/>
          <w:kern w:val="0"/>
          <w:sz w:val="32"/>
          <w:szCs w:val="32"/>
          <w:u w:val="none"/>
          <w:lang w:val="en-US" w:eastAsia="zh-CN" w:bidi="ar"/>
        </w:rPr>
        <w:t>突出制度设计、平台搭建、金融生态三大工作抓手，落实统筹推进城乡融合发展各项改革措施，积极探索针对性原创性差异化的改革路径。同时，加强系统谋划、推进各项改革相互配套，为城乡融合发展提供全方位制度供给。</w:t>
      </w:r>
    </w:p>
    <w:p w14:paraId="743904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——坚持守住底线和激发动力相结合。</w:t>
      </w:r>
      <w:r>
        <w:rPr>
          <w:rFonts w:hint="eastAsia" w:ascii="仿宋_GB2312" w:hAnsi="仿宋_GB2312" w:eastAsia="仿宋_GB2312" w:cs="仿宋_GB2312"/>
          <w:color w:val="auto"/>
          <w:kern w:val="0"/>
          <w:sz w:val="32"/>
          <w:szCs w:val="32"/>
          <w:u w:val="none"/>
          <w:lang w:val="en-US" w:eastAsia="zh-CN" w:bidi="ar"/>
        </w:rPr>
        <w:t>采取积极稳妥的工作方式，坚决守住土地所有制性质不改变、耕地红线不突破、农民利益不受损的底线，守住生态保护红线，守住乡村文化根脉。同时，旗帜鲜明支持改革探索，在守住底线的前提下，宽容改革探索中出现的失误，充分调动各级参与改革积极性、主动性和创造性，加快打造形成城乡融合发展改革路径和实践经验。</w:t>
      </w:r>
    </w:p>
    <w:p w14:paraId="534652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（三）工作目标</w:t>
      </w:r>
    </w:p>
    <w:p w14:paraId="07F4D3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第一阶段：2020-2022年。</w:t>
      </w:r>
      <w:r>
        <w:rPr>
          <w:rFonts w:hint="eastAsia" w:ascii="仿宋_GB2312" w:hAnsi="仿宋_GB2312" w:eastAsia="仿宋_GB2312" w:cs="仿宋_GB2312"/>
          <w:color w:val="auto"/>
          <w:kern w:val="0"/>
          <w:sz w:val="32"/>
          <w:szCs w:val="32"/>
          <w:u w:val="none"/>
          <w:lang w:val="en-US" w:eastAsia="zh-CN" w:bidi="ar"/>
        </w:rPr>
        <w:t>立足“一年打基础、二年有突破、三年出成果”，2020年根据市城乡融合发展行动计划，提出城乡融合发展重点任务。2021年全面推进各领域改革重点事项，及时发现和解决影响改革推进的困难和问题，边推动、边总结、边提炼，认真总结工作中的不足和经验做法，初步建立城乡融合发展体制机制，农村集体经营性建设用地入市、农村产权抵押担保权能完善、城中村改造合作和城乡产业协同发展平台搭建、生态产品价值实现机制、城乡基础设施一体化发展体制机制、城乡基本公共服务均等化发展体制机制等改革事项取得积极进展。2022年进一步拓展和深化综合配套改革领域，建立较为完善的城乡融合发展新模式，在促进城乡居民基本权益平等化、城乡公共服务均等化、城乡居民收入均衡化、城乡要素配置合理化、城乡产业发展融合化等方面取得积极成效，形成一批可复制可推广的典型经验和体制机制改革措施。</w:t>
      </w:r>
    </w:p>
    <w:p w14:paraId="359B37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第二阶段：2023-2025年。</w:t>
      </w:r>
      <w:r>
        <w:rPr>
          <w:rFonts w:hint="eastAsia" w:ascii="仿宋_GB2312" w:hAnsi="仿宋_GB2312" w:eastAsia="仿宋_GB2312" w:cs="仿宋_GB2312"/>
          <w:color w:val="auto"/>
          <w:kern w:val="0"/>
          <w:sz w:val="32"/>
          <w:szCs w:val="32"/>
          <w:u w:val="none"/>
          <w:lang w:val="en-US" w:eastAsia="zh-CN" w:bidi="ar"/>
        </w:rPr>
        <w:t>城乡生产要素双向自由流动的制度性通道基本打通，城乡有序流动的人口迁徙制度全面建立，城乡统一的建设用地市场全面形成，城乡普惠的金融服务体系基本建成，农村产权保护交易制度更加健全，农民持续增收体制机制更加完善。全区城乡布局、产业布局更趋合理，城乡发展差距和居民生活水平差距明显缩小，为农业农村和新型城镇化发展增添新动能、注入新动力。</w:t>
      </w:r>
    </w:p>
    <w:p w14:paraId="2902B0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黑体" w:hAnsi="黑体" w:eastAsia="黑体" w:cs="黑体"/>
          <w:color w:val="auto"/>
          <w:kern w:val="0"/>
          <w:sz w:val="32"/>
          <w:szCs w:val="32"/>
          <w:u w:val="none"/>
          <w:lang w:val="en-US" w:eastAsia="zh-CN" w:bidi="ar"/>
        </w:rPr>
        <w:t>二、主要任务</w:t>
      </w:r>
    </w:p>
    <w:p w14:paraId="409935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（一）建立农村集体经营性建设用地入市制度</w:t>
      </w:r>
    </w:p>
    <w:p w14:paraId="6591B2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1.建立集体经营性建设用地市场交易制度。</w:t>
      </w:r>
      <w:r>
        <w:rPr>
          <w:rFonts w:hint="eastAsia" w:ascii="仿宋_GB2312" w:hAnsi="仿宋_GB2312" w:eastAsia="仿宋_GB2312" w:cs="仿宋_GB2312"/>
          <w:color w:val="auto"/>
          <w:kern w:val="0"/>
          <w:sz w:val="32"/>
          <w:szCs w:val="32"/>
          <w:u w:val="none"/>
          <w:lang w:val="en-US" w:eastAsia="zh-CN" w:bidi="ar"/>
        </w:rPr>
        <w:t>（1）制定农村集体经营性建设用地入市管理办法，完善国有建设用地与农村集体经营性建设用地市场交易规则，健全一、二级土地市场体系。（2）加强用途管制，集体经营性建设用地在符合经济社会发展规划和国土空间规划前提下，可用于工矿仓储、商服旅游等用途。竞争性交易环节纳入公共资源交易平台，公开交易信息，建立健全覆盖城乡的地价体系。（3）入市的集体经营性建设用地使用权在使用期限内，享有与国有建设用地同等的转让、出租和抵押权能，实行同等入市、同权同价。工矿、仓储用地使用最高年限50年，商服、旅游用地使用最高年限40年。每年合理安排集体经营性建设用地入市规模，纳入土地利用年度计划统一管理。培育和规范地价评估、交易代理等土地市场中介组织。</w:t>
      </w:r>
      <w:r>
        <w:rPr>
          <w:rFonts w:hint="eastAsia" w:ascii="黑体" w:hAnsi="黑体" w:eastAsia="黑体" w:cs="黑体"/>
          <w:color w:val="auto"/>
          <w:kern w:val="0"/>
          <w:sz w:val="32"/>
          <w:szCs w:val="32"/>
          <w:u w:val="none"/>
          <w:lang w:val="en-US" w:eastAsia="zh-CN" w:bidi="ar"/>
        </w:rPr>
        <w:t>（责任单位：区自然资源局、区农业农村局、区住建局，各镇、街道）</w:t>
      </w:r>
    </w:p>
    <w:p w14:paraId="58121B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2.明确集体经营性建设用地入市范围和途径。</w:t>
      </w:r>
      <w:r>
        <w:rPr>
          <w:rFonts w:hint="eastAsia" w:ascii="仿宋_GB2312" w:hAnsi="仿宋_GB2312" w:eastAsia="仿宋_GB2312" w:cs="仿宋_GB2312"/>
          <w:color w:val="auto"/>
          <w:kern w:val="0"/>
          <w:sz w:val="32"/>
          <w:szCs w:val="32"/>
          <w:u w:val="none"/>
          <w:lang w:val="en-US" w:eastAsia="zh-CN" w:bidi="ar"/>
        </w:rPr>
        <w:t>（1）明确入市土地来源。符合国土空间规划、村庄规划、产业准入以及生态环境保护要求，规划确定为工业、商业等经营性用途的建设用地。（2）对依法取得的农村集体经营性建设用地，可就地入市。对村庄内零星、分散的集体经营性建设用地，通过复垦和用活城乡建设用地增减挂钩、占补平衡政策，实现异地入市。允许村集体在农民自愿前提下，依法将有偿收回的闲置宅基地、废弃的集体公益性建设用地转变为集体经营性建设用地入市。（3）农村集体经营性建设用地可以按出让、出租、作价出资（入股）等有偿使用方式入市。出让、出租、作价出资（入股）均应采取招标、拍卖或者挂牌方式公开交易，纳入公共资源交易平台实施。对入市面积小或者零星分散等特殊情况，经村集体讨论同意并报经区政府批准，可采取协议方式交易。（4）土地使用者在依法取得农村集体建设用地使用权后，经土地所有权人同意，在使用期限内可通过转让、互换、抵押等方式再次交易。</w:t>
      </w:r>
      <w:r>
        <w:rPr>
          <w:rFonts w:hint="eastAsia" w:ascii="黑体" w:hAnsi="黑体" w:eastAsia="黑体" w:cs="黑体"/>
          <w:color w:val="auto"/>
          <w:kern w:val="0"/>
          <w:sz w:val="32"/>
          <w:szCs w:val="32"/>
          <w:u w:val="none"/>
          <w:lang w:val="en-US" w:eastAsia="zh-CN" w:bidi="ar"/>
        </w:rPr>
        <w:t>（责任单位：区自然资源局、区农业农村局、区住建局，各镇、街道）</w:t>
      </w:r>
    </w:p>
    <w:p w14:paraId="30F65C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3.完善集体经营性建设用地收益分配办法。</w:t>
      </w:r>
      <w:r>
        <w:rPr>
          <w:rFonts w:hint="eastAsia" w:ascii="仿宋_GB2312" w:hAnsi="仿宋_GB2312" w:eastAsia="仿宋_GB2312" w:cs="仿宋_GB2312"/>
          <w:color w:val="auto"/>
          <w:kern w:val="0"/>
          <w:sz w:val="32"/>
          <w:szCs w:val="32"/>
          <w:u w:val="none"/>
          <w:lang w:val="en-US" w:eastAsia="zh-CN" w:bidi="ar"/>
        </w:rPr>
        <w:t>（1）坚持分级共享原则，按照“分区位、有级差”的思路，制定公平合理的集体经营性建设用地入市增值收益分配办法，合理确定入市主体应缴纳土地增值收益调节金征收比例。（2）土地增值收益调节金主要统筹用于城镇和农村基础设施完善、农村环境整治、土地前期开发等支出。农村集体经济组织获得的集体经营性建设用地入市收益，归农村集体经济组织所有，纳入农村集体资产统一管理。农村集体经济组织根据章程制定收益分配方案，严格按规定分配使用。（3）入市后的农村集体经营性建设用地的使用权人，以转让、互换、赠与等方式取得再转让收益的，应缴纳土地增值收益调节金。改变土地用途和提高容积率所产生的土地收益应缴纳土地增值收益调节金。</w:t>
      </w:r>
      <w:r>
        <w:rPr>
          <w:rFonts w:hint="eastAsia" w:ascii="黑体" w:hAnsi="黑体" w:eastAsia="黑体" w:cs="黑体"/>
          <w:color w:val="auto"/>
          <w:kern w:val="0"/>
          <w:sz w:val="32"/>
          <w:szCs w:val="32"/>
          <w:u w:val="none"/>
          <w:lang w:val="en-US" w:eastAsia="zh-CN" w:bidi="ar"/>
        </w:rPr>
        <w:t>（责任单位：区自然资源局、区财政局、区农业农村局）</w:t>
      </w:r>
    </w:p>
    <w:p w14:paraId="179708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4.创新集体经营性建设用地使用模式。</w:t>
      </w:r>
      <w:r>
        <w:rPr>
          <w:rFonts w:hint="eastAsia" w:ascii="仿宋_GB2312" w:hAnsi="仿宋_GB2312" w:eastAsia="仿宋_GB2312" w:cs="仿宋_GB2312"/>
          <w:color w:val="auto"/>
          <w:kern w:val="0"/>
          <w:sz w:val="32"/>
          <w:szCs w:val="32"/>
          <w:u w:val="none"/>
          <w:lang w:val="en-US" w:eastAsia="zh-CN" w:bidi="ar"/>
        </w:rPr>
        <w:t>注重规划引领、因地制宜，破解土地制约瓶颈。（1）依托公共资源交易中心，建立集体经营性建设用地入市平台，公告、交易、成交公示等环节实行与国有土地一体化管理。（2）制定集体经营性建设用地整备入市制度，建立区、镇（街道）两级土地整备库，对于小块零散、当前利用效率不高，与产业发展、重大项目供地相关的土地，村（居）集体经济组织可申请土地入库整备，实现集体土地统筹开发。探索通过捆绑出让、代建补偿、租让结合、土地入股等方式，为产业园区、特色小镇、田园综合体等提供建设用地解决方案。（3）推进集体经营性建设用地使用权和地上建筑物所有权房地一体、分割转让。允许在村庄规划中预留一定比例建设用地机动指标，通过入市方式实施“点状供地”。（4）探索农村片区综合土地整治模式，与国家开发银行、农业发展银行、市土地发展集团等政策性银行和企业开展农村低效闲散土地综合整治，挖掘发展新空间。</w:t>
      </w:r>
      <w:r>
        <w:rPr>
          <w:rFonts w:hint="eastAsia" w:ascii="黑体" w:hAnsi="黑体" w:eastAsia="黑体" w:cs="黑体"/>
          <w:color w:val="auto"/>
          <w:kern w:val="0"/>
          <w:sz w:val="32"/>
          <w:szCs w:val="32"/>
          <w:u w:val="none"/>
          <w:lang w:val="en-US" w:eastAsia="zh-CN" w:bidi="ar"/>
        </w:rPr>
        <w:t>（责任单位：区自然资源局、区农业农村局、市公共资源交易中心临淄分中心，各镇、街道）</w:t>
      </w:r>
    </w:p>
    <w:p w14:paraId="1565AB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（二）建立进城落户农民依法自愿有偿转让退出农村权益制度</w:t>
      </w:r>
    </w:p>
    <w:p w14:paraId="34DD49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1.加快农村产权确权标准化数字化。</w:t>
      </w:r>
      <w:r>
        <w:rPr>
          <w:rFonts w:hint="eastAsia" w:ascii="仿宋_GB2312" w:hAnsi="仿宋_GB2312" w:eastAsia="仿宋_GB2312" w:cs="仿宋_GB2312"/>
          <w:color w:val="auto"/>
          <w:kern w:val="0"/>
          <w:sz w:val="32"/>
          <w:szCs w:val="32"/>
          <w:u w:val="none"/>
          <w:lang w:val="en-US" w:eastAsia="zh-CN" w:bidi="ar"/>
        </w:rPr>
        <w:t>（1）对全区村集体经济组织成员身份，以及农民土地承包经营权、宅基地使用权和房屋所有权、集体收益分配权等进行确认。（2）建立农村不动产权登记数据库及信息平台，实现农村宅基地、承包地、集体经营性建设用地权益登记标准化、数字化，与城区不动产登记信息平台互联互通，推动不动产登记城乡同步。（3）建立完善农村集体资产管理平台，实现农村集体资产数字化管理。</w:t>
      </w:r>
      <w:r>
        <w:rPr>
          <w:rFonts w:hint="eastAsia" w:ascii="黑体" w:hAnsi="黑体" w:eastAsia="黑体" w:cs="黑体"/>
          <w:color w:val="auto"/>
          <w:kern w:val="0"/>
          <w:sz w:val="32"/>
          <w:szCs w:val="32"/>
          <w:u w:val="none"/>
          <w:lang w:val="en-US" w:eastAsia="zh-CN" w:bidi="ar"/>
        </w:rPr>
        <w:t>（责任单位：区农业农村局、区自然资源局、区住建局，各镇、街道）</w:t>
      </w:r>
    </w:p>
    <w:p w14:paraId="07605A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2.稳步推进农村宅基地制度改革。</w:t>
      </w:r>
      <w:r>
        <w:rPr>
          <w:rFonts w:hint="eastAsia" w:ascii="仿宋_GB2312" w:hAnsi="仿宋_GB2312" w:eastAsia="仿宋_GB2312" w:cs="仿宋_GB2312"/>
          <w:color w:val="auto"/>
          <w:kern w:val="0"/>
          <w:sz w:val="32"/>
          <w:szCs w:val="32"/>
          <w:u w:val="none"/>
          <w:lang w:val="en-US" w:eastAsia="zh-CN" w:bidi="ar"/>
        </w:rPr>
        <w:t>（1）稳妥推进落实农村宅基地“三权”分置制度，落实宅基地集体所有权、保障资格权、适度放活使用权。（2）加快推进农村“房地一体”不动产确权登记，完成农村不动产权籍调查，农村宅基地和集体建设用地登记办证率90%以上，基本实现应登尽登；对违法占用的，不予确认宅基地使用权。（3）适度放活宅基地和农民房屋使用权，在满足规划和用途管制等前提下，鼓励村集体经济组织及成员利用存量宅基地发展多种经营活动，通过自主经营、合作经营、委托经营等方式，在符合统一规划要求下，开展农产品加工和服务业经营，壮大村集体经济，促进村民增收。（4）鼓励社会工商资本下乡，在不侵占农村集体和农民权益前提下，盘活提升宅基地资源价值。</w:t>
      </w:r>
      <w:r>
        <w:rPr>
          <w:rFonts w:hint="eastAsia" w:ascii="黑体" w:hAnsi="黑体" w:eastAsia="黑体" w:cs="黑体"/>
          <w:color w:val="auto"/>
          <w:kern w:val="0"/>
          <w:sz w:val="32"/>
          <w:szCs w:val="32"/>
          <w:u w:val="none"/>
          <w:lang w:val="en-US" w:eastAsia="zh-CN" w:bidi="ar"/>
        </w:rPr>
        <w:t>（责任单位：区农业农村局、区自然资源局、区住建局、区文旅局，各镇、街道）</w:t>
      </w:r>
    </w:p>
    <w:p w14:paraId="7022AA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3.引导农村宅基地自愿有偿退出。</w:t>
      </w:r>
      <w:r>
        <w:rPr>
          <w:rFonts w:hint="eastAsia" w:ascii="仿宋_GB2312" w:hAnsi="仿宋_GB2312" w:eastAsia="仿宋_GB2312" w:cs="仿宋_GB2312"/>
          <w:color w:val="auto"/>
          <w:kern w:val="0"/>
          <w:sz w:val="32"/>
          <w:szCs w:val="32"/>
          <w:u w:val="none"/>
          <w:lang w:val="en-US" w:eastAsia="zh-CN" w:bidi="ar"/>
        </w:rPr>
        <w:t>制定农村宅基地自愿有偿退出管理办法，明确宅基地退出不改变农户土地承包权和集体收益分配权，农村集体经济组织不得以退出土地承包权和集体收益分配权作为农户退出宅基地的条件。在充分尊重农民意愿基础上，引导有稳定非农就业收入并长期在城镇居住生活的农户、“一户多宅”农户自愿有偿退出农村宅基地。按照国土空间规划确定的用途，鼓励农村集体经济组织根据退出宅基地不同情况，采取直接利用、置换（转让）建设用地指标，或结合生态环境建设、基础设施和公共服务建设进行综合开发等方式高效利用。</w:t>
      </w:r>
      <w:r>
        <w:rPr>
          <w:rFonts w:hint="eastAsia" w:ascii="黑体" w:hAnsi="黑体" w:eastAsia="黑体" w:cs="黑体"/>
          <w:color w:val="auto"/>
          <w:kern w:val="0"/>
          <w:sz w:val="32"/>
          <w:szCs w:val="32"/>
          <w:u w:val="none"/>
          <w:lang w:val="en-US" w:eastAsia="zh-CN" w:bidi="ar"/>
        </w:rPr>
        <w:t>（责任单位：区农业农村局、区自然资源局、市公共资源交易中心临淄分中心，各镇、街道）</w:t>
      </w:r>
    </w:p>
    <w:p w14:paraId="44A4AF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4.规范农村土地承包经营权流转和退出。</w:t>
      </w:r>
      <w:r>
        <w:rPr>
          <w:rFonts w:hint="eastAsia" w:ascii="仿宋_GB2312" w:hAnsi="仿宋_GB2312" w:eastAsia="仿宋_GB2312" w:cs="仿宋_GB2312"/>
          <w:color w:val="auto"/>
          <w:kern w:val="0"/>
          <w:sz w:val="32"/>
          <w:szCs w:val="32"/>
          <w:u w:val="none"/>
          <w:lang w:val="en-US" w:eastAsia="zh-CN" w:bidi="ar"/>
        </w:rPr>
        <w:t>（1）鼓励农户通过出租（转包）、入股等方式流转土地承包经营权，加强土地流转管理和服务，确保不改变土地用途、不破坏农业综合生产能力、不损害农民利益。（2）在尊重农民群众意愿的前提下，稳妥推进整村土地流转。鼓励村党组织领办、村集体创办合作社，发展适度规模经营。鼓励村集体提供土地流转委托代理服务。鼓励农村集体以外的市场主体承接退出承包地。</w:t>
      </w:r>
      <w:r>
        <w:rPr>
          <w:rFonts w:hint="eastAsia" w:ascii="黑体" w:hAnsi="黑体" w:eastAsia="黑体" w:cs="黑体"/>
          <w:color w:val="auto"/>
          <w:kern w:val="0"/>
          <w:sz w:val="32"/>
          <w:szCs w:val="32"/>
          <w:u w:val="none"/>
          <w:lang w:val="en-US" w:eastAsia="zh-CN" w:bidi="ar"/>
        </w:rPr>
        <w:t>（责任单位：区农业农村局，各镇、街道）</w:t>
      </w:r>
    </w:p>
    <w:p w14:paraId="5DD2BB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5.建立农村集体股权有偿退出机制。</w:t>
      </w:r>
      <w:r>
        <w:rPr>
          <w:rFonts w:hint="eastAsia" w:ascii="仿宋_GB2312" w:hAnsi="仿宋_GB2312" w:eastAsia="仿宋_GB2312" w:cs="仿宋_GB2312"/>
          <w:color w:val="auto"/>
          <w:kern w:val="0"/>
          <w:sz w:val="32"/>
          <w:szCs w:val="32"/>
          <w:u w:val="none"/>
          <w:lang w:val="en-US" w:eastAsia="zh-CN" w:bidi="ar"/>
        </w:rPr>
        <w:t>规范实施集体资产股权转让、赠与、继承等行为。保障进城落户农民在农村的合法权益，平等享受城区医疗、养老、失业保险等公共服务。对成员自愿退出的集体资产股权，经成员（代表）会议研究讨论通过，分别采取纳入集体股或量化到本组织成员等方式使用。</w:t>
      </w:r>
      <w:r>
        <w:rPr>
          <w:rFonts w:hint="eastAsia" w:ascii="黑体" w:hAnsi="黑体" w:eastAsia="黑体" w:cs="黑体"/>
          <w:color w:val="auto"/>
          <w:kern w:val="0"/>
          <w:sz w:val="32"/>
          <w:szCs w:val="32"/>
          <w:u w:val="none"/>
          <w:lang w:val="en-US" w:eastAsia="zh-CN" w:bidi="ar"/>
        </w:rPr>
        <w:t>（责任单位：区农业农村局、区人社局，各镇、街道）</w:t>
      </w:r>
    </w:p>
    <w:p w14:paraId="77C5DC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（三）完善农村产权抵押担保权能</w:t>
      </w:r>
    </w:p>
    <w:p w14:paraId="4B45C3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1.完善农村金融服务体系。</w:t>
      </w:r>
      <w:r>
        <w:rPr>
          <w:rFonts w:hint="eastAsia" w:ascii="仿宋_GB2312" w:hAnsi="仿宋_GB2312" w:eastAsia="仿宋_GB2312" w:cs="仿宋_GB2312"/>
          <w:color w:val="auto"/>
          <w:sz w:val="32"/>
          <w:szCs w:val="32"/>
          <w:u w:val="none"/>
        </w:rPr>
        <w:t>健全适合农村发展的普惠金融服务体系。（1）鼓励开发性、政策性金融机构在业务范围内提供城乡融合发展中长期信贷支持。支持股份制商业银行和城市商业银行结合职能定位，突出重点支持领域，对上争取涉农信贷自主权。鼓励村镇银行拓展业务范围。（2）积极推广面向城乡融合发展的投融资平台和普惠金融平台。完善绿色信贷体系，鼓励金融机构创新“三农”绿色金融产品和服务。（3）降低农村金融风险。加大农业保险险种创新。结合“信用淄博”，推广综合性农村信用信息平台，推进农村信用体系建设，培养形成农户和涉农经营主体的守信意识和契约意识。</w:t>
      </w:r>
      <w:r>
        <w:rPr>
          <w:rFonts w:hint="eastAsia" w:ascii="黑体" w:hAnsi="黑体" w:eastAsia="黑体" w:cs="黑体"/>
          <w:color w:val="auto"/>
          <w:kern w:val="0"/>
          <w:sz w:val="32"/>
          <w:szCs w:val="32"/>
          <w:u w:val="none"/>
          <w:lang w:val="en-US" w:eastAsia="zh-CN" w:bidi="ar"/>
        </w:rPr>
        <w:t>（责任单位：区金融发展促进中心、区发改局、人行临淄支行、临淄银保监组，各镇、街道）</w:t>
      </w:r>
    </w:p>
    <w:p w14:paraId="2BA190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2.开展农村产权抵押担保融资。</w:t>
      </w:r>
      <w:r>
        <w:rPr>
          <w:rFonts w:hint="eastAsia" w:ascii="仿宋_GB2312" w:hAnsi="仿宋_GB2312" w:eastAsia="仿宋_GB2312" w:cs="仿宋_GB2312"/>
          <w:color w:val="auto"/>
          <w:kern w:val="0"/>
          <w:sz w:val="32"/>
          <w:szCs w:val="32"/>
          <w:u w:val="none"/>
          <w:lang w:val="en-US" w:eastAsia="zh-CN" w:bidi="ar"/>
        </w:rPr>
        <w:t>（1）落实农村产权抵押贷款管理办法，发展农村产权专业评估机构。加快农村小型水利设施、林权、集体建设用地等不动产产权确权登记颁证，推动农村各类产权确权赋能。（2）推动形成多元化农村产权抵押担保融资模式。大力发展农村直接融资，推动优势涉农企业上市融资。鼓励政府性融资担保机构为农业经营主体提供专业化、低成本的融资增信服务。探索组建市场化投资运营公司，搭建投融资平台，推动城乡融合发展重大项目、重大工程建设。探索推进农民住房财产权、集体经营性建设用地使用权抵押贷款试点及成果转化应用。（3）完善农业保险保费补贴政策，持续推动农业保险业务“扩面、增品、提标”。创新“政银担”合作机制，探索设立农村产权抵押风险补偿基金。</w:t>
      </w:r>
      <w:r>
        <w:rPr>
          <w:rFonts w:hint="eastAsia" w:ascii="黑体" w:hAnsi="黑体" w:eastAsia="黑体" w:cs="黑体"/>
          <w:color w:val="auto"/>
          <w:kern w:val="0"/>
          <w:sz w:val="32"/>
          <w:szCs w:val="32"/>
          <w:u w:val="none"/>
          <w:lang w:val="en-US" w:eastAsia="zh-CN" w:bidi="ar"/>
        </w:rPr>
        <w:t>（责任单位：区农业农村局、区财政局、区自然资源局、区金融发展促进中心，各镇、街道）</w:t>
      </w:r>
    </w:p>
    <w:p w14:paraId="429AC8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（四）搭建城中村改造合作平台</w:t>
      </w:r>
    </w:p>
    <w:p w14:paraId="749663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1.统一规划城中村改造片区。</w:t>
      </w:r>
      <w:r>
        <w:rPr>
          <w:rFonts w:hint="eastAsia" w:ascii="仿宋_GB2312" w:hAnsi="仿宋_GB2312" w:eastAsia="仿宋_GB2312" w:cs="仿宋_GB2312"/>
          <w:color w:val="auto"/>
          <w:kern w:val="0"/>
          <w:sz w:val="32"/>
          <w:szCs w:val="32"/>
          <w:u w:val="none"/>
          <w:lang w:val="en-US" w:eastAsia="zh-CN" w:bidi="ar"/>
        </w:rPr>
        <w:t>遵循统筹兼顾、规划先行的原则，结合空间规划编制，</w:t>
      </w:r>
      <w:r>
        <w:rPr>
          <w:rFonts w:hint="eastAsia" w:ascii="仿宋_GB2312" w:hAnsi="仿宋_GB2312" w:eastAsia="仿宋_GB2312" w:cs="仿宋_GB2312"/>
          <w:color w:val="auto"/>
          <w:sz w:val="32"/>
          <w:szCs w:val="32"/>
          <w:u w:val="none"/>
        </w:rPr>
        <w:t>根据实际需要组织编制城中村改造专项规划或片区详细规划</w:t>
      </w:r>
      <w:r>
        <w:rPr>
          <w:rFonts w:hint="eastAsia" w:ascii="仿宋_GB2312" w:hAnsi="仿宋_GB2312" w:eastAsia="仿宋_GB2312" w:cs="仿宋_GB2312"/>
          <w:color w:val="auto"/>
          <w:kern w:val="0"/>
          <w:sz w:val="32"/>
          <w:szCs w:val="32"/>
          <w:u w:val="none"/>
          <w:lang w:val="en-US" w:eastAsia="zh-CN" w:bidi="ar"/>
        </w:rPr>
        <w:t>，实现城中村改造与城区品质提升目标有机统一。城中村改造主体根据空间规划编制项目改造方案，经区政府审批报市政府相关部门审核备案后实施。</w:t>
      </w:r>
      <w:r>
        <w:rPr>
          <w:rFonts w:hint="eastAsia" w:ascii="黑体" w:hAnsi="黑体" w:eastAsia="黑体" w:cs="黑体"/>
          <w:color w:val="auto"/>
          <w:kern w:val="0"/>
          <w:sz w:val="32"/>
          <w:szCs w:val="32"/>
          <w:u w:val="none"/>
          <w:lang w:val="en-US" w:eastAsia="zh-CN" w:bidi="ar"/>
        </w:rPr>
        <w:t>（责任单位：区自然资源局、区住建局，各镇、街道）</w:t>
      </w:r>
    </w:p>
    <w:p w14:paraId="4400C9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2.探索城中村改造模式。</w:t>
      </w:r>
      <w:r>
        <w:rPr>
          <w:rFonts w:hint="eastAsia" w:ascii="仿宋_GB2312" w:hAnsi="仿宋_GB2312" w:eastAsia="仿宋_GB2312" w:cs="仿宋_GB2312"/>
          <w:color w:val="auto"/>
          <w:kern w:val="0"/>
          <w:sz w:val="32"/>
          <w:szCs w:val="32"/>
          <w:u w:val="none"/>
          <w:lang w:val="en-US" w:eastAsia="zh-CN" w:bidi="ar"/>
        </w:rPr>
        <w:t>（1）按照政府主导、统一规划、市场运作、妥善安置的原则实施城中村改造。（2）对于具备整体拆除重建条件、具有改造必要的城中村实施全面改造。对于不具备全面改造条件的城中村通过局部拆建、加建扩建、功能改变、整治修缮、完善配套设施等方式增加公共空间。鼓励村庄之间打破地域界限，实施集中安置。（3）对资金不能实现平衡的城中村改造项目，在全区范围内进行平衡。列入棚户区改造范围的城中村改造项目免收各种行政事业性收费。（4）优化城中村改造住房安置政策，完善拆迁补偿标准，规范拆迁补偿行为，确保城中村居民住房条件明显改善。</w:t>
      </w:r>
      <w:r>
        <w:rPr>
          <w:rFonts w:hint="eastAsia" w:ascii="黑体" w:hAnsi="黑体" w:eastAsia="黑体" w:cs="黑体"/>
          <w:color w:val="auto"/>
          <w:kern w:val="0"/>
          <w:sz w:val="32"/>
          <w:szCs w:val="32"/>
          <w:u w:val="none"/>
          <w:lang w:val="en-US" w:eastAsia="zh-CN" w:bidi="ar"/>
        </w:rPr>
        <w:t>（责任单位：区住建局、区自然资源局、区财政局，各镇、街道）</w:t>
      </w:r>
    </w:p>
    <w:p w14:paraId="1AF475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3.完善城中村改造配套政策。</w:t>
      </w:r>
      <w:r>
        <w:rPr>
          <w:rFonts w:hint="eastAsia" w:ascii="仿宋_GB2312" w:hAnsi="仿宋_GB2312" w:eastAsia="仿宋_GB2312" w:cs="仿宋_GB2312"/>
          <w:color w:val="auto"/>
          <w:kern w:val="0"/>
          <w:sz w:val="32"/>
          <w:szCs w:val="32"/>
          <w:u w:val="none"/>
          <w:lang w:val="en-US" w:eastAsia="zh-CN" w:bidi="ar"/>
        </w:rPr>
        <w:t>在保障城中村村民居住条件的前提下，留出一定比例的土地、房产等，鼓励农村集体经济组织建设专业市场、标准厂房、商业门面、仓储中心等，用于壮大村集体经济和满足村民生活需求。支持引进社会工商资本对村级产业园进行改造升级。推动城中村改造片区与周边区域有机融合，按照城区社区设施配套标准，加快完善城中村供暖、燃气、污水处理、停车等基础设施，配齐教育、卫生、文化、体育、商业、社区服务等公共服务设施，实现同城同待遇。推动金融机构创新金融产品，加强与融资担保机构的业务合作，支持城中村改造项目融资需求。</w:t>
      </w:r>
      <w:r>
        <w:rPr>
          <w:rFonts w:hint="eastAsia" w:ascii="黑体" w:hAnsi="黑体" w:eastAsia="黑体" w:cs="黑体"/>
          <w:color w:val="auto"/>
          <w:kern w:val="0"/>
          <w:sz w:val="32"/>
          <w:szCs w:val="32"/>
          <w:u w:val="none"/>
          <w:lang w:val="en-US" w:eastAsia="zh-CN" w:bidi="ar"/>
        </w:rPr>
        <w:t>（责任单位：区住建局、区金融发展促进中心、人行临淄支行、临淄银保监组，各镇、街道）</w:t>
      </w:r>
    </w:p>
    <w:p w14:paraId="4B7AB8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（五）搭建城乡产业协同发展平台</w:t>
      </w:r>
    </w:p>
    <w:p w14:paraId="3706F5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1.健全城乡产业协同发展体系。</w:t>
      </w:r>
      <w:r>
        <w:rPr>
          <w:rFonts w:hint="eastAsia" w:ascii="仿宋_GB2312" w:hAnsi="仿宋_GB2312" w:eastAsia="仿宋_GB2312" w:cs="仿宋_GB2312"/>
          <w:color w:val="auto"/>
          <w:kern w:val="0"/>
          <w:sz w:val="32"/>
          <w:szCs w:val="32"/>
          <w:u w:val="none"/>
          <w:lang w:val="en-US" w:eastAsia="zh-CN" w:bidi="ar"/>
        </w:rPr>
        <w:t>支持城乡融合发展典型项目、重大生产力项目优先布局。健全“要素跟着项目走”保障机制，实行“亩产效益”评价改革，推行“标准地”改革，推广新增工业用地弹性年期出让、长期租赁等方式。充分应用现代信息技术，探索构建城乡产业协同发展信息共享平台。鼓励以镇、街道或若干村为单元，利用镇、街道集体经营性建设用地，建设工业标准厂房，推动周边村庄居民就近就业，实现部分农村剩余劳动力就近就地城镇化。</w:t>
      </w:r>
      <w:r>
        <w:rPr>
          <w:rFonts w:hint="eastAsia" w:ascii="黑体" w:hAnsi="黑体" w:eastAsia="黑体" w:cs="黑体"/>
          <w:color w:val="auto"/>
          <w:kern w:val="0"/>
          <w:sz w:val="32"/>
          <w:szCs w:val="32"/>
          <w:u w:val="none"/>
          <w:lang w:val="en-US" w:eastAsia="zh-CN" w:bidi="ar"/>
        </w:rPr>
        <w:t>（责任单位：区发改局、区工信局、区农业农村局、区科技局、区商务局，各镇、街道）</w:t>
      </w:r>
    </w:p>
    <w:p w14:paraId="47391C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2.优化提升特色小镇。</w:t>
      </w:r>
      <w:r>
        <w:rPr>
          <w:rFonts w:hint="eastAsia" w:ascii="仿宋_GB2312" w:hAnsi="仿宋_GB2312" w:eastAsia="仿宋_GB2312" w:cs="仿宋_GB2312"/>
          <w:color w:val="auto"/>
          <w:kern w:val="0"/>
          <w:sz w:val="32"/>
          <w:szCs w:val="32"/>
          <w:u w:val="none"/>
          <w:lang w:val="en-US" w:eastAsia="zh-CN" w:bidi="ar"/>
        </w:rPr>
        <w:t>（1）以找准定位、突出产业、提升品质为要求，在差异定位和领域细分中构建小镇优质产业，打造一批产业“特而强”、功能“聚而合”、形态“小而美”、机制“新而活”的特色小镇。加强特色小镇技术和人才储备，加速特色小镇优化升级。（2）合理规划特色小镇功能区布局，在资金、人才、用地指标等方面给予扶持，加快提升特色小镇基础设施、生活商业配套设施、文化休闲环境建设水平，把特色小镇打造成农民进城创业、城乡融合发展、产城人文共建、传承特色文化的示范载体。（3）</w:t>
      </w:r>
      <w:r>
        <w:rPr>
          <w:rFonts w:hint="eastAsia" w:ascii="仿宋_GB2312" w:hAnsi="仿宋_GB2312" w:eastAsia="仿宋_GB2312" w:cs="仿宋_GB2312"/>
          <w:color w:val="auto"/>
          <w:sz w:val="32"/>
          <w:szCs w:val="32"/>
          <w:u w:val="none"/>
        </w:rPr>
        <w:t>以争创省、市级森林村镇为抓手，积极开展村庄、荒山绿化提升。</w:t>
      </w:r>
      <w:r>
        <w:rPr>
          <w:rFonts w:hint="eastAsia" w:ascii="仿宋_GB2312" w:hAnsi="仿宋_GB2312" w:eastAsia="仿宋_GB2312" w:cs="仿宋_GB2312"/>
          <w:color w:val="auto"/>
          <w:kern w:val="0"/>
          <w:sz w:val="32"/>
          <w:szCs w:val="32"/>
          <w:u w:val="none"/>
          <w:lang w:val="en-US" w:eastAsia="zh-CN" w:bidi="ar"/>
        </w:rPr>
        <w:t>结合全域公园城市和美丽乡村建设，以建制镇为主要对象，探索开展“美丽城镇”建设行动，</w:t>
      </w:r>
      <w:r>
        <w:rPr>
          <w:rFonts w:hint="eastAsia" w:ascii="仿宋_GB2312" w:hAnsi="仿宋_GB2312" w:eastAsia="仿宋_GB2312" w:cs="仿宋_GB2312"/>
          <w:i w:val="0"/>
          <w:caps w:val="0"/>
          <w:color w:val="auto"/>
          <w:spacing w:val="0"/>
          <w:sz w:val="32"/>
          <w:szCs w:val="32"/>
          <w:u w:val="none"/>
        </w:rPr>
        <w:t>到2022年</w:t>
      </w:r>
      <w:r>
        <w:rPr>
          <w:rFonts w:hint="eastAsia" w:ascii="仿宋_GB2312" w:hAnsi="仿宋_GB2312" w:eastAsia="仿宋_GB2312" w:cs="仿宋_GB2312"/>
          <w:i w:val="0"/>
          <w:caps w:val="0"/>
          <w:color w:val="auto"/>
          <w:spacing w:val="0"/>
          <w:sz w:val="32"/>
          <w:szCs w:val="32"/>
          <w:u w:val="none"/>
          <w:lang w:val="en-US" w:eastAsia="zh-CN"/>
        </w:rPr>
        <w:t>全区</w:t>
      </w:r>
      <w:r>
        <w:rPr>
          <w:rFonts w:hint="eastAsia" w:ascii="仿宋_GB2312" w:hAnsi="仿宋_GB2312" w:eastAsia="仿宋_GB2312" w:cs="仿宋_GB2312"/>
          <w:i w:val="0"/>
          <w:caps w:val="0"/>
          <w:color w:val="auto"/>
          <w:spacing w:val="0"/>
          <w:sz w:val="32"/>
          <w:szCs w:val="32"/>
          <w:u w:val="none"/>
        </w:rPr>
        <w:t>至少打造一个美丽城镇样板，到2025年全</w:t>
      </w:r>
      <w:r>
        <w:rPr>
          <w:rFonts w:hint="eastAsia" w:ascii="仿宋_GB2312" w:hAnsi="仿宋_GB2312" w:eastAsia="仿宋_GB2312" w:cs="仿宋_GB2312"/>
          <w:i w:val="0"/>
          <w:caps w:val="0"/>
          <w:color w:val="auto"/>
          <w:spacing w:val="0"/>
          <w:sz w:val="32"/>
          <w:szCs w:val="32"/>
          <w:u w:val="none"/>
          <w:lang w:val="en-US" w:eastAsia="zh-CN"/>
        </w:rPr>
        <w:t>区</w:t>
      </w:r>
      <w:r>
        <w:rPr>
          <w:rFonts w:hint="eastAsia" w:ascii="仿宋_GB2312" w:hAnsi="仿宋_GB2312" w:eastAsia="仿宋_GB2312" w:cs="仿宋_GB2312"/>
          <w:i w:val="0"/>
          <w:caps w:val="0"/>
          <w:color w:val="auto"/>
          <w:spacing w:val="0"/>
          <w:sz w:val="32"/>
          <w:szCs w:val="32"/>
          <w:u w:val="none"/>
        </w:rPr>
        <w:t>所有镇基本达到美丽城镇要求，初步构建以镇政府驻地为中心，宜居宜业、舒适便捷的镇村生活圈，加快形成城乡融合、全域美丽新格局。</w:t>
      </w:r>
      <w:r>
        <w:rPr>
          <w:rFonts w:hint="eastAsia" w:ascii="黑体" w:hAnsi="黑体" w:eastAsia="黑体" w:cs="黑体"/>
          <w:color w:val="auto"/>
          <w:kern w:val="0"/>
          <w:sz w:val="32"/>
          <w:szCs w:val="32"/>
          <w:u w:val="none"/>
          <w:lang w:val="en-US" w:eastAsia="zh-CN" w:bidi="ar"/>
        </w:rPr>
        <w:t>（责任单位：区住建局、区发改局、区自然资源局、区农业农村局，各镇、街道）</w:t>
      </w:r>
    </w:p>
    <w:p w14:paraId="48D8A6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3.打造数字农业示范园区。</w:t>
      </w:r>
      <w:r>
        <w:rPr>
          <w:rFonts w:hint="eastAsia" w:ascii="仿宋_GB2312" w:hAnsi="仿宋_GB2312" w:eastAsia="仿宋_GB2312" w:cs="仿宋_GB2312"/>
          <w:color w:val="auto"/>
          <w:kern w:val="0"/>
          <w:sz w:val="32"/>
          <w:szCs w:val="32"/>
          <w:u w:val="none"/>
          <w:lang w:val="en-US" w:eastAsia="zh-CN" w:bidi="ar"/>
        </w:rPr>
        <w:t>以打造数字农业农村城市为引领，积极运用数字化、信息化、智能化、智慧化技术推动农业农村转型升级、跨越发展，积极运用大数据、人工智能、区块链、5G等技术嫁接改造农业全链条、农村各领域，全面提升农业农村生产智能化、经营网络化、管理高效化、服务便捷化水平，用数字化引领实现农业农村现代化。加强数字农业科技服务支撑，鼓励农业龙头企业、园区与科研院校、重点实验室建立创新协同共享机制，在品种研发、生产加工、仓储物流、市场营销等环节形成全产业链数字融合应用整体解决方案。</w:t>
      </w:r>
      <w:r>
        <w:rPr>
          <w:rFonts w:hint="eastAsia" w:ascii="黑体" w:hAnsi="黑体" w:eastAsia="黑体" w:cs="黑体"/>
          <w:color w:val="auto"/>
          <w:kern w:val="0"/>
          <w:sz w:val="32"/>
          <w:szCs w:val="32"/>
          <w:u w:val="none"/>
          <w:lang w:val="en-US" w:eastAsia="zh-CN" w:bidi="ar"/>
        </w:rPr>
        <w:t>（责任单位：区农业农村局、区发改局、区科技局、区大数据局，各镇、街道）</w:t>
      </w:r>
    </w:p>
    <w:p w14:paraId="363973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（六）建立城乡生态产品价值实现机制</w:t>
      </w:r>
    </w:p>
    <w:p w14:paraId="75CCD0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1.落实自然资源资产产权制度和有偿使用制度。</w:t>
      </w:r>
      <w:r>
        <w:rPr>
          <w:rFonts w:hint="eastAsia" w:ascii="仿宋_GB2312" w:hAnsi="仿宋_GB2312" w:eastAsia="仿宋_GB2312" w:cs="仿宋_GB2312"/>
          <w:color w:val="auto"/>
          <w:kern w:val="0"/>
          <w:sz w:val="32"/>
          <w:szCs w:val="32"/>
          <w:u w:val="none"/>
          <w:lang w:val="en-US" w:eastAsia="zh-CN" w:bidi="ar"/>
        </w:rPr>
        <w:t>结合第三次国土调查，全面调查全区自然资源状况，掌握重要自然资源的数量、分布、权属、保护和开发等利用状况，推进自然保护地、河流湖泊、矿产资源、森林、湿地等全要素自然资源产权统一确权登记。建立生态资产和生态产品目录清单，科学评估各类生态产品的潜在价值量，建立生态产品数据库。完善全民自然资源资产所有权委托代理机制。开展林权改革，探索将集体土地、林地等自然资源资产折算转算为企业、合作社股权，建立完善国有森林资源有偿使用制度。</w:t>
      </w:r>
      <w:r>
        <w:rPr>
          <w:rFonts w:hint="eastAsia" w:ascii="仿宋_GB2312" w:hAnsi="仿宋_GB2312" w:eastAsia="仿宋_GB2312" w:cs="仿宋_GB2312"/>
          <w:color w:val="auto"/>
          <w:sz w:val="32"/>
          <w:szCs w:val="32"/>
          <w:u w:val="none"/>
          <w:lang w:val="en-US" w:eastAsia="zh-CN"/>
        </w:rPr>
        <w:t>深入推进水资源税改革试点，完善引导全社会节水的水资源税征收机制。</w:t>
      </w:r>
      <w:r>
        <w:rPr>
          <w:rFonts w:hint="eastAsia" w:ascii="黑体" w:hAnsi="黑体" w:eastAsia="黑体" w:cs="黑体"/>
          <w:color w:val="auto"/>
          <w:kern w:val="0"/>
          <w:sz w:val="32"/>
          <w:szCs w:val="32"/>
          <w:u w:val="none"/>
          <w:lang w:val="en-US" w:eastAsia="zh-CN" w:bidi="ar"/>
        </w:rPr>
        <w:t>（责任单位：区自然资源局、临淄生态环境分局、区水利局、区农业农村局、区统计局，各镇、街道）</w:t>
      </w:r>
    </w:p>
    <w:p w14:paraId="70541D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2.建立健全生态产品市场交易体系。</w:t>
      </w:r>
      <w:r>
        <w:rPr>
          <w:rFonts w:hint="eastAsia" w:ascii="仿宋_GB2312" w:hAnsi="仿宋_GB2312" w:eastAsia="仿宋_GB2312" w:cs="仿宋_GB2312"/>
          <w:color w:val="auto"/>
          <w:kern w:val="0"/>
          <w:sz w:val="32"/>
          <w:szCs w:val="32"/>
          <w:u w:val="none"/>
          <w:lang w:val="en-US" w:eastAsia="zh-CN" w:bidi="ar"/>
        </w:rPr>
        <w:t>建立生态产品生产和消费挂钩机制，设立生态产品生产和消费交易平台，建立完善排污权、用能权、碳排放权等环境权益的交易制度。探索开展清洁能源抵扣能耗消费总量改革。建立生态信用档案、正负面清单和信用评价机制，将破坏生态环境、超过资源环境承载能力开发等行为纳入失信范围。探索建立生态信用行为与金融信贷、行政审批、医疗保险等挂钩的联动奖惩机制。探索开展排污权和节能环保、清洁生产、清洁能源企业的收费权质押融资创新业务。推动绿色资产证券化。推进企业环境污染责任保险。探索完善生态补偿机制。</w:t>
      </w:r>
      <w:r>
        <w:rPr>
          <w:rFonts w:hint="eastAsia" w:ascii="黑体" w:hAnsi="黑体" w:eastAsia="黑体" w:cs="黑体"/>
          <w:color w:val="auto"/>
          <w:kern w:val="0"/>
          <w:sz w:val="32"/>
          <w:szCs w:val="32"/>
          <w:u w:val="none"/>
          <w:lang w:val="en-US" w:eastAsia="zh-CN" w:bidi="ar"/>
        </w:rPr>
        <w:t>（责任单位：临淄生态环境分局、区发改局、区自然资源局、区金融发展促进中心，各镇、街道）</w:t>
      </w:r>
    </w:p>
    <w:p w14:paraId="0C72EA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3.创新生态价值产业实现路径。</w:t>
      </w:r>
      <w:r>
        <w:rPr>
          <w:rFonts w:hint="eastAsia" w:ascii="仿宋_GB2312" w:hAnsi="仿宋_GB2312" w:eastAsia="仿宋_GB2312" w:cs="仿宋_GB2312"/>
          <w:color w:val="auto"/>
          <w:kern w:val="0"/>
          <w:sz w:val="32"/>
          <w:szCs w:val="32"/>
          <w:u w:val="none"/>
          <w:lang w:val="en-US" w:eastAsia="zh-CN" w:bidi="ar"/>
        </w:rPr>
        <w:t>树立村庄经营理念，把片区打造与发展美丽经济有机结合起来，把良好生态环境转化为生态产业，打通“两山”转化通道。建立农产品品牌培育、发展和保护体系，做大做强“临淄西红柿”“临淄西葫芦”“边河小米”农产品区域公用品牌。加快生态农业建设，实施最严格的农药化肥管控制度，大力发展绿色种植、绿色养殖等高效生态循环农业，争创省级农业绿色发展先行区。建设生态产品研发平台，打造生态农产品全产业链创新服务体系，培育优势主导产业或农业产业园区。</w:t>
      </w:r>
      <w:r>
        <w:rPr>
          <w:rFonts w:hint="eastAsia" w:ascii="仿宋_GB2312" w:hAnsi="仿宋_GB2312" w:eastAsia="仿宋_GB2312" w:cs="仿宋_GB2312"/>
          <w:b w:val="0"/>
          <w:bCs w:val="0"/>
          <w:color w:val="auto"/>
          <w:sz w:val="32"/>
          <w:szCs w:val="32"/>
          <w:u w:val="none"/>
        </w:rPr>
        <w:t>积极盘活农村空闲宅基地、闲置农房，发展乡村旅游、文创基地、康养旅游、高端民宿等旅游新产业、新业态，推动农业、林业与旅游、文化等产业深度融合发展。</w:t>
      </w:r>
      <w:r>
        <w:rPr>
          <w:rFonts w:hint="eastAsia" w:ascii="仿宋_GB2312" w:hAnsi="仿宋_GB2312" w:eastAsia="仿宋_GB2312" w:cs="仿宋_GB2312"/>
          <w:color w:val="auto"/>
          <w:kern w:val="0"/>
          <w:sz w:val="32"/>
          <w:szCs w:val="32"/>
          <w:u w:val="none"/>
          <w:lang w:val="en-US" w:eastAsia="zh-CN" w:bidi="ar"/>
        </w:rPr>
        <w:t>支持发展农村电商，培育打造本土涉农电商平台，以农产品销售龙头企业为载体，积极引导农产品流通“线上”“线下”联动。</w:t>
      </w:r>
      <w:r>
        <w:rPr>
          <w:rFonts w:hint="eastAsia" w:ascii="仿宋_GB2312" w:hAnsi="仿宋_GB2312" w:eastAsia="仿宋_GB2312" w:cs="仿宋_GB2312"/>
          <w:b w:val="0"/>
          <w:bCs w:val="0"/>
          <w:color w:val="auto"/>
          <w:sz w:val="32"/>
          <w:szCs w:val="32"/>
          <w:u w:val="none"/>
        </w:rPr>
        <w:t>积极鼓励大学生返乡创业，参与家乡乡村旅游发展，带动村民共同奔小康。</w:t>
      </w:r>
      <w:r>
        <w:rPr>
          <w:rFonts w:hint="eastAsia" w:ascii="仿宋_GB2312" w:hAnsi="仿宋_GB2312" w:eastAsia="仿宋_GB2312" w:cs="仿宋_GB2312"/>
          <w:color w:val="auto"/>
          <w:kern w:val="0"/>
          <w:sz w:val="32"/>
          <w:szCs w:val="32"/>
          <w:u w:val="none"/>
          <w:lang w:val="en-US" w:eastAsia="zh-CN" w:bidi="ar"/>
        </w:rPr>
        <w:t>实施最严格的生态工业准入制度，严格落实建设项目总量削减替代制度。支持生态高科技公司发展，培育壮大绿色食品加工、新能源、新材料等产业。</w:t>
      </w:r>
      <w:r>
        <w:rPr>
          <w:rFonts w:hint="eastAsia" w:ascii="黑体" w:hAnsi="黑体" w:eastAsia="黑体" w:cs="黑体"/>
          <w:color w:val="auto"/>
          <w:kern w:val="0"/>
          <w:sz w:val="32"/>
          <w:szCs w:val="32"/>
          <w:u w:val="none"/>
          <w:lang w:val="en-US" w:eastAsia="zh-CN" w:bidi="ar"/>
        </w:rPr>
        <w:t>（责任单位：区农业农村局、区发改局、区工信局、临淄生态环境分局、区自然资源局、区商务局、区文旅局、区卫健局、区人社局，各镇、街道）</w:t>
      </w:r>
    </w:p>
    <w:p w14:paraId="2AAD88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（七）建立城乡基础设施一体化和基本公共服务均等化发展体制机制</w:t>
      </w:r>
    </w:p>
    <w:p w14:paraId="22CA48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1.推动城乡基础设施一体化建设。</w:t>
      </w:r>
      <w:r>
        <w:rPr>
          <w:rFonts w:hint="eastAsia" w:ascii="仿宋_GB2312" w:hAnsi="仿宋_GB2312" w:eastAsia="仿宋_GB2312" w:cs="仿宋_GB2312"/>
          <w:color w:val="auto"/>
          <w:kern w:val="0"/>
          <w:sz w:val="32"/>
          <w:szCs w:val="32"/>
          <w:u w:val="none"/>
          <w:lang w:val="en-US" w:eastAsia="zh-CN" w:bidi="ar"/>
        </w:rPr>
        <w:t>统筹推进城乡基础设施一体化规划、一体化建设、一体化管护，加快补齐城乡基础设施短板。优化农村公路路网，改善农村公路路面技术状况，实施路网延伸通达工程、路网改造提升工程、路面状况改善工程、危桥改造等项目。开展“四好农村路”提质增效专项行动，畅通城乡交通运输连接，建成现代城乡交通网络。实施农村通户道路硬化提升工程。加快城乡步行道路系统建设，结合各类交通道路开展绿道配置，建设安全、连续、生态的绿道慢行系统。统筹规划城乡污染物收运处置体系，严防城区污染上山下乡。加快建立乡村生态环境保护和美丽乡村建设长效机制，有效恢复和保护“山、水、林、田、湖”。建立全区城乡基础设施项目库，加强创新投融资方式，多渠道吸收金融和社会资本，重点向城乡基础设施补短板领域倾斜。发挥中心镇在城乡发展中的纽带作用，围绕公共服务设施提标扩面、环境卫生设施提级扩能、市政公用设施提档升级、产业培育设施提质增效，全面推进镇域城镇化补短板强弱项。</w:t>
      </w:r>
      <w:r>
        <w:rPr>
          <w:rFonts w:hint="eastAsia" w:ascii="黑体" w:hAnsi="黑体" w:eastAsia="黑体" w:cs="黑体"/>
          <w:color w:val="auto"/>
          <w:kern w:val="0"/>
          <w:sz w:val="32"/>
          <w:szCs w:val="32"/>
          <w:u w:val="none"/>
          <w:lang w:val="en-US" w:eastAsia="zh-CN" w:bidi="ar"/>
        </w:rPr>
        <w:t>（责任单位：区住建局、区交通运输局、区发改局、区财政局、区自然资源局、区水利局、区农业农村局、区金融发展促进中心，各镇、街道）</w:t>
      </w:r>
    </w:p>
    <w:p w14:paraId="48BBF9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2.推动城乡教育均等化发展。</w:t>
      </w:r>
      <w:r>
        <w:rPr>
          <w:rFonts w:hint="eastAsia" w:ascii="仿宋_GB2312" w:hAnsi="仿宋_GB2312" w:eastAsia="仿宋_GB2312" w:cs="仿宋_GB2312"/>
          <w:color w:val="auto"/>
          <w:sz w:val="32"/>
          <w:szCs w:val="32"/>
          <w:u w:val="none"/>
          <w:lang w:val="en-US" w:eastAsia="zh-CN"/>
        </w:rPr>
        <w:t>完善教育优先发展保障机制，落实学前教育公办园生均公用经费和普惠性幼儿园生均经费补助资金，稳步提高城乡义务教育学校经费保障水平。加快实施《临淄区中小学及幼儿园布局规划（2019—2030）》，积极创建推进国家义务教育优质均衡发展区县和学前教育普及普惠区县。深化“互联网+教育”，实现教育公共服务平台资源全贯通，打造专递课堂、名师课堂和名校网络课堂，提升城乡教育发展共同体建设水平，以教育信息化推动城乡教育质量共同提高。深化中小学教师“县管校聘”管理改革，精准补充乡村学校紧缺学科教师，优化乡村教师队伍结构。深入实施乡村教师支持计划，在职称评聘等方面向乡村教师倾斜。</w:t>
      </w:r>
      <w:r>
        <w:rPr>
          <w:rFonts w:hint="eastAsia" w:ascii="黑体" w:hAnsi="黑体" w:eastAsia="黑体" w:cs="黑体"/>
          <w:color w:val="auto"/>
          <w:kern w:val="0"/>
          <w:sz w:val="32"/>
          <w:szCs w:val="32"/>
          <w:u w:val="none"/>
          <w:lang w:val="en-US" w:eastAsia="zh-CN" w:bidi="ar"/>
        </w:rPr>
        <w:t>（责任单位：区教体局、区编办、区发改局、区财政局、区自然资源局、区住建局、区人社局，各镇、街道）</w:t>
      </w:r>
    </w:p>
    <w:p w14:paraId="4B87FB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3.推动城乡卫生健康均等化发展。</w:t>
      </w:r>
      <w:r>
        <w:rPr>
          <w:rFonts w:hint="eastAsia" w:ascii="仿宋_GB2312" w:hAnsi="仿宋_GB2312" w:eastAsia="仿宋_GB2312" w:cs="仿宋_GB2312"/>
          <w:color w:val="auto"/>
          <w:sz w:val="32"/>
          <w:szCs w:val="32"/>
          <w:u w:val="none"/>
        </w:rPr>
        <w:t>健全城乡卫生健康网络化服务运行机制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推进以</w:t>
      </w:r>
      <w:r>
        <w:rPr>
          <w:rFonts w:hint="eastAsia" w:ascii="仿宋_GB2312" w:hAnsi="仿宋_GB2312" w:eastAsia="仿宋_GB2312" w:cs="仿宋_GB2312"/>
          <w:color w:val="auto"/>
          <w:sz w:val="32"/>
          <w:szCs w:val="32"/>
          <w:u w:val="none"/>
          <w:lang w:val="en-US" w:eastAsia="zh-CN"/>
        </w:rPr>
        <w:t>区级医院</w:t>
      </w:r>
      <w:r>
        <w:rPr>
          <w:rFonts w:hint="eastAsia" w:ascii="仿宋_GB2312" w:hAnsi="仿宋_GB2312" w:eastAsia="仿宋_GB2312" w:cs="仿宋_GB2312"/>
          <w:color w:val="auto"/>
          <w:sz w:val="32"/>
          <w:szCs w:val="32"/>
          <w:u w:val="none"/>
        </w:rPr>
        <w:t>为龙头、乡镇卫生院</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社区卫生服务中心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为成员的紧密型</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医共体</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建设</w:t>
      </w:r>
      <w:r>
        <w:rPr>
          <w:rFonts w:hint="eastAsia" w:ascii="仿宋_GB2312" w:hAnsi="仿宋_GB2312" w:eastAsia="仿宋_GB2312" w:cs="仿宋_GB2312"/>
          <w:color w:val="auto"/>
          <w:sz w:val="32"/>
          <w:szCs w:val="32"/>
          <w:u w:val="none"/>
        </w:rPr>
        <w:t>。推进“互联网</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医疗健康”服务体系建设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全面落实远程医疗、网上诊疗服务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引领优质医疗资源下沉</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促进健康服务“零距离”。加强以全科医生为主的家庭医生团队建设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引导建立以健康管理为中心的医防融合新型服务模式</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优先覆盖农村老年人、孕产妇、儿童、慢性病患者和贫困人口等重点人群。加快乡村卫生机构提档升级。深化中医药管理体制机制改革</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不断增强中医药服务基层能力</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推动中医药事业和产业高质量发展。深入实施“名医基层工作站”建设，继续选派优秀医生到基层担任“业务院长”。深化全民健康促进行动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倡导健康文明生活方式</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全力提高居民健康素养，推进急性传染病和慢性病联防联控和群防群控工作。</w:t>
      </w:r>
      <w:r>
        <w:rPr>
          <w:rFonts w:hint="eastAsia" w:ascii="黑体" w:hAnsi="黑体" w:eastAsia="黑体" w:cs="黑体"/>
          <w:color w:val="auto"/>
          <w:kern w:val="0"/>
          <w:sz w:val="32"/>
          <w:szCs w:val="32"/>
          <w:u w:val="none"/>
          <w:lang w:val="en-US" w:eastAsia="zh-CN" w:bidi="ar"/>
        </w:rPr>
        <w:t>（责任单位：区卫健局、区人社局，各镇、街道）</w:t>
      </w:r>
    </w:p>
    <w:p w14:paraId="13B7A5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4.</w:t>
      </w:r>
      <w:r>
        <w:rPr>
          <w:rFonts w:hint="eastAsia" w:ascii="仿宋_GB2312" w:hAnsi="仿宋_GB2312" w:eastAsia="仿宋_GB2312" w:cs="仿宋_GB2312"/>
          <w:b/>
          <w:bCs/>
          <w:color w:val="auto"/>
          <w:sz w:val="32"/>
          <w:szCs w:val="32"/>
          <w:u w:val="none"/>
        </w:rPr>
        <w:t>推动公共</w:t>
      </w:r>
      <w:r>
        <w:rPr>
          <w:rFonts w:hint="eastAsia" w:ascii="仿宋_GB2312" w:hAnsi="仿宋_GB2312" w:eastAsia="仿宋_GB2312" w:cs="仿宋_GB2312"/>
          <w:b/>
          <w:bCs/>
          <w:color w:val="auto"/>
          <w:sz w:val="32"/>
          <w:szCs w:val="32"/>
          <w:u w:val="none"/>
          <w:lang w:val="en-US" w:eastAsia="zh-CN"/>
        </w:rPr>
        <w:t>文化</w:t>
      </w:r>
      <w:r>
        <w:rPr>
          <w:rFonts w:hint="eastAsia" w:ascii="仿宋_GB2312" w:hAnsi="仿宋_GB2312" w:eastAsia="仿宋_GB2312" w:cs="仿宋_GB2312"/>
          <w:b/>
          <w:bCs/>
          <w:color w:val="auto"/>
          <w:sz w:val="32"/>
          <w:szCs w:val="32"/>
          <w:u w:val="none"/>
        </w:rPr>
        <w:t>服务均衡发展。</w:t>
      </w:r>
      <w:r>
        <w:rPr>
          <w:rFonts w:hint="eastAsia" w:ascii="仿宋_GB2312" w:hAnsi="仿宋_GB2312" w:eastAsia="仿宋_GB2312" w:cs="仿宋_GB2312"/>
          <w:b w:val="0"/>
          <w:bCs w:val="0"/>
          <w:color w:val="auto"/>
          <w:sz w:val="32"/>
          <w:szCs w:val="32"/>
          <w:u w:val="none"/>
        </w:rPr>
        <w:t>编制城乡文化旅游公共服务设施建设规划</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推动文化旅游公共服务标准化、规范化</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建立健全覆盖全民、普惠共享、城乡一体的文化旅游公共服务体系。加强镇</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街道</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综合文化站、村</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居</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综合性文化服务中心建设</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带动基层综合性文化服务中心功能升级。依托</w:t>
      </w:r>
      <w:r>
        <w:rPr>
          <w:rFonts w:hint="eastAsia" w:ascii="仿宋_GB2312" w:hAnsi="仿宋_GB2312" w:eastAsia="仿宋_GB2312" w:cs="仿宋_GB2312"/>
          <w:b w:val="0"/>
          <w:bCs w:val="0"/>
          <w:color w:val="auto"/>
          <w:sz w:val="32"/>
          <w:szCs w:val="32"/>
          <w:u w:val="none"/>
          <w:lang w:eastAsia="zh-CN"/>
        </w:rPr>
        <w:t>区</w:t>
      </w:r>
      <w:r>
        <w:rPr>
          <w:rFonts w:hint="eastAsia" w:ascii="仿宋_GB2312" w:hAnsi="仿宋_GB2312" w:eastAsia="仿宋_GB2312" w:cs="仿宋_GB2312"/>
          <w:b w:val="0"/>
          <w:bCs w:val="0"/>
          <w:color w:val="auto"/>
          <w:sz w:val="32"/>
          <w:szCs w:val="32"/>
          <w:u w:val="none"/>
        </w:rPr>
        <w:t>图书馆、文化馆总分馆制建设</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推动综合性文化服务中心与</w:t>
      </w:r>
      <w:r>
        <w:rPr>
          <w:rFonts w:hint="eastAsia" w:ascii="仿宋_GB2312" w:hAnsi="仿宋_GB2312" w:eastAsia="仿宋_GB2312" w:cs="仿宋_GB2312"/>
          <w:b w:val="0"/>
          <w:bCs w:val="0"/>
          <w:color w:val="auto"/>
          <w:sz w:val="32"/>
          <w:szCs w:val="32"/>
          <w:u w:val="none"/>
          <w:lang w:eastAsia="zh-CN"/>
        </w:rPr>
        <w:t>区</w:t>
      </w:r>
      <w:r>
        <w:rPr>
          <w:rFonts w:hint="eastAsia" w:ascii="仿宋_GB2312" w:hAnsi="仿宋_GB2312" w:eastAsia="仿宋_GB2312" w:cs="仿宋_GB2312"/>
          <w:b w:val="0"/>
          <w:bCs w:val="0"/>
          <w:color w:val="auto"/>
          <w:sz w:val="32"/>
          <w:szCs w:val="32"/>
          <w:u w:val="none"/>
        </w:rPr>
        <w:t>图书馆、文化馆互联互通</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实现城市与农村公共文化资源的双向流动、互利共享。鼓励庄户剧团与乡村公共文化设施共建共享。</w:t>
      </w:r>
      <w:r>
        <w:rPr>
          <w:rFonts w:hint="eastAsia" w:ascii="仿宋_GB2312" w:hAnsi="仿宋_GB2312" w:eastAsia="仿宋_GB2312" w:cs="仿宋_GB2312"/>
          <w:color w:val="auto"/>
          <w:kern w:val="0"/>
          <w:sz w:val="32"/>
          <w:szCs w:val="32"/>
          <w:u w:val="none"/>
          <w:lang w:val="en-US" w:eastAsia="zh-CN" w:bidi="ar"/>
        </w:rPr>
        <w:t>加强体育公园建设。</w:t>
      </w:r>
      <w:r>
        <w:rPr>
          <w:rFonts w:hint="eastAsia" w:ascii="黑体" w:hAnsi="黑体" w:eastAsia="黑体" w:cs="黑体"/>
          <w:color w:val="auto"/>
          <w:kern w:val="0"/>
          <w:sz w:val="32"/>
          <w:szCs w:val="32"/>
          <w:u w:val="none"/>
          <w:lang w:val="en-US" w:eastAsia="zh-CN" w:bidi="ar"/>
        </w:rPr>
        <w:t>（责任单位：区文旅局、区财政局、区教体局，各镇、街道）</w:t>
      </w:r>
    </w:p>
    <w:p w14:paraId="0B20DC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5.健全统筹城乡的社会保障体系。</w:t>
      </w:r>
      <w:r>
        <w:rPr>
          <w:rFonts w:hint="eastAsia" w:ascii="仿宋_GB2312" w:hAnsi="仿宋_GB2312" w:eastAsia="仿宋_GB2312" w:cs="仿宋_GB2312"/>
          <w:color w:val="auto"/>
          <w:sz w:val="32"/>
          <w:szCs w:val="32"/>
          <w:u w:val="none"/>
          <w:lang w:val="en-US" w:eastAsia="zh-CN"/>
        </w:rPr>
        <w:t>完善城乡居民基本养老保险待遇确定和基础养老金正常调整机制。</w:t>
      </w:r>
      <w:r>
        <w:rPr>
          <w:rFonts w:hint="eastAsia" w:ascii="仿宋_GB2312" w:hAnsi="仿宋_GB2312" w:eastAsia="仿宋_GB2312" w:cs="仿宋_GB2312"/>
          <w:color w:val="auto"/>
          <w:kern w:val="0"/>
          <w:sz w:val="32"/>
          <w:szCs w:val="32"/>
          <w:u w:val="none"/>
          <w:lang w:val="en-US" w:eastAsia="zh-CN" w:bidi="ar"/>
        </w:rPr>
        <w:t>稳步提高居民基本医保补助标准和大病保险报销比例。</w:t>
      </w:r>
      <w:r>
        <w:rPr>
          <w:rFonts w:hint="eastAsia" w:ascii="仿宋_GB2312" w:hAnsi="仿宋_GB2312" w:eastAsia="仿宋_GB2312" w:cs="仿宋_GB2312"/>
          <w:color w:val="auto"/>
          <w:sz w:val="32"/>
          <w:szCs w:val="32"/>
          <w:u w:val="none"/>
        </w:rPr>
        <w:t>鼓励利用农村闲置资产和土地建立农村区域性养老中心，探索建立农村养老周转房和幸福院建设模式。镇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街道</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持续建立临时救助备用金制度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按照市级要求调整和提高城乡低保标准。</w:t>
      </w:r>
      <w:r>
        <w:rPr>
          <w:rFonts w:hint="eastAsia" w:ascii="仿宋_GB2312" w:hAnsi="仿宋_GB2312" w:eastAsia="仿宋_GB2312" w:cs="仿宋_GB2312"/>
          <w:color w:val="auto"/>
          <w:kern w:val="0"/>
          <w:sz w:val="32"/>
          <w:szCs w:val="32"/>
          <w:u w:val="none"/>
          <w:lang w:val="en-US" w:eastAsia="zh-CN" w:bidi="ar"/>
        </w:rPr>
        <w:t>建立健全农村儿童和妇女、老年人关爱服务体系，持续开展“希望工程”“暖冬行动”“希望书包”等贫困青少年帮扶项目。落实困难残疾人分级分类保障制度。</w:t>
      </w:r>
      <w:r>
        <w:rPr>
          <w:rFonts w:hint="eastAsia" w:ascii="黑体" w:hAnsi="黑体" w:eastAsia="黑体" w:cs="黑体"/>
          <w:color w:val="auto"/>
          <w:kern w:val="0"/>
          <w:sz w:val="32"/>
          <w:szCs w:val="32"/>
          <w:u w:val="none"/>
          <w:lang w:val="en-US" w:eastAsia="zh-CN" w:bidi="ar"/>
        </w:rPr>
        <w:t>（责任单位：区民政局、区人社局、团区委、区妇联、区残联、临淄医保分局，各镇、街道）</w:t>
      </w:r>
    </w:p>
    <w:p w14:paraId="26CB4B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黑体" w:hAnsi="黑体" w:eastAsia="黑体" w:cs="黑体"/>
          <w:color w:val="auto"/>
          <w:kern w:val="0"/>
          <w:sz w:val="32"/>
          <w:szCs w:val="32"/>
          <w:u w:val="none"/>
          <w:lang w:val="en-US" w:eastAsia="zh-CN" w:bidi="ar"/>
        </w:rPr>
      </w:pPr>
      <w:r>
        <w:rPr>
          <w:rFonts w:hint="eastAsia" w:ascii="黑体" w:hAnsi="黑体" w:eastAsia="黑体" w:cs="黑体"/>
          <w:color w:val="auto"/>
          <w:kern w:val="0"/>
          <w:sz w:val="32"/>
          <w:szCs w:val="32"/>
          <w:u w:val="none"/>
          <w:lang w:val="en-US" w:eastAsia="zh-CN" w:bidi="ar"/>
        </w:rPr>
        <w:t>三、保障措施</w:t>
      </w:r>
    </w:p>
    <w:p w14:paraId="716BCF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（一）健全组织领导机制。</w:t>
      </w:r>
      <w:r>
        <w:rPr>
          <w:rFonts w:hint="eastAsia" w:ascii="仿宋_GB2312" w:hAnsi="仿宋_GB2312" w:eastAsia="仿宋_GB2312" w:cs="仿宋_GB2312"/>
          <w:color w:val="auto"/>
          <w:kern w:val="0"/>
          <w:sz w:val="32"/>
          <w:szCs w:val="32"/>
          <w:u w:val="none"/>
          <w:lang w:val="en-US" w:eastAsia="zh-CN" w:bidi="ar"/>
        </w:rPr>
        <w:t>成立由区政府分管领导任组长的区国家城乡融合发展试验区建设工作专班，统筹协调城乡融合发展各项工作，重点解决重大需求、重大项目和亟需解决的突出问题，确保各项工作落地落实。</w:t>
      </w:r>
    </w:p>
    <w:p w14:paraId="71E5E5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（二）加强政策集成。</w:t>
      </w:r>
      <w:r>
        <w:rPr>
          <w:rFonts w:hint="eastAsia" w:ascii="仿宋_GB2312" w:hAnsi="仿宋_GB2312" w:eastAsia="仿宋_GB2312" w:cs="仿宋_GB2312"/>
          <w:color w:val="auto"/>
          <w:kern w:val="0"/>
          <w:sz w:val="32"/>
          <w:szCs w:val="32"/>
          <w:u w:val="none"/>
          <w:lang w:val="en-US" w:eastAsia="zh-CN" w:bidi="ar"/>
        </w:rPr>
        <w:t>区有关部门要抓紧研究制定配套政策措施，积极争取国家、省政策和资金支持，推动在城乡要素融合、服务融合、设施融合、经济融合等领域创新。</w:t>
      </w:r>
    </w:p>
    <w:p w14:paraId="1311B9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（三）加强要素保障。</w:t>
      </w:r>
      <w:r>
        <w:rPr>
          <w:rFonts w:hint="eastAsia" w:ascii="仿宋_GB2312" w:hAnsi="仿宋_GB2312" w:eastAsia="仿宋_GB2312" w:cs="仿宋_GB2312"/>
          <w:color w:val="auto"/>
          <w:kern w:val="0"/>
          <w:sz w:val="32"/>
          <w:szCs w:val="32"/>
          <w:u w:val="none"/>
          <w:lang w:val="en-US" w:eastAsia="zh-CN" w:bidi="ar"/>
        </w:rPr>
        <w:t>建立全区城乡融合发展重点任务清单，倒排工期，挂图作战。建立全区城乡基础设施项目库，实行动态调整、分类管理。探索实施多元化方式保障城乡融合发展建设用地，创新资金支持方式，推动重点项目建设。</w:t>
      </w:r>
    </w:p>
    <w:p w14:paraId="5B92BB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
        </w:rPr>
        <w:t>（四）强化监测评价。</w:t>
      </w:r>
      <w:r>
        <w:rPr>
          <w:rFonts w:hint="eastAsia" w:ascii="仿宋_GB2312" w:hAnsi="仿宋_GB2312" w:eastAsia="仿宋_GB2312" w:cs="仿宋_GB2312"/>
          <w:color w:val="auto"/>
          <w:kern w:val="0"/>
          <w:sz w:val="32"/>
          <w:szCs w:val="32"/>
          <w:u w:val="none"/>
          <w:lang w:val="en-US" w:eastAsia="zh-CN" w:bidi="ar"/>
        </w:rPr>
        <w:t>强化对城乡融合发展工作的跟踪监督，实施动态管理和监测。注意工作中苗头性、倾向性问题，及时防范化解各类风险。及时总结提炼可复制的典型经验并加以宣传推广，巩固改革成果。</w:t>
      </w:r>
    </w:p>
    <w:p w14:paraId="50710AB1">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0"/>
          <w:sz w:val="32"/>
          <w:szCs w:val="32"/>
          <w:u w:val="none"/>
          <w:lang w:val="en-US" w:eastAsia="zh-CN" w:bidi="ar"/>
        </w:rPr>
      </w:pPr>
    </w:p>
    <w:p w14:paraId="2C1FBA2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附件：临淄区城乡融合发展行动方案重点任务分工表</w:t>
      </w:r>
    </w:p>
    <w:p w14:paraId="48804EE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
        </w:rPr>
        <w:sectPr>
          <w:footerReference r:id="rId3" w:type="default"/>
          <w:pgSz w:w="11906" w:h="16838"/>
          <w:pgMar w:top="2211" w:right="1474" w:bottom="1871" w:left="1587" w:header="851" w:footer="992" w:gutter="0"/>
          <w:cols w:space="720" w:num="1"/>
          <w:rtlGutter w:val="0"/>
          <w:docGrid w:type="lines" w:linePitch="312" w:charSpace="0"/>
        </w:sectPr>
      </w:pPr>
    </w:p>
    <w:p w14:paraId="3D470AD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方正小标宋简体" w:eastAsia="方正小标宋简体"/>
          <w:sz w:val="32"/>
        </w:rPr>
      </w:pPr>
      <w:r>
        <w:rPr>
          <w:rFonts w:hint="eastAsia" w:ascii="方正小标宋简体" w:eastAsia="方正小标宋简体"/>
          <w:sz w:val="32"/>
        </w:rPr>
        <w:t>附件</w:t>
      </w:r>
    </w:p>
    <w:p w14:paraId="600C95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eastAsia="方正小标宋简体"/>
          <w:sz w:val="40"/>
        </w:rPr>
      </w:pPr>
      <w:r>
        <w:rPr>
          <w:rFonts w:hint="eastAsia" w:ascii="方正小标宋简体" w:eastAsia="方正小标宋简体"/>
          <w:sz w:val="40"/>
          <w:lang w:val="en-US" w:eastAsia="zh-CN"/>
        </w:rPr>
        <w:t>临淄区</w:t>
      </w:r>
      <w:r>
        <w:rPr>
          <w:rFonts w:hint="eastAsia" w:ascii="方正小标宋简体" w:eastAsia="方正小标宋简体"/>
          <w:sz w:val="40"/>
        </w:rPr>
        <w:t>城乡融合发展行动方案重点任务分工表</w:t>
      </w:r>
    </w:p>
    <w:p w14:paraId="100AE411">
      <w:pPr>
        <w:pStyle w:val="3"/>
        <w:rPr>
          <w:sz w:val="17"/>
          <w:lang w:eastAsia="zh-CN"/>
        </w:rPr>
      </w:pPr>
    </w:p>
    <w:tbl>
      <w:tblPr>
        <w:tblStyle w:val="15"/>
        <w:tblW w:w="1309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6"/>
        <w:gridCol w:w="726"/>
        <w:gridCol w:w="3541"/>
        <w:gridCol w:w="4156"/>
        <w:gridCol w:w="1415"/>
        <w:gridCol w:w="2124"/>
      </w:tblGrid>
      <w:tr w14:paraId="5F071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2" w:hRule="atLeast"/>
          <w:jc w:val="center"/>
        </w:trPr>
        <w:tc>
          <w:tcPr>
            <w:tcW w:w="1136" w:type="dxa"/>
            <w:noWrap w:val="0"/>
            <w:vAlign w:val="center"/>
          </w:tcPr>
          <w:p w14:paraId="3A2AE434">
            <w:pPr>
              <w:pStyle w:val="18"/>
              <w:spacing w:before="1"/>
              <w:jc w:val="center"/>
              <w:rPr>
                <w:rFonts w:hint="eastAsia" w:ascii="黑体" w:hAnsi="黑体" w:eastAsia="黑体" w:cs="黑体"/>
              </w:rPr>
            </w:pPr>
            <w:r>
              <w:rPr>
                <w:rFonts w:hint="eastAsia" w:ascii="黑体" w:hAnsi="黑体" w:eastAsia="黑体" w:cs="黑体"/>
              </w:rPr>
              <w:t>事项</w:t>
            </w:r>
          </w:p>
        </w:tc>
        <w:tc>
          <w:tcPr>
            <w:tcW w:w="726" w:type="dxa"/>
            <w:noWrap w:val="0"/>
            <w:vAlign w:val="center"/>
          </w:tcPr>
          <w:p w14:paraId="08DB82F1">
            <w:pPr>
              <w:pStyle w:val="18"/>
              <w:spacing w:before="1"/>
              <w:ind w:right="60"/>
              <w:jc w:val="center"/>
              <w:rPr>
                <w:rFonts w:hint="eastAsia" w:ascii="黑体" w:hAnsi="黑体" w:eastAsia="黑体" w:cs="黑体"/>
              </w:rPr>
            </w:pPr>
            <w:r>
              <w:rPr>
                <w:rFonts w:hint="eastAsia" w:ascii="黑体" w:hAnsi="黑体" w:eastAsia="黑体" w:cs="黑体"/>
              </w:rPr>
              <w:t>序号</w:t>
            </w:r>
          </w:p>
        </w:tc>
        <w:tc>
          <w:tcPr>
            <w:tcW w:w="3541" w:type="dxa"/>
            <w:noWrap w:val="0"/>
            <w:vAlign w:val="center"/>
          </w:tcPr>
          <w:p w14:paraId="45F7F67D">
            <w:pPr>
              <w:pStyle w:val="18"/>
              <w:spacing w:before="1"/>
              <w:ind w:right="60"/>
              <w:jc w:val="center"/>
              <w:rPr>
                <w:rFonts w:hint="eastAsia" w:ascii="黑体" w:hAnsi="黑体" w:eastAsia="黑体" w:cs="黑体"/>
              </w:rPr>
            </w:pPr>
            <w:r>
              <w:rPr>
                <w:rFonts w:hint="eastAsia" w:ascii="黑体" w:hAnsi="黑体" w:eastAsia="黑体" w:cs="黑体"/>
              </w:rPr>
              <w:t>重点工作</w:t>
            </w:r>
          </w:p>
        </w:tc>
        <w:tc>
          <w:tcPr>
            <w:tcW w:w="4156" w:type="dxa"/>
            <w:noWrap w:val="0"/>
            <w:vAlign w:val="center"/>
          </w:tcPr>
          <w:p w14:paraId="025705D2">
            <w:pPr>
              <w:pStyle w:val="18"/>
              <w:spacing w:before="1"/>
              <w:ind w:right="60"/>
              <w:jc w:val="center"/>
              <w:rPr>
                <w:rFonts w:hint="eastAsia" w:ascii="黑体" w:hAnsi="黑体" w:eastAsia="黑体" w:cs="黑体"/>
              </w:rPr>
            </w:pPr>
            <w:r>
              <w:rPr>
                <w:rFonts w:hint="eastAsia" w:ascii="黑体" w:hAnsi="黑体" w:eastAsia="黑体" w:cs="黑体"/>
              </w:rPr>
              <w:t>任务目标</w:t>
            </w:r>
          </w:p>
        </w:tc>
        <w:tc>
          <w:tcPr>
            <w:tcW w:w="1415" w:type="dxa"/>
            <w:noWrap w:val="0"/>
            <w:vAlign w:val="center"/>
          </w:tcPr>
          <w:p w14:paraId="3264602D">
            <w:pPr>
              <w:pStyle w:val="18"/>
              <w:spacing w:before="1"/>
              <w:ind w:right="60"/>
              <w:jc w:val="center"/>
              <w:rPr>
                <w:rFonts w:hint="eastAsia" w:ascii="黑体" w:hAnsi="黑体" w:eastAsia="黑体" w:cs="黑体"/>
              </w:rPr>
            </w:pPr>
            <w:r>
              <w:rPr>
                <w:rFonts w:hint="eastAsia" w:ascii="黑体" w:hAnsi="黑体" w:eastAsia="黑体" w:cs="黑体"/>
              </w:rPr>
              <w:t>牵头部门</w:t>
            </w:r>
          </w:p>
        </w:tc>
        <w:tc>
          <w:tcPr>
            <w:tcW w:w="2124" w:type="dxa"/>
            <w:noWrap w:val="0"/>
            <w:vAlign w:val="center"/>
          </w:tcPr>
          <w:p w14:paraId="49CC276D">
            <w:pPr>
              <w:pStyle w:val="18"/>
              <w:spacing w:before="1"/>
              <w:jc w:val="center"/>
              <w:rPr>
                <w:rFonts w:hint="eastAsia" w:ascii="黑体" w:hAnsi="黑体" w:eastAsia="黑体" w:cs="黑体"/>
              </w:rPr>
            </w:pPr>
            <w:r>
              <w:rPr>
                <w:rFonts w:hint="eastAsia" w:ascii="黑体" w:hAnsi="黑体" w:eastAsia="黑体" w:cs="黑体"/>
              </w:rPr>
              <w:t>配合单位</w:t>
            </w:r>
          </w:p>
        </w:tc>
      </w:tr>
      <w:tr w14:paraId="34DB9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jc w:val="center"/>
        </w:trPr>
        <w:tc>
          <w:tcPr>
            <w:tcW w:w="1136" w:type="dxa"/>
            <w:vMerge w:val="restart"/>
            <w:noWrap w:val="0"/>
            <w:vAlign w:val="center"/>
          </w:tcPr>
          <w:p w14:paraId="10E543E7">
            <w:pPr>
              <w:pStyle w:val="18"/>
              <w:jc w:val="center"/>
            </w:pPr>
            <w:r>
              <w:t>建立农村</w:t>
            </w:r>
            <w:r>
              <w:rPr>
                <w:lang w:eastAsia="zh-CN"/>
              </w:rPr>
              <w:t>集体经营性建设用地入市制</w:t>
            </w:r>
            <w:r>
              <w:t>度体系</w:t>
            </w:r>
          </w:p>
        </w:tc>
        <w:tc>
          <w:tcPr>
            <w:tcW w:w="726" w:type="dxa"/>
            <w:noWrap w:val="0"/>
            <w:vAlign w:val="top"/>
          </w:tcPr>
          <w:p w14:paraId="1E0BCE93">
            <w:pPr>
              <w:pStyle w:val="18"/>
              <w:spacing w:before="1"/>
              <w:rPr>
                <w:sz w:val="21"/>
              </w:rPr>
            </w:pPr>
          </w:p>
          <w:p w14:paraId="4B2B1819">
            <w:pPr>
              <w:pStyle w:val="18"/>
              <w:ind w:right="7"/>
              <w:jc w:val="center"/>
            </w:pPr>
            <w:r>
              <w:t>1</w:t>
            </w:r>
          </w:p>
        </w:tc>
        <w:tc>
          <w:tcPr>
            <w:tcW w:w="3541" w:type="dxa"/>
            <w:noWrap w:val="0"/>
            <w:vAlign w:val="top"/>
          </w:tcPr>
          <w:p w14:paraId="3DDC140F">
            <w:pPr>
              <w:pStyle w:val="18"/>
              <w:spacing w:before="110" w:line="254" w:lineRule="auto"/>
              <w:ind w:right="78"/>
              <w:rPr>
                <w:lang w:eastAsia="zh-CN"/>
              </w:rPr>
            </w:pPr>
            <w:r>
              <w:rPr>
                <w:lang w:eastAsia="zh-CN"/>
              </w:rPr>
              <w:t>制定出台农村集体经营性建设用地入市管理办法</w:t>
            </w:r>
          </w:p>
        </w:tc>
        <w:tc>
          <w:tcPr>
            <w:tcW w:w="4156" w:type="dxa"/>
            <w:noWrap w:val="0"/>
            <w:vAlign w:val="top"/>
          </w:tcPr>
          <w:p w14:paraId="0ED4113B">
            <w:pPr>
              <w:pStyle w:val="18"/>
              <w:spacing w:before="110" w:line="254" w:lineRule="auto"/>
              <w:ind w:right="78"/>
              <w:rPr>
                <w:lang w:eastAsia="zh-CN"/>
              </w:rPr>
            </w:pPr>
            <w:r>
              <w:rPr>
                <w:rFonts w:hint="eastAsia"/>
                <w:lang w:eastAsia="zh-CN"/>
              </w:rPr>
              <w:t>2021年出台，并抓好推进实施。</w:t>
            </w:r>
          </w:p>
        </w:tc>
        <w:tc>
          <w:tcPr>
            <w:tcW w:w="1415" w:type="dxa"/>
            <w:noWrap w:val="0"/>
            <w:vAlign w:val="top"/>
          </w:tcPr>
          <w:p w14:paraId="7776CD57">
            <w:pPr>
              <w:pStyle w:val="18"/>
              <w:spacing w:before="110" w:line="254" w:lineRule="auto"/>
              <w:ind w:right="78"/>
              <w:rPr>
                <w:lang w:eastAsia="zh-CN"/>
              </w:rPr>
            </w:pPr>
            <w:r>
              <w:rPr>
                <w:rFonts w:hint="eastAsia"/>
                <w:lang w:eastAsia="zh-CN"/>
              </w:rPr>
              <w:t>区</w:t>
            </w:r>
            <w:r>
              <w:rPr>
                <w:lang w:eastAsia="zh-CN"/>
              </w:rPr>
              <w:t>自然资源局</w:t>
            </w:r>
          </w:p>
        </w:tc>
        <w:tc>
          <w:tcPr>
            <w:tcW w:w="2124" w:type="dxa"/>
            <w:noWrap w:val="0"/>
            <w:vAlign w:val="top"/>
          </w:tcPr>
          <w:p w14:paraId="4BC93149">
            <w:pPr>
              <w:pStyle w:val="18"/>
              <w:spacing w:before="110" w:line="254" w:lineRule="auto"/>
              <w:ind w:right="78"/>
              <w:rPr>
                <w:lang w:eastAsia="zh-CN"/>
              </w:rPr>
            </w:pPr>
            <w:r>
              <w:rPr>
                <w:rFonts w:hint="eastAsia"/>
                <w:lang w:eastAsia="zh-CN"/>
              </w:rPr>
              <w:t>区农业农村局，各镇、</w:t>
            </w:r>
            <w:r>
              <w:rPr>
                <w:rFonts w:hint="eastAsia"/>
                <w:lang w:val="en-US" w:eastAsia="zh-CN"/>
              </w:rPr>
              <w:t>街道</w:t>
            </w:r>
          </w:p>
        </w:tc>
      </w:tr>
      <w:tr w14:paraId="3923E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jc w:val="center"/>
        </w:trPr>
        <w:tc>
          <w:tcPr>
            <w:tcW w:w="1136" w:type="dxa"/>
            <w:vMerge w:val="continue"/>
            <w:noWrap w:val="0"/>
            <w:vAlign w:val="top"/>
          </w:tcPr>
          <w:p w14:paraId="463C37D9">
            <w:pPr>
              <w:pStyle w:val="18"/>
              <w:rPr>
                <w:rFonts w:ascii="Times New Roman"/>
                <w:lang w:eastAsia="zh-CN"/>
              </w:rPr>
            </w:pPr>
          </w:p>
        </w:tc>
        <w:tc>
          <w:tcPr>
            <w:tcW w:w="726" w:type="dxa"/>
            <w:noWrap w:val="0"/>
            <w:vAlign w:val="top"/>
          </w:tcPr>
          <w:p w14:paraId="14E9F305">
            <w:pPr>
              <w:pStyle w:val="18"/>
              <w:spacing w:before="1"/>
              <w:rPr>
                <w:sz w:val="21"/>
                <w:lang w:eastAsia="zh-CN"/>
              </w:rPr>
            </w:pPr>
          </w:p>
          <w:p w14:paraId="0AEEAE20">
            <w:pPr>
              <w:pStyle w:val="18"/>
              <w:ind w:right="7"/>
              <w:jc w:val="center"/>
            </w:pPr>
            <w:r>
              <w:t>2</w:t>
            </w:r>
          </w:p>
        </w:tc>
        <w:tc>
          <w:tcPr>
            <w:tcW w:w="3541" w:type="dxa"/>
            <w:noWrap w:val="0"/>
            <w:vAlign w:val="top"/>
          </w:tcPr>
          <w:p w14:paraId="4DC07EB6">
            <w:pPr>
              <w:pStyle w:val="18"/>
              <w:spacing w:before="110" w:line="254" w:lineRule="auto"/>
              <w:ind w:right="78"/>
              <w:rPr>
                <w:lang w:eastAsia="zh-CN"/>
              </w:rPr>
            </w:pPr>
            <w:r>
              <w:rPr>
                <w:lang w:eastAsia="zh-CN"/>
              </w:rPr>
              <w:t>制定出台农村集体经营性建设用地使用权出让有关规定</w:t>
            </w:r>
          </w:p>
        </w:tc>
        <w:tc>
          <w:tcPr>
            <w:tcW w:w="4156" w:type="dxa"/>
            <w:noWrap w:val="0"/>
            <w:vAlign w:val="top"/>
          </w:tcPr>
          <w:p w14:paraId="37EE562A">
            <w:pPr>
              <w:pStyle w:val="18"/>
              <w:spacing w:before="110" w:line="254" w:lineRule="auto"/>
              <w:ind w:right="78"/>
              <w:rPr>
                <w:lang w:eastAsia="zh-CN"/>
              </w:rPr>
            </w:pPr>
            <w:r>
              <w:rPr>
                <w:rFonts w:hint="eastAsia"/>
                <w:lang w:eastAsia="zh-CN"/>
              </w:rPr>
              <w:t>2021年出台，并抓好推进实施。</w:t>
            </w:r>
          </w:p>
        </w:tc>
        <w:tc>
          <w:tcPr>
            <w:tcW w:w="1415" w:type="dxa"/>
            <w:noWrap w:val="0"/>
            <w:vAlign w:val="top"/>
          </w:tcPr>
          <w:p w14:paraId="74CD7C7F">
            <w:pPr>
              <w:pStyle w:val="18"/>
              <w:spacing w:before="110" w:line="254" w:lineRule="auto"/>
              <w:ind w:right="78"/>
              <w:rPr>
                <w:lang w:eastAsia="zh-CN"/>
              </w:rPr>
            </w:pPr>
            <w:r>
              <w:rPr>
                <w:rFonts w:hint="eastAsia"/>
                <w:lang w:eastAsia="zh-CN"/>
              </w:rPr>
              <w:t>区</w:t>
            </w:r>
            <w:r>
              <w:rPr>
                <w:lang w:eastAsia="zh-CN"/>
              </w:rPr>
              <w:t>自然资源局</w:t>
            </w:r>
          </w:p>
        </w:tc>
        <w:tc>
          <w:tcPr>
            <w:tcW w:w="2124" w:type="dxa"/>
            <w:noWrap w:val="0"/>
            <w:vAlign w:val="top"/>
          </w:tcPr>
          <w:p w14:paraId="71BBD4CE">
            <w:pPr>
              <w:pStyle w:val="18"/>
              <w:spacing w:before="110" w:line="254" w:lineRule="auto"/>
              <w:ind w:right="78"/>
              <w:rPr>
                <w:lang w:eastAsia="zh-CN"/>
              </w:rPr>
            </w:pPr>
            <w:r>
              <w:rPr>
                <w:rFonts w:hint="eastAsia"/>
                <w:lang w:eastAsia="zh-CN"/>
              </w:rPr>
              <w:t>区农业农村局，各镇、</w:t>
            </w:r>
            <w:r>
              <w:rPr>
                <w:rFonts w:hint="eastAsia"/>
                <w:lang w:val="en-US" w:eastAsia="zh-CN"/>
              </w:rPr>
              <w:t>街道</w:t>
            </w:r>
          </w:p>
        </w:tc>
      </w:tr>
      <w:tr w14:paraId="182EA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0" w:hRule="atLeast"/>
          <w:jc w:val="center"/>
        </w:trPr>
        <w:tc>
          <w:tcPr>
            <w:tcW w:w="1136" w:type="dxa"/>
            <w:vMerge w:val="continue"/>
            <w:noWrap w:val="0"/>
            <w:vAlign w:val="top"/>
          </w:tcPr>
          <w:p w14:paraId="1B084991">
            <w:pPr>
              <w:pStyle w:val="18"/>
              <w:ind w:left="99"/>
            </w:pPr>
          </w:p>
        </w:tc>
        <w:tc>
          <w:tcPr>
            <w:tcW w:w="726" w:type="dxa"/>
            <w:noWrap w:val="0"/>
            <w:vAlign w:val="top"/>
          </w:tcPr>
          <w:p w14:paraId="162AE82A">
            <w:pPr>
              <w:pStyle w:val="18"/>
              <w:rPr>
                <w:sz w:val="21"/>
              </w:rPr>
            </w:pPr>
          </w:p>
          <w:p w14:paraId="5E7DF70A">
            <w:pPr>
              <w:pStyle w:val="18"/>
              <w:spacing w:before="1"/>
              <w:ind w:right="7"/>
              <w:jc w:val="center"/>
            </w:pPr>
            <w:r>
              <w:t>3</w:t>
            </w:r>
          </w:p>
        </w:tc>
        <w:tc>
          <w:tcPr>
            <w:tcW w:w="3541" w:type="dxa"/>
            <w:noWrap w:val="0"/>
            <w:vAlign w:val="top"/>
          </w:tcPr>
          <w:p w14:paraId="635D1477">
            <w:pPr>
              <w:pStyle w:val="18"/>
              <w:spacing w:before="110" w:line="254" w:lineRule="auto"/>
              <w:ind w:right="78"/>
              <w:rPr>
                <w:lang w:eastAsia="zh-CN"/>
              </w:rPr>
            </w:pPr>
            <w:r>
              <w:rPr>
                <w:lang w:eastAsia="zh-CN"/>
              </w:rPr>
              <w:t>制定出台农村集体经营性建设用地出让地价管理有关规定</w:t>
            </w:r>
          </w:p>
        </w:tc>
        <w:tc>
          <w:tcPr>
            <w:tcW w:w="4156" w:type="dxa"/>
            <w:noWrap w:val="0"/>
            <w:vAlign w:val="top"/>
          </w:tcPr>
          <w:p w14:paraId="1EA5E106">
            <w:pPr>
              <w:pStyle w:val="18"/>
              <w:spacing w:before="110" w:line="254" w:lineRule="auto"/>
              <w:ind w:right="78"/>
              <w:rPr>
                <w:lang w:eastAsia="zh-CN"/>
              </w:rPr>
            </w:pPr>
            <w:r>
              <w:rPr>
                <w:rFonts w:hint="eastAsia"/>
                <w:lang w:eastAsia="zh-CN"/>
              </w:rPr>
              <w:t>2021年出台，并抓好推进实施。</w:t>
            </w:r>
          </w:p>
        </w:tc>
        <w:tc>
          <w:tcPr>
            <w:tcW w:w="1415" w:type="dxa"/>
            <w:noWrap w:val="0"/>
            <w:vAlign w:val="top"/>
          </w:tcPr>
          <w:p w14:paraId="211735B6">
            <w:pPr>
              <w:pStyle w:val="18"/>
              <w:spacing w:before="110" w:line="254" w:lineRule="auto"/>
              <w:ind w:right="78"/>
              <w:rPr>
                <w:lang w:eastAsia="zh-CN"/>
              </w:rPr>
            </w:pPr>
            <w:r>
              <w:rPr>
                <w:rFonts w:hint="eastAsia"/>
                <w:lang w:eastAsia="zh-CN"/>
              </w:rPr>
              <w:t>区</w:t>
            </w:r>
            <w:r>
              <w:rPr>
                <w:lang w:eastAsia="zh-CN"/>
              </w:rPr>
              <w:t>自然资源局</w:t>
            </w:r>
          </w:p>
        </w:tc>
        <w:tc>
          <w:tcPr>
            <w:tcW w:w="2124" w:type="dxa"/>
            <w:noWrap w:val="0"/>
            <w:vAlign w:val="top"/>
          </w:tcPr>
          <w:p w14:paraId="416B74C3">
            <w:pPr>
              <w:pStyle w:val="18"/>
              <w:spacing w:before="110" w:line="254" w:lineRule="auto"/>
              <w:ind w:right="78"/>
              <w:rPr>
                <w:lang w:eastAsia="zh-CN"/>
              </w:rPr>
            </w:pPr>
            <w:r>
              <w:rPr>
                <w:rFonts w:hint="eastAsia"/>
                <w:lang w:eastAsia="zh-CN"/>
              </w:rPr>
              <w:t>区农业农村局，各镇、</w:t>
            </w:r>
            <w:r>
              <w:rPr>
                <w:rFonts w:hint="eastAsia"/>
                <w:lang w:val="en-US" w:eastAsia="zh-CN"/>
              </w:rPr>
              <w:t>街道</w:t>
            </w:r>
          </w:p>
        </w:tc>
      </w:tr>
      <w:tr w14:paraId="77917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6" w:hRule="atLeast"/>
          <w:jc w:val="center"/>
        </w:trPr>
        <w:tc>
          <w:tcPr>
            <w:tcW w:w="1136" w:type="dxa"/>
            <w:vMerge w:val="continue"/>
            <w:noWrap w:val="0"/>
            <w:vAlign w:val="top"/>
          </w:tcPr>
          <w:p w14:paraId="6B5BDC7A">
            <w:pPr>
              <w:pStyle w:val="18"/>
              <w:spacing w:line="300" w:lineRule="atLeast"/>
              <w:ind w:left="99" w:right="98"/>
              <w:rPr>
                <w:lang w:eastAsia="zh-CN"/>
              </w:rPr>
            </w:pPr>
          </w:p>
        </w:tc>
        <w:tc>
          <w:tcPr>
            <w:tcW w:w="726" w:type="dxa"/>
            <w:noWrap w:val="0"/>
            <w:vAlign w:val="top"/>
          </w:tcPr>
          <w:p w14:paraId="79A65B94">
            <w:pPr>
              <w:pStyle w:val="18"/>
              <w:rPr>
                <w:sz w:val="21"/>
                <w:lang w:eastAsia="zh-CN"/>
              </w:rPr>
            </w:pPr>
          </w:p>
          <w:p w14:paraId="4304995A">
            <w:pPr>
              <w:pStyle w:val="18"/>
              <w:spacing w:before="1"/>
              <w:ind w:right="7"/>
              <w:jc w:val="center"/>
            </w:pPr>
            <w:r>
              <w:t>4</w:t>
            </w:r>
          </w:p>
        </w:tc>
        <w:tc>
          <w:tcPr>
            <w:tcW w:w="3541" w:type="dxa"/>
            <w:noWrap w:val="0"/>
            <w:vAlign w:val="top"/>
          </w:tcPr>
          <w:p w14:paraId="7E6B6C3D">
            <w:pPr>
              <w:pStyle w:val="18"/>
              <w:spacing w:before="110" w:line="254" w:lineRule="auto"/>
              <w:ind w:right="77"/>
              <w:rPr>
                <w:lang w:eastAsia="zh-CN"/>
              </w:rPr>
            </w:pPr>
            <w:r>
              <w:rPr>
                <w:lang w:eastAsia="zh-CN"/>
              </w:rPr>
              <w:t>制定出台农村集体经营性建设用地异地调整有关规定</w:t>
            </w:r>
          </w:p>
        </w:tc>
        <w:tc>
          <w:tcPr>
            <w:tcW w:w="4156" w:type="dxa"/>
            <w:noWrap w:val="0"/>
            <w:vAlign w:val="top"/>
          </w:tcPr>
          <w:p w14:paraId="02E1D131">
            <w:pPr>
              <w:pStyle w:val="18"/>
              <w:spacing w:before="110" w:line="254" w:lineRule="auto"/>
              <w:ind w:right="78"/>
              <w:rPr>
                <w:lang w:eastAsia="zh-CN"/>
              </w:rPr>
            </w:pPr>
            <w:r>
              <w:rPr>
                <w:rFonts w:hint="eastAsia"/>
                <w:lang w:eastAsia="zh-CN"/>
              </w:rPr>
              <w:t>2021年出台，并抓好推进实施。</w:t>
            </w:r>
          </w:p>
        </w:tc>
        <w:tc>
          <w:tcPr>
            <w:tcW w:w="1415" w:type="dxa"/>
            <w:noWrap w:val="0"/>
            <w:vAlign w:val="top"/>
          </w:tcPr>
          <w:p w14:paraId="76E65256">
            <w:pPr>
              <w:pStyle w:val="18"/>
              <w:spacing w:before="110" w:line="254" w:lineRule="auto"/>
              <w:ind w:right="78"/>
              <w:rPr>
                <w:lang w:eastAsia="zh-CN"/>
              </w:rPr>
            </w:pPr>
            <w:r>
              <w:rPr>
                <w:rFonts w:hint="eastAsia"/>
                <w:lang w:eastAsia="zh-CN"/>
              </w:rPr>
              <w:t>区</w:t>
            </w:r>
            <w:r>
              <w:rPr>
                <w:lang w:eastAsia="zh-CN"/>
              </w:rPr>
              <w:t>自然资源局</w:t>
            </w:r>
          </w:p>
        </w:tc>
        <w:tc>
          <w:tcPr>
            <w:tcW w:w="2124" w:type="dxa"/>
            <w:noWrap w:val="0"/>
            <w:vAlign w:val="top"/>
          </w:tcPr>
          <w:p w14:paraId="75210C74">
            <w:pPr>
              <w:pStyle w:val="18"/>
              <w:spacing w:before="110" w:line="254" w:lineRule="auto"/>
              <w:ind w:right="78"/>
              <w:rPr>
                <w:lang w:eastAsia="zh-CN"/>
              </w:rPr>
            </w:pPr>
            <w:r>
              <w:rPr>
                <w:rFonts w:hint="eastAsia"/>
                <w:lang w:eastAsia="zh-CN"/>
              </w:rPr>
              <w:t>区农业农村局，各镇、</w:t>
            </w:r>
            <w:r>
              <w:rPr>
                <w:rFonts w:hint="eastAsia"/>
                <w:lang w:val="en-US" w:eastAsia="zh-CN"/>
              </w:rPr>
              <w:t>街道</w:t>
            </w:r>
          </w:p>
        </w:tc>
      </w:tr>
      <w:tr w14:paraId="5F025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8" w:hRule="atLeast"/>
          <w:jc w:val="center"/>
        </w:trPr>
        <w:tc>
          <w:tcPr>
            <w:tcW w:w="1136" w:type="dxa"/>
            <w:vMerge w:val="continue"/>
            <w:noWrap w:val="0"/>
            <w:vAlign w:val="top"/>
          </w:tcPr>
          <w:p w14:paraId="7F9C8F98">
            <w:pPr>
              <w:pStyle w:val="18"/>
              <w:spacing w:line="280" w:lineRule="exact"/>
              <w:ind w:left="99"/>
            </w:pPr>
          </w:p>
        </w:tc>
        <w:tc>
          <w:tcPr>
            <w:tcW w:w="726" w:type="dxa"/>
            <w:noWrap w:val="0"/>
            <w:vAlign w:val="top"/>
          </w:tcPr>
          <w:p w14:paraId="57F3F281">
            <w:pPr>
              <w:pStyle w:val="18"/>
              <w:spacing w:before="1"/>
              <w:rPr>
                <w:sz w:val="20"/>
              </w:rPr>
            </w:pPr>
          </w:p>
          <w:p w14:paraId="47B6887B">
            <w:pPr>
              <w:pStyle w:val="18"/>
              <w:spacing w:before="1"/>
              <w:ind w:right="7"/>
              <w:jc w:val="center"/>
            </w:pPr>
            <w:r>
              <w:t>5</w:t>
            </w:r>
          </w:p>
        </w:tc>
        <w:tc>
          <w:tcPr>
            <w:tcW w:w="3541" w:type="dxa"/>
            <w:noWrap w:val="0"/>
            <w:vAlign w:val="top"/>
          </w:tcPr>
          <w:p w14:paraId="46DBA2DD">
            <w:pPr>
              <w:pStyle w:val="18"/>
              <w:spacing w:before="98" w:line="254" w:lineRule="auto"/>
              <w:ind w:right="78"/>
              <w:rPr>
                <w:lang w:eastAsia="zh-CN"/>
              </w:rPr>
            </w:pPr>
            <w:r>
              <w:rPr>
                <w:lang w:eastAsia="zh-CN"/>
              </w:rPr>
              <w:t>制定出台农村集体经营性建设用地土地增值收益调节金征收和使用规定</w:t>
            </w:r>
          </w:p>
        </w:tc>
        <w:tc>
          <w:tcPr>
            <w:tcW w:w="4156" w:type="dxa"/>
            <w:noWrap w:val="0"/>
            <w:vAlign w:val="top"/>
          </w:tcPr>
          <w:p w14:paraId="2383CB3C">
            <w:pPr>
              <w:pStyle w:val="18"/>
              <w:spacing w:before="110" w:line="254" w:lineRule="auto"/>
              <w:ind w:right="78"/>
              <w:rPr>
                <w:lang w:eastAsia="zh-CN"/>
              </w:rPr>
            </w:pPr>
            <w:r>
              <w:rPr>
                <w:rFonts w:hint="eastAsia"/>
                <w:lang w:eastAsia="zh-CN"/>
              </w:rPr>
              <w:t>2021年出台，并抓好推进实施。</w:t>
            </w:r>
          </w:p>
        </w:tc>
        <w:tc>
          <w:tcPr>
            <w:tcW w:w="1415" w:type="dxa"/>
            <w:noWrap w:val="0"/>
            <w:vAlign w:val="top"/>
          </w:tcPr>
          <w:p w14:paraId="517EF3D3">
            <w:pPr>
              <w:pStyle w:val="18"/>
              <w:spacing w:before="110" w:line="254" w:lineRule="auto"/>
              <w:ind w:right="78"/>
              <w:rPr>
                <w:lang w:eastAsia="zh-CN"/>
              </w:rPr>
            </w:pPr>
            <w:r>
              <w:rPr>
                <w:rFonts w:hint="eastAsia"/>
                <w:lang w:eastAsia="zh-CN"/>
              </w:rPr>
              <w:t>区</w:t>
            </w:r>
            <w:r>
              <w:rPr>
                <w:lang w:eastAsia="zh-CN"/>
              </w:rPr>
              <w:t>自然资源局</w:t>
            </w:r>
          </w:p>
        </w:tc>
        <w:tc>
          <w:tcPr>
            <w:tcW w:w="2124" w:type="dxa"/>
            <w:noWrap w:val="0"/>
            <w:vAlign w:val="top"/>
          </w:tcPr>
          <w:p w14:paraId="06806625">
            <w:pPr>
              <w:pStyle w:val="18"/>
              <w:spacing w:before="110" w:line="254" w:lineRule="auto"/>
              <w:ind w:right="78"/>
              <w:rPr>
                <w:lang w:eastAsia="zh-CN"/>
              </w:rPr>
            </w:pPr>
            <w:r>
              <w:rPr>
                <w:rFonts w:hint="eastAsia"/>
                <w:lang w:eastAsia="zh-CN"/>
              </w:rPr>
              <w:t>区农业农村局，各镇、</w:t>
            </w:r>
            <w:r>
              <w:rPr>
                <w:rFonts w:hint="eastAsia"/>
                <w:lang w:val="en-US" w:eastAsia="zh-CN"/>
              </w:rPr>
              <w:t>街道</w:t>
            </w:r>
          </w:p>
        </w:tc>
      </w:tr>
      <w:tr w14:paraId="03BDC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jc w:val="center"/>
        </w:trPr>
        <w:tc>
          <w:tcPr>
            <w:tcW w:w="1136" w:type="dxa"/>
            <w:vMerge w:val="continue"/>
            <w:noWrap w:val="0"/>
            <w:vAlign w:val="top"/>
          </w:tcPr>
          <w:p w14:paraId="37FDCAB8">
            <w:pPr>
              <w:pStyle w:val="18"/>
              <w:rPr>
                <w:rFonts w:ascii="Times New Roman"/>
                <w:lang w:eastAsia="zh-CN"/>
              </w:rPr>
            </w:pPr>
          </w:p>
        </w:tc>
        <w:tc>
          <w:tcPr>
            <w:tcW w:w="726" w:type="dxa"/>
            <w:noWrap w:val="0"/>
            <w:vAlign w:val="top"/>
          </w:tcPr>
          <w:p w14:paraId="012E686E">
            <w:pPr>
              <w:pStyle w:val="18"/>
              <w:rPr>
                <w:sz w:val="21"/>
                <w:lang w:eastAsia="zh-CN"/>
              </w:rPr>
            </w:pPr>
          </w:p>
          <w:p w14:paraId="78F9D449">
            <w:pPr>
              <w:pStyle w:val="18"/>
              <w:spacing w:before="1"/>
              <w:ind w:right="7"/>
              <w:jc w:val="center"/>
            </w:pPr>
            <w:r>
              <w:t>6</w:t>
            </w:r>
          </w:p>
        </w:tc>
        <w:tc>
          <w:tcPr>
            <w:tcW w:w="3541" w:type="dxa"/>
            <w:noWrap w:val="0"/>
            <w:vAlign w:val="top"/>
          </w:tcPr>
          <w:p w14:paraId="75905519">
            <w:pPr>
              <w:pStyle w:val="18"/>
              <w:spacing w:before="110" w:line="254" w:lineRule="auto"/>
              <w:ind w:right="78"/>
              <w:rPr>
                <w:lang w:eastAsia="zh-CN"/>
              </w:rPr>
            </w:pPr>
            <w:r>
              <w:rPr>
                <w:lang w:eastAsia="zh-CN"/>
              </w:rPr>
              <w:t>制定出台农村集体经营性建设用地收益分配管理有关规定</w:t>
            </w:r>
          </w:p>
        </w:tc>
        <w:tc>
          <w:tcPr>
            <w:tcW w:w="4156" w:type="dxa"/>
            <w:noWrap w:val="0"/>
            <w:vAlign w:val="top"/>
          </w:tcPr>
          <w:p w14:paraId="02CFA544">
            <w:pPr>
              <w:pStyle w:val="18"/>
              <w:spacing w:before="110" w:line="254" w:lineRule="auto"/>
              <w:ind w:right="78"/>
              <w:rPr>
                <w:lang w:eastAsia="zh-CN"/>
              </w:rPr>
            </w:pPr>
            <w:r>
              <w:rPr>
                <w:rFonts w:hint="eastAsia"/>
                <w:lang w:eastAsia="zh-CN"/>
              </w:rPr>
              <w:t>2021年出台，并抓好推进实施。</w:t>
            </w:r>
          </w:p>
        </w:tc>
        <w:tc>
          <w:tcPr>
            <w:tcW w:w="1415" w:type="dxa"/>
            <w:noWrap w:val="0"/>
            <w:vAlign w:val="top"/>
          </w:tcPr>
          <w:p w14:paraId="138F899A">
            <w:pPr>
              <w:pStyle w:val="18"/>
              <w:spacing w:before="110" w:line="254" w:lineRule="auto"/>
              <w:ind w:right="78"/>
              <w:rPr>
                <w:lang w:eastAsia="zh-CN"/>
              </w:rPr>
            </w:pPr>
            <w:r>
              <w:rPr>
                <w:rFonts w:hint="eastAsia"/>
                <w:lang w:eastAsia="zh-CN"/>
              </w:rPr>
              <w:t>区</w:t>
            </w:r>
            <w:r>
              <w:rPr>
                <w:lang w:eastAsia="zh-CN"/>
              </w:rPr>
              <w:t>自然资源局</w:t>
            </w:r>
          </w:p>
        </w:tc>
        <w:tc>
          <w:tcPr>
            <w:tcW w:w="2124" w:type="dxa"/>
            <w:noWrap w:val="0"/>
            <w:vAlign w:val="top"/>
          </w:tcPr>
          <w:p w14:paraId="03AA4146">
            <w:pPr>
              <w:pStyle w:val="18"/>
              <w:spacing w:before="110" w:line="254" w:lineRule="auto"/>
              <w:ind w:right="78"/>
              <w:rPr>
                <w:lang w:eastAsia="zh-CN"/>
              </w:rPr>
            </w:pPr>
            <w:r>
              <w:rPr>
                <w:rFonts w:hint="eastAsia"/>
                <w:lang w:eastAsia="zh-CN"/>
              </w:rPr>
              <w:t>区农业农村局，各镇、</w:t>
            </w:r>
            <w:r>
              <w:rPr>
                <w:rFonts w:hint="eastAsia"/>
                <w:lang w:val="en-US" w:eastAsia="zh-CN"/>
              </w:rPr>
              <w:t>街道</w:t>
            </w:r>
          </w:p>
        </w:tc>
      </w:tr>
      <w:tr w14:paraId="4E661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jc w:val="center"/>
        </w:trPr>
        <w:tc>
          <w:tcPr>
            <w:tcW w:w="1136" w:type="dxa"/>
            <w:vMerge w:val="continue"/>
            <w:noWrap w:val="0"/>
            <w:vAlign w:val="top"/>
          </w:tcPr>
          <w:p w14:paraId="3549784A">
            <w:pPr>
              <w:pStyle w:val="18"/>
              <w:rPr>
                <w:rFonts w:ascii="Times New Roman"/>
                <w:lang w:eastAsia="zh-CN"/>
              </w:rPr>
            </w:pPr>
          </w:p>
        </w:tc>
        <w:tc>
          <w:tcPr>
            <w:tcW w:w="726" w:type="dxa"/>
            <w:noWrap w:val="0"/>
            <w:vAlign w:val="top"/>
          </w:tcPr>
          <w:p w14:paraId="225134CD">
            <w:pPr>
              <w:pStyle w:val="18"/>
              <w:rPr>
                <w:sz w:val="21"/>
                <w:lang w:eastAsia="zh-CN"/>
              </w:rPr>
            </w:pPr>
          </w:p>
          <w:p w14:paraId="296F30E1">
            <w:pPr>
              <w:pStyle w:val="18"/>
              <w:spacing w:before="1"/>
              <w:ind w:right="7"/>
              <w:jc w:val="center"/>
            </w:pPr>
            <w:r>
              <w:t>7</w:t>
            </w:r>
          </w:p>
        </w:tc>
        <w:tc>
          <w:tcPr>
            <w:tcW w:w="3541" w:type="dxa"/>
            <w:noWrap w:val="0"/>
            <w:vAlign w:val="top"/>
          </w:tcPr>
          <w:p w14:paraId="2BC9AE79">
            <w:pPr>
              <w:pStyle w:val="18"/>
              <w:spacing w:before="110" w:line="254" w:lineRule="auto"/>
              <w:ind w:right="78"/>
              <w:rPr>
                <w:lang w:eastAsia="zh-CN"/>
              </w:rPr>
            </w:pPr>
            <w:r>
              <w:rPr>
                <w:lang w:eastAsia="zh-CN"/>
              </w:rPr>
              <w:t>制定出台农村集体经营性建设用地抵押贷款指导意见</w:t>
            </w:r>
          </w:p>
        </w:tc>
        <w:tc>
          <w:tcPr>
            <w:tcW w:w="4156" w:type="dxa"/>
            <w:noWrap w:val="0"/>
            <w:vAlign w:val="center"/>
          </w:tcPr>
          <w:p w14:paraId="0D13B3D3">
            <w:pPr>
              <w:keepNext w:val="0"/>
              <w:keepLines w:val="0"/>
              <w:widowControl/>
              <w:suppressLineNumbers w:val="0"/>
              <w:autoSpaceDE w:val="0"/>
              <w:autoSpaceDN w:val="0"/>
              <w:jc w:val="left"/>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根据市方案全力抓好推进实施。</w:t>
            </w:r>
          </w:p>
        </w:tc>
        <w:tc>
          <w:tcPr>
            <w:tcW w:w="1415" w:type="dxa"/>
            <w:noWrap w:val="0"/>
            <w:vAlign w:val="center"/>
          </w:tcPr>
          <w:p w14:paraId="3342262C">
            <w:pPr>
              <w:keepNext w:val="0"/>
              <w:keepLines w:val="0"/>
              <w:widowControl/>
              <w:suppressLineNumbers w:val="0"/>
              <w:autoSpaceDE w:val="0"/>
              <w:autoSpaceDN w:val="0"/>
              <w:jc w:val="left"/>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临淄银保监组</w:t>
            </w:r>
          </w:p>
        </w:tc>
        <w:tc>
          <w:tcPr>
            <w:tcW w:w="2124" w:type="dxa"/>
            <w:noWrap w:val="0"/>
            <w:vAlign w:val="center"/>
          </w:tcPr>
          <w:p w14:paraId="20BF8736">
            <w:pPr>
              <w:keepNext w:val="0"/>
              <w:keepLines w:val="0"/>
              <w:widowControl/>
              <w:suppressLineNumbers w:val="0"/>
              <w:autoSpaceDE w:val="0"/>
              <w:autoSpaceDN w:val="0"/>
              <w:jc w:val="left"/>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区农业农村局，各镇、街道</w:t>
            </w:r>
          </w:p>
        </w:tc>
      </w:tr>
      <w:tr w14:paraId="4FCA2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4" w:hRule="atLeast"/>
          <w:jc w:val="center"/>
        </w:trPr>
        <w:tc>
          <w:tcPr>
            <w:tcW w:w="1136" w:type="dxa"/>
            <w:vMerge w:val="restart"/>
            <w:noWrap w:val="0"/>
            <w:vAlign w:val="center"/>
          </w:tcPr>
          <w:p w14:paraId="16DF464D">
            <w:pPr>
              <w:pStyle w:val="18"/>
              <w:spacing w:line="254" w:lineRule="auto"/>
              <w:ind w:right="37"/>
              <w:jc w:val="center"/>
              <w:rPr>
                <w:lang w:eastAsia="zh-CN"/>
              </w:rPr>
            </w:pPr>
            <w:r>
              <w:rPr>
                <w:lang w:eastAsia="zh-CN"/>
              </w:rPr>
              <w:t>搭建农村产权交易制度框架、交易平台和平台金融生态</w:t>
            </w:r>
          </w:p>
        </w:tc>
        <w:tc>
          <w:tcPr>
            <w:tcW w:w="726" w:type="dxa"/>
            <w:noWrap w:val="0"/>
            <w:vAlign w:val="top"/>
          </w:tcPr>
          <w:p w14:paraId="17F097EE">
            <w:pPr>
              <w:pStyle w:val="18"/>
              <w:spacing w:before="4"/>
              <w:rPr>
                <w:rFonts w:ascii="PMingLiU"/>
                <w:sz w:val="19"/>
                <w:lang w:eastAsia="zh-CN"/>
              </w:rPr>
            </w:pPr>
          </w:p>
          <w:p w14:paraId="7B631223">
            <w:pPr>
              <w:pStyle w:val="18"/>
              <w:ind w:right="327"/>
              <w:jc w:val="right"/>
            </w:pPr>
            <w:r>
              <w:t>8</w:t>
            </w:r>
          </w:p>
        </w:tc>
        <w:tc>
          <w:tcPr>
            <w:tcW w:w="3541" w:type="dxa"/>
            <w:noWrap w:val="0"/>
            <w:vAlign w:val="top"/>
          </w:tcPr>
          <w:p w14:paraId="70B12985">
            <w:pPr>
              <w:pStyle w:val="18"/>
              <w:spacing w:before="110" w:line="254" w:lineRule="auto"/>
              <w:ind w:right="78"/>
              <w:rPr>
                <w:lang w:eastAsia="zh-CN"/>
              </w:rPr>
            </w:pPr>
            <w:r>
              <w:rPr>
                <w:lang w:eastAsia="zh-CN"/>
              </w:rPr>
              <w:t>完善农村土地承包经营权流转管理、价值评估、抵押融资管理等办法</w:t>
            </w:r>
          </w:p>
        </w:tc>
        <w:tc>
          <w:tcPr>
            <w:tcW w:w="4156" w:type="dxa"/>
            <w:noWrap w:val="0"/>
            <w:vAlign w:val="top"/>
          </w:tcPr>
          <w:p w14:paraId="6FF34C99">
            <w:pPr>
              <w:pStyle w:val="18"/>
              <w:spacing w:before="110" w:line="254" w:lineRule="auto"/>
              <w:ind w:right="78"/>
              <w:rPr>
                <w:lang w:eastAsia="zh-CN"/>
              </w:rPr>
            </w:pPr>
            <w:r>
              <w:rPr>
                <w:rFonts w:hint="eastAsia"/>
                <w:lang w:val="en-US" w:eastAsia="zh-CN"/>
              </w:rPr>
              <w:t>根据市办法全力抓好推进实施。</w:t>
            </w:r>
          </w:p>
        </w:tc>
        <w:tc>
          <w:tcPr>
            <w:tcW w:w="1415" w:type="dxa"/>
            <w:noWrap w:val="0"/>
            <w:vAlign w:val="top"/>
          </w:tcPr>
          <w:p w14:paraId="1A8A5196">
            <w:pPr>
              <w:pStyle w:val="18"/>
              <w:spacing w:before="110" w:line="254" w:lineRule="auto"/>
              <w:ind w:right="78"/>
              <w:rPr>
                <w:lang w:eastAsia="zh-CN"/>
              </w:rPr>
            </w:pPr>
            <w:r>
              <w:rPr>
                <w:rFonts w:hint="eastAsia"/>
                <w:lang w:val="en-US" w:eastAsia="zh-CN"/>
              </w:rPr>
              <w:t>区</w:t>
            </w:r>
            <w:r>
              <w:rPr>
                <w:lang w:eastAsia="zh-CN"/>
              </w:rPr>
              <w:t>农业农村局</w:t>
            </w:r>
          </w:p>
        </w:tc>
        <w:tc>
          <w:tcPr>
            <w:tcW w:w="2124" w:type="dxa"/>
            <w:noWrap w:val="0"/>
            <w:vAlign w:val="top"/>
          </w:tcPr>
          <w:p w14:paraId="0B592F49">
            <w:pPr>
              <w:pStyle w:val="18"/>
              <w:spacing w:before="110" w:line="254" w:lineRule="auto"/>
              <w:ind w:right="78"/>
              <w:rPr>
                <w:lang w:eastAsia="zh-CN"/>
              </w:rPr>
            </w:pPr>
            <w:r>
              <w:rPr>
                <w:rFonts w:hint="eastAsia"/>
                <w:lang w:val="en-US" w:eastAsia="zh-CN"/>
              </w:rPr>
              <w:t>区金融发展促进中心</w:t>
            </w:r>
            <w:r>
              <w:rPr>
                <w:rFonts w:hint="eastAsia"/>
                <w:lang w:eastAsia="zh-CN"/>
              </w:rPr>
              <w:t>，各镇、</w:t>
            </w:r>
            <w:r>
              <w:rPr>
                <w:rFonts w:hint="eastAsia"/>
                <w:lang w:val="en-US" w:eastAsia="zh-CN"/>
              </w:rPr>
              <w:t>街道</w:t>
            </w:r>
          </w:p>
        </w:tc>
      </w:tr>
      <w:tr w14:paraId="1AD49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jc w:val="center"/>
        </w:trPr>
        <w:tc>
          <w:tcPr>
            <w:tcW w:w="1136" w:type="dxa"/>
            <w:vMerge w:val="continue"/>
            <w:tcBorders>
              <w:top w:val="nil"/>
            </w:tcBorders>
            <w:noWrap w:val="0"/>
            <w:vAlign w:val="top"/>
          </w:tcPr>
          <w:p w14:paraId="7BC1BBD1">
            <w:pPr>
              <w:autoSpaceDE w:val="0"/>
              <w:autoSpaceDN w:val="0"/>
              <w:rPr>
                <w:kern w:val="0"/>
                <w:sz w:val="2"/>
                <w:szCs w:val="2"/>
                <w:lang w:eastAsia="en-US"/>
              </w:rPr>
            </w:pPr>
          </w:p>
        </w:tc>
        <w:tc>
          <w:tcPr>
            <w:tcW w:w="726" w:type="dxa"/>
            <w:noWrap w:val="0"/>
            <w:vAlign w:val="top"/>
          </w:tcPr>
          <w:p w14:paraId="7F5C6DC6">
            <w:pPr>
              <w:pStyle w:val="18"/>
              <w:spacing w:before="4"/>
              <w:rPr>
                <w:rFonts w:ascii="PMingLiU"/>
                <w:sz w:val="19"/>
              </w:rPr>
            </w:pPr>
          </w:p>
          <w:p w14:paraId="4C21C3C2">
            <w:pPr>
              <w:pStyle w:val="18"/>
              <w:ind w:right="327"/>
              <w:jc w:val="right"/>
            </w:pPr>
            <w:r>
              <w:t>9</w:t>
            </w:r>
          </w:p>
        </w:tc>
        <w:tc>
          <w:tcPr>
            <w:tcW w:w="3541" w:type="dxa"/>
            <w:noWrap w:val="0"/>
            <w:vAlign w:val="top"/>
          </w:tcPr>
          <w:p w14:paraId="1A4E2743">
            <w:pPr>
              <w:pStyle w:val="18"/>
              <w:spacing w:before="110" w:line="254" w:lineRule="auto"/>
              <w:ind w:right="78"/>
              <w:rPr>
                <w:lang w:eastAsia="zh-CN"/>
              </w:rPr>
            </w:pPr>
            <w:r>
              <w:rPr>
                <w:lang w:eastAsia="zh-CN"/>
              </w:rPr>
              <w:t>制定出台农村宅基地自愿有偿退出、流转及有偿使用管理有关办法</w:t>
            </w:r>
          </w:p>
        </w:tc>
        <w:tc>
          <w:tcPr>
            <w:tcW w:w="4156" w:type="dxa"/>
            <w:noWrap w:val="0"/>
            <w:vAlign w:val="top"/>
          </w:tcPr>
          <w:p w14:paraId="4F0B074E">
            <w:pPr>
              <w:pStyle w:val="18"/>
              <w:spacing w:before="110" w:line="254" w:lineRule="auto"/>
              <w:ind w:right="78"/>
              <w:rPr>
                <w:lang w:eastAsia="zh-CN"/>
              </w:rPr>
            </w:pPr>
            <w:r>
              <w:rPr>
                <w:rFonts w:hint="eastAsia"/>
                <w:lang w:val="en-US" w:eastAsia="zh-CN"/>
              </w:rPr>
              <w:t>根据市办法全力抓好推进实施。</w:t>
            </w:r>
          </w:p>
        </w:tc>
        <w:tc>
          <w:tcPr>
            <w:tcW w:w="1415" w:type="dxa"/>
            <w:noWrap w:val="0"/>
            <w:vAlign w:val="top"/>
          </w:tcPr>
          <w:p w14:paraId="46EC7121">
            <w:pPr>
              <w:pStyle w:val="18"/>
              <w:spacing w:before="110" w:line="254" w:lineRule="auto"/>
              <w:ind w:right="78"/>
              <w:rPr>
                <w:lang w:eastAsia="zh-CN"/>
              </w:rPr>
            </w:pPr>
            <w:r>
              <w:rPr>
                <w:rFonts w:hint="eastAsia"/>
                <w:lang w:val="en-US" w:eastAsia="zh-CN"/>
              </w:rPr>
              <w:t>区</w:t>
            </w:r>
            <w:r>
              <w:rPr>
                <w:lang w:eastAsia="zh-CN"/>
              </w:rPr>
              <w:t>农业农村局</w:t>
            </w:r>
          </w:p>
        </w:tc>
        <w:tc>
          <w:tcPr>
            <w:tcW w:w="2124" w:type="dxa"/>
            <w:noWrap w:val="0"/>
            <w:vAlign w:val="top"/>
          </w:tcPr>
          <w:p w14:paraId="26671D41">
            <w:pPr>
              <w:pStyle w:val="18"/>
              <w:spacing w:before="110" w:line="254" w:lineRule="auto"/>
              <w:ind w:right="78"/>
              <w:rPr>
                <w:lang w:eastAsia="zh-CN"/>
              </w:rPr>
            </w:pPr>
            <w:r>
              <w:rPr>
                <w:rFonts w:hint="eastAsia"/>
                <w:lang w:val="en-US" w:eastAsia="zh-CN"/>
              </w:rPr>
              <w:t>区</w:t>
            </w:r>
            <w:r>
              <w:rPr>
                <w:lang w:eastAsia="zh-CN"/>
              </w:rPr>
              <w:t>自然资源局</w:t>
            </w:r>
            <w:r>
              <w:rPr>
                <w:rFonts w:hint="eastAsia"/>
                <w:lang w:eastAsia="zh-CN"/>
              </w:rPr>
              <w:t>，各镇、</w:t>
            </w:r>
            <w:r>
              <w:rPr>
                <w:rFonts w:hint="eastAsia"/>
                <w:lang w:val="en-US" w:eastAsia="zh-CN"/>
              </w:rPr>
              <w:t>街道</w:t>
            </w:r>
          </w:p>
        </w:tc>
      </w:tr>
      <w:tr w14:paraId="528DB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8" w:hRule="atLeast"/>
          <w:jc w:val="center"/>
        </w:trPr>
        <w:tc>
          <w:tcPr>
            <w:tcW w:w="1136" w:type="dxa"/>
            <w:vMerge w:val="continue"/>
            <w:tcBorders>
              <w:top w:val="nil"/>
            </w:tcBorders>
            <w:noWrap w:val="0"/>
            <w:vAlign w:val="top"/>
          </w:tcPr>
          <w:p w14:paraId="4591910D">
            <w:pPr>
              <w:autoSpaceDE w:val="0"/>
              <w:autoSpaceDN w:val="0"/>
              <w:rPr>
                <w:kern w:val="0"/>
                <w:sz w:val="2"/>
                <w:szCs w:val="2"/>
                <w:lang w:eastAsia="zh-CN"/>
              </w:rPr>
            </w:pPr>
          </w:p>
        </w:tc>
        <w:tc>
          <w:tcPr>
            <w:tcW w:w="726" w:type="dxa"/>
            <w:noWrap w:val="0"/>
            <w:vAlign w:val="top"/>
          </w:tcPr>
          <w:p w14:paraId="410C00B7">
            <w:pPr>
              <w:pStyle w:val="18"/>
              <w:spacing w:before="4"/>
              <w:rPr>
                <w:rFonts w:ascii="PMingLiU"/>
                <w:sz w:val="19"/>
                <w:lang w:eastAsia="zh-CN"/>
              </w:rPr>
            </w:pPr>
          </w:p>
          <w:p w14:paraId="2698F9B8">
            <w:pPr>
              <w:pStyle w:val="18"/>
              <w:ind w:right="278"/>
              <w:jc w:val="right"/>
            </w:pPr>
            <w:r>
              <w:t>10</w:t>
            </w:r>
          </w:p>
        </w:tc>
        <w:tc>
          <w:tcPr>
            <w:tcW w:w="3541" w:type="dxa"/>
            <w:noWrap w:val="0"/>
            <w:vAlign w:val="top"/>
          </w:tcPr>
          <w:p w14:paraId="24882E12">
            <w:pPr>
              <w:pStyle w:val="18"/>
              <w:spacing w:before="110" w:line="254" w:lineRule="auto"/>
              <w:ind w:right="78"/>
              <w:rPr>
                <w:lang w:eastAsia="zh-CN"/>
              </w:rPr>
            </w:pPr>
            <w:r>
              <w:rPr>
                <w:lang w:eastAsia="zh-CN"/>
              </w:rPr>
              <w:t>建立农村产权交易平台</w:t>
            </w:r>
          </w:p>
        </w:tc>
        <w:tc>
          <w:tcPr>
            <w:tcW w:w="4156" w:type="dxa"/>
            <w:noWrap w:val="0"/>
            <w:vAlign w:val="top"/>
          </w:tcPr>
          <w:p w14:paraId="6634E3F4">
            <w:pPr>
              <w:pStyle w:val="18"/>
              <w:spacing w:before="110" w:line="254" w:lineRule="auto"/>
              <w:ind w:right="78"/>
              <w:rPr>
                <w:lang w:eastAsia="zh-CN"/>
              </w:rPr>
            </w:pPr>
            <w:r>
              <w:rPr>
                <w:rFonts w:hint="eastAsia"/>
                <w:lang w:val="en-US" w:eastAsia="zh-CN"/>
              </w:rPr>
              <w:t>按照市要求全力抓好推进实施。</w:t>
            </w:r>
          </w:p>
        </w:tc>
        <w:tc>
          <w:tcPr>
            <w:tcW w:w="1415" w:type="dxa"/>
            <w:noWrap w:val="0"/>
            <w:vAlign w:val="top"/>
          </w:tcPr>
          <w:p w14:paraId="20B9B2F3">
            <w:pPr>
              <w:pStyle w:val="18"/>
              <w:spacing w:before="110" w:line="254" w:lineRule="auto"/>
              <w:ind w:right="78"/>
              <w:rPr>
                <w:lang w:eastAsia="zh-CN"/>
              </w:rPr>
            </w:pPr>
            <w:r>
              <w:rPr>
                <w:rFonts w:hint="eastAsia"/>
                <w:lang w:val="en-US" w:eastAsia="zh-CN"/>
              </w:rPr>
              <w:t>区</w:t>
            </w:r>
            <w:r>
              <w:rPr>
                <w:lang w:eastAsia="zh-CN"/>
              </w:rPr>
              <w:t>农业农村局</w:t>
            </w:r>
          </w:p>
        </w:tc>
        <w:tc>
          <w:tcPr>
            <w:tcW w:w="2124" w:type="dxa"/>
            <w:noWrap w:val="0"/>
            <w:vAlign w:val="top"/>
          </w:tcPr>
          <w:p w14:paraId="5CBE7CE1">
            <w:pPr>
              <w:pStyle w:val="18"/>
              <w:spacing w:before="110" w:line="254" w:lineRule="auto"/>
              <w:ind w:right="78"/>
              <w:rPr>
                <w:lang w:eastAsia="zh-CN"/>
              </w:rPr>
            </w:pPr>
            <w:r>
              <w:rPr>
                <w:rFonts w:hint="eastAsia"/>
                <w:lang w:val="en-US" w:eastAsia="zh-CN"/>
              </w:rPr>
              <w:t>区发改局</w:t>
            </w:r>
            <w:r>
              <w:rPr>
                <w:lang w:eastAsia="zh-CN"/>
              </w:rPr>
              <w:t>、</w:t>
            </w:r>
            <w:r>
              <w:rPr>
                <w:rFonts w:hint="eastAsia"/>
                <w:lang w:val="en-US" w:eastAsia="zh-CN"/>
              </w:rPr>
              <w:t>区</w:t>
            </w:r>
            <w:r>
              <w:rPr>
                <w:lang w:eastAsia="zh-CN"/>
              </w:rPr>
              <w:t>财政局、</w:t>
            </w:r>
            <w:r>
              <w:rPr>
                <w:rFonts w:hint="eastAsia"/>
                <w:lang w:val="en-US" w:eastAsia="zh-CN"/>
              </w:rPr>
              <w:t>区</w:t>
            </w:r>
            <w:r>
              <w:rPr>
                <w:lang w:eastAsia="zh-CN"/>
              </w:rPr>
              <w:t>大数据局</w:t>
            </w:r>
            <w:r>
              <w:rPr>
                <w:rFonts w:hint="eastAsia"/>
                <w:lang w:eastAsia="zh-CN"/>
              </w:rPr>
              <w:t>，各镇、</w:t>
            </w:r>
            <w:r>
              <w:rPr>
                <w:rFonts w:hint="eastAsia"/>
                <w:lang w:val="en-US" w:eastAsia="zh-CN"/>
              </w:rPr>
              <w:t>街道</w:t>
            </w:r>
          </w:p>
        </w:tc>
      </w:tr>
      <w:tr w14:paraId="61EAF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3" w:hRule="atLeast"/>
          <w:jc w:val="center"/>
        </w:trPr>
        <w:tc>
          <w:tcPr>
            <w:tcW w:w="1136" w:type="dxa"/>
            <w:vMerge w:val="continue"/>
            <w:tcBorders>
              <w:top w:val="nil"/>
            </w:tcBorders>
            <w:noWrap w:val="0"/>
            <w:vAlign w:val="top"/>
          </w:tcPr>
          <w:p w14:paraId="65B47317">
            <w:pPr>
              <w:autoSpaceDE w:val="0"/>
              <w:autoSpaceDN w:val="0"/>
              <w:rPr>
                <w:kern w:val="0"/>
                <w:sz w:val="2"/>
                <w:szCs w:val="2"/>
                <w:lang w:eastAsia="en-US"/>
              </w:rPr>
            </w:pPr>
          </w:p>
        </w:tc>
        <w:tc>
          <w:tcPr>
            <w:tcW w:w="726" w:type="dxa"/>
            <w:noWrap w:val="0"/>
            <w:vAlign w:val="top"/>
          </w:tcPr>
          <w:p w14:paraId="6727E77D">
            <w:pPr>
              <w:pStyle w:val="18"/>
              <w:spacing w:before="12"/>
              <w:rPr>
                <w:rFonts w:ascii="PMingLiU"/>
                <w:sz w:val="17"/>
              </w:rPr>
            </w:pPr>
          </w:p>
          <w:p w14:paraId="0ACB825E">
            <w:pPr>
              <w:pStyle w:val="18"/>
              <w:ind w:right="278"/>
              <w:jc w:val="right"/>
              <w:rPr>
                <w:rFonts w:hint="eastAsia" w:eastAsia="宋体"/>
                <w:lang w:eastAsia="zh-CN"/>
              </w:rPr>
            </w:pPr>
            <w:r>
              <w:t>1</w:t>
            </w:r>
            <w:r>
              <w:rPr>
                <w:rFonts w:hint="eastAsia"/>
                <w:lang w:val="en-US" w:eastAsia="zh-CN"/>
              </w:rPr>
              <w:t>1</w:t>
            </w:r>
          </w:p>
        </w:tc>
        <w:tc>
          <w:tcPr>
            <w:tcW w:w="3541" w:type="dxa"/>
            <w:noWrap w:val="0"/>
            <w:vAlign w:val="top"/>
          </w:tcPr>
          <w:p w14:paraId="2F4D2001">
            <w:pPr>
              <w:pStyle w:val="18"/>
              <w:spacing w:before="110" w:line="254" w:lineRule="auto"/>
              <w:ind w:right="78"/>
              <w:rPr>
                <w:rFonts w:ascii="宋体" w:hAnsi="宋体" w:eastAsia="宋体" w:cs="宋体"/>
                <w:kern w:val="0"/>
                <w:sz w:val="22"/>
                <w:szCs w:val="22"/>
                <w:lang w:val="en-US" w:eastAsia="zh-CN" w:bidi="ar-SA"/>
              </w:rPr>
            </w:pPr>
            <w:r>
              <w:rPr>
                <w:rFonts w:ascii="宋体" w:hAnsi="宋体" w:eastAsia="宋体" w:cs="宋体"/>
                <w:kern w:val="0"/>
                <w:sz w:val="22"/>
                <w:szCs w:val="22"/>
                <w:lang w:val="en-US" w:eastAsia="zh-CN" w:bidi="ar-SA"/>
              </w:rPr>
              <w:t>加强信用农村建设</w:t>
            </w:r>
          </w:p>
        </w:tc>
        <w:tc>
          <w:tcPr>
            <w:tcW w:w="4156" w:type="dxa"/>
            <w:noWrap w:val="0"/>
            <w:vAlign w:val="top"/>
          </w:tcPr>
          <w:p w14:paraId="5DEC1B4B">
            <w:pPr>
              <w:pStyle w:val="18"/>
              <w:spacing w:before="110" w:line="254" w:lineRule="auto"/>
              <w:ind w:right="78"/>
              <w:rPr>
                <w:rFonts w:ascii="宋体" w:hAnsi="宋体" w:eastAsia="宋体" w:cs="宋体"/>
                <w:kern w:val="0"/>
                <w:sz w:val="22"/>
                <w:szCs w:val="22"/>
                <w:lang w:val="en-US" w:eastAsia="zh-CN" w:bidi="ar-SA"/>
              </w:rPr>
            </w:pPr>
            <w:r>
              <w:rPr>
                <w:rFonts w:hint="eastAsia"/>
                <w:lang w:val="en-US" w:eastAsia="zh-CN"/>
              </w:rPr>
              <w:t>按照市要求全力抓好推进实施。</w:t>
            </w:r>
          </w:p>
        </w:tc>
        <w:tc>
          <w:tcPr>
            <w:tcW w:w="1415" w:type="dxa"/>
            <w:noWrap w:val="0"/>
            <w:vAlign w:val="top"/>
          </w:tcPr>
          <w:p w14:paraId="076DBD04">
            <w:pPr>
              <w:pStyle w:val="18"/>
              <w:spacing w:before="110" w:line="254" w:lineRule="auto"/>
              <w:ind w:right="78"/>
              <w:rPr>
                <w:rFonts w:hint="default" w:ascii="宋体" w:hAnsi="宋体" w:eastAsia="宋体" w:cs="宋体"/>
                <w:kern w:val="0"/>
                <w:sz w:val="22"/>
                <w:szCs w:val="22"/>
                <w:lang w:val="en-US" w:eastAsia="zh-CN" w:bidi="ar-SA"/>
              </w:rPr>
            </w:pPr>
            <w:r>
              <w:rPr>
                <w:rFonts w:hint="eastAsia" w:cs="宋体"/>
                <w:kern w:val="0"/>
                <w:sz w:val="22"/>
                <w:szCs w:val="22"/>
                <w:lang w:val="en-US" w:eastAsia="zh-CN" w:bidi="ar-SA"/>
              </w:rPr>
              <w:t>区发改局</w:t>
            </w:r>
          </w:p>
        </w:tc>
        <w:tc>
          <w:tcPr>
            <w:tcW w:w="2124" w:type="dxa"/>
            <w:noWrap w:val="0"/>
            <w:vAlign w:val="top"/>
          </w:tcPr>
          <w:p w14:paraId="726E949A">
            <w:pPr>
              <w:pStyle w:val="18"/>
              <w:spacing w:before="110" w:line="254" w:lineRule="auto"/>
              <w:ind w:right="78"/>
              <w:rPr>
                <w:rFonts w:ascii="宋体" w:hAnsi="宋体" w:eastAsia="宋体" w:cs="宋体"/>
                <w:kern w:val="0"/>
                <w:sz w:val="22"/>
                <w:szCs w:val="22"/>
                <w:lang w:val="en-US" w:eastAsia="zh-CN" w:bidi="ar-SA"/>
              </w:rPr>
            </w:pPr>
            <w:r>
              <w:rPr>
                <w:rFonts w:ascii="宋体" w:hAnsi="宋体" w:eastAsia="宋体" w:cs="宋体"/>
                <w:kern w:val="0"/>
                <w:sz w:val="22"/>
                <w:szCs w:val="22"/>
                <w:lang w:val="en-US" w:eastAsia="zh-CN" w:bidi="ar-SA"/>
              </w:rPr>
              <w:t>人行</w:t>
            </w:r>
            <w:r>
              <w:rPr>
                <w:rFonts w:hint="eastAsia" w:cs="宋体"/>
                <w:kern w:val="0"/>
                <w:sz w:val="22"/>
                <w:szCs w:val="22"/>
                <w:lang w:val="en-US" w:eastAsia="zh-CN" w:bidi="ar-SA"/>
              </w:rPr>
              <w:t>临淄</w:t>
            </w:r>
            <w:r>
              <w:rPr>
                <w:rFonts w:ascii="宋体" w:hAnsi="宋体" w:eastAsia="宋体" w:cs="宋体"/>
                <w:kern w:val="0"/>
                <w:sz w:val="22"/>
                <w:szCs w:val="22"/>
                <w:lang w:val="en-US" w:eastAsia="zh-CN" w:bidi="ar-SA"/>
              </w:rPr>
              <w:t>支行</w:t>
            </w:r>
            <w:r>
              <w:rPr>
                <w:rFonts w:hint="eastAsia"/>
                <w:lang w:eastAsia="zh-CN"/>
              </w:rPr>
              <w:t>，各镇、</w:t>
            </w:r>
            <w:r>
              <w:rPr>
                <w:rFonts w:hint="eastAsia"/>
                <w:lang w:val="en-US" w:eastAsia="zh-CN"/>
              </w:rPr>
              <w:t>街道</w:t>
            </w:r>
          </w:p>
        </w:tc>
      </w:tr>
      <w:tr w14:paraId="0959F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6" w:hRule="atLeast"/>
          <w:jc w:val="center"/>
        </w:trPr>
        <w:tc>
          <w:tcPr>
            <w:tcW w:w="1136" w:type="dxa"/>
            <w:noWrap w:val="0"/>
            <w:vAlign w:val="center"/>
          </w:tcPr>
          <w:p w14:paraId="3C8B5AF6">
            <w:pPr>
              <w:pStyle w:val="18"/>
              <w:spacing w:line="272" w:lineRule="exact"/>
              <w:ind w:left="99"/>
              <w:jc w:val="center"/>
              <w:rPr>
                <w:lang w:eastAsia="zh-CN"/>
              </w:rPr>
            </w:pPr>
            <w:r>
              <w:rPr>
                <w:lang w:eastAsia="zh-CN"/>
              </w:rPr>
              <w:t>建立城乡</w:t>
            </w:r>
          </w:p>
          <w:p w14:paraId="485D30E6">
            <w:pPr>
              <w:pStyle w:val="18"/>
              <w:spacing w:line="300" w:lineRule="atLeast"/>
              <w:ind w:left="99" w:right="98"/>
              <w:jc w:val="center"/>
              <w:rPr>
                <w:lang w:eastAsia="zh-CN"/>
              </w:rPr>
            </w:pPr>
            <w:r>
              <w:rPr>
                <w:lang w:eastAsia="zh-CN"/>
              </w:rPr>
              <w:t>融合发展项目库</w:t>
            </w:r>
          </w:p>
        </w:tc>
        <w:tc>
          <w:tcPr>
            <w:tcW w:w="726" w:type="dxa"/>
            <w:noWrap w:val="0"/>
            <w:vAlign w:val="top"/>
          </w:tcPr>
          <w:p w14:paraId="700E70FC">
            <w:pPr>
              <w:pStyle w:val="18"/>
              <w:spacing w:before="10"/>
              <w:rPr>
                <w:rFonts w:ascii="PMingLiU"/>
                <w:sz w:val="20"/>
                <w:lang w:eastAsia="zh-CN"/>
              </w:rPr>
            </w:pPr>
          </w:p>
          <w:p w14:paraId="0DC04D77">
            <w:pPr>
              <w:pStyle w:val="18"/>
              <w:ind w:right="278"/>
              <w:jc w:val="right"/>
              <w:rPr>
                <w:rFonts w:hint="eastAsia" w:eastAsia="宋体"/>
                <w:lang w:eastAsia="zh-CN"/>
              </w:rPr>
            </w:pPr>
            <w:r>
              <w:t>1</w:t>
            </w:r>
            <w:r>
              <w:rPr>
                <w:rFonts w:hint="eastAsia"/>
                <w:lang w:val="en-US" w:eastAsia="zh-CN"/>
              </w:rPr>
              <w:t>2</w:t>
            </w:r>
          </w:p>
        </w:tc>
        <w:tc>
          <w:tcPr>
            <w:tcW w:w="3541" w:type="dxa"/>
            <w:noWrap w:val="0"/>
            <w:vAlign w:val="top"/>
          </w:tcPr>
          <w:p w14:paraId="02164626">
            <w:pPr>
              <w:pStyle w:val="18"/>
              <w:spacing w:before="110" w:line="254" w:lineRule="auto"/>
              <w:ind w:right="78"/>
              <w:rPr>
                <w:rFonts w:ascii="宋体" w:hAnsi="宋体" w:eastAsia="宋体" w:cs="宋体"/>
                <w:kern w:val="0"/>
                <w:sz w:val="22"/>
                <w:szCs w:val="22"/>
                <w:lang w:val="en-US" w:eastAsia="zh-CN" w:bidi="ar-SA"/>
              </w:rPr>
            </w:pPr>
            <w:r>
              <w:rPr>
                <w:rFonts w:ascii="宋体" w:hAnsi="宋体" w:eastAsia="宋体" w:cs="宋体"/>
                <w:kern w:val="0"/>
                <w:sz w:val="22"/>
                <w:szCs w:val="22"/>
                <w:lang w:val="en-US" w:eastAsia="zh-CN" w:bidi="ar-SA"/>
              </w:rPr>
              <w:t>建立市级城乡融合发展项目库</w:t>
            </w:r>
          </w:p>
        </w:tc>
        <w:tc>
          <w:tcPr>
            <w:tcW w:w="4156" w:type="dxa"/>
            <w:noWrap w:val="0"/>
            <w:vAlign w:val="top"/>
          </w:tcPr>
          <w:p w14:paraId="08136CF4">
            <w:pPr>
              <w:pStyle w:val="18"/>
              <w:spacing w:before="110" w:line="254" w:lineRule="auto"/>
              <w:ind w:right="78"/>
              <w:rPr>
                <w:rFonts w:ascii="宋体" w:hAnsi="宋体" w:eastAsia="宋体" w:cs="宋体"/>
                <w:kern w:val="0"/>
                <w:sz w:val="22"/>
                <w:szCs w:val="22"/>
                <w:lang w:val="en-US" w:eastAsia="zh-CN" w:bidi="ar-SA"/>
              </w:rPr>
            </w:pPr>
            <w:r>
              <w:rPr>
                <w:rFonts w:hint="eastAsia"/>
                <w:lang w:val="en-US" w:eastAsia="zh-CN"/>
              </w:rPr>
              <w:t>按照市要求全力抓好推进实施。</w:t>
            </w:r>
          </w:p>
        </w:tc>
        <w:tc>
          <w:tcPr>
            <w:tcW w:w="1415" w:type="dxa"/>
            <w:noWrap w:val="0"/>
            <w:vAlign w:val="top"/>
          </w:tcPr>
          <w:p w14:paraId="3C39BF11">
            <w:pPr>
              <w:pStyle w:val="18"/>
              <w:spacing w:before="110" w:line="254" w:lineRule="auto"/>
              <w:ind w:right="78"/>
              <w:rPr>
                <w:rFonts w:hint="default" w:ascii="宋体" w:hAnsi="宋体" w:eastAsia="宋体" w:cs="宋体"/>
                <w:kern w:val="0"/>
                <w:sz w:val="22"/>
                <w:szCs w:val="22"/>
                <w:lang w:val="en-US" w:eastAsia="zh-CN" w:bidi="ar-SA"/>
              </w:rPr>
            </w:pPr>
            <w:r>
              <w:rPr>
                <w:rFonts w:hint="eastAsia" w:cs="宋体"/>
                <w:kern w:val="0"/>
                <w:sz w:val="22"/>
                <w:szCs w:val="22"/>
                <w:lang w:val="en-US" w:eastAsia="zh-CN" w:bidi="ar-SA"/>
              </w:rPr>
              <w:t>区发改局</w:t>
            </w:r>
          </w:p>
        </w:tc>
        <w:tc>
          <w:tcPr>
            <w:tcW w:w="2124" w:type="dxa"/>
            <w:noWrap w:val="0"/>
            <w:vAlign w:val="top"/>
          </w:tcPr>
          <w:p w14:paraId="693AD102">
            <w:pPr>
              <w:pStyle w:val="18"/>
              <w:spacing w:before="110" w:line="254" w:lineRule="auto"/>
              <w:ind w:right="78"/>
              <w:rPr>
                <w:rFonts w:ascii="宋体" w:hAnsi="宋体" w:eastAsia="宋体" w:cs="宋体"/>
                <w:kern w:val="0"/>
                <w:sz w:val="22"/>
                <w:szCs w:val="22"/>
                <w:lang w:val="en-US" w:eastAsia="zh-CN" w:bidi="ar-SA"/>
              </w:rPr>
            </w:pPr>
            <w:r>
              <w:rPr>
                <w:rFonts w:hint="eastAsia" w:cs="宋体"/>
                <w:kern w:val="0"/>
                <w:sz w:val="22"/>
                <w:szCs w:val="22"/>
                <w:lang w:val="en-US" w:eastAsia="zh-CN" w:bidi="ar-SA"/>
              </w:rPr>
              <w:t>区</w:t>
            </w:r>
            <w:r>
              <w:rPr>
                <w:rFonts w:ascii="宋体" w:hAnsi="宋体" w:eastAsia="宋体" w:cs="宋体"/>
                <w:kern w:val="0"/>
                <w:sz w:val="22"/>
                <w:szCs w:val="22"/>
                <w:lang w:val="en-US" w:eastAsia="zh-CN" w:bidi="ar-SA"/>
              </w:rPr>
              <w:t>有关部门</w:t>
            </w:r>
            <w:r>
              <w:rPr>
                <w:rFonts w:hint="eastAsia"/>
                <w:lang w:eastAsia="zh-CN"/>
              </w:rPr>
              <w:t>，各镇、</w:t>
            </w:r>
            <w:r>
              <w:rPr>
                <w:rFonts w:hint="eastAsia"/>
                <w:lang w:val="en-US" w:eastAsia="zh-CN"/>
              </w:rPr>
              <w:t>街道</w:t>
            </w:r>
          </w:p>
        </w:tc>
      </w:tr>
    </w:tbl>
    <w:p w14:paraId="466A3BCC">
      <w:pPr>
        <w:spacing w:line="298" w:lineRule="exact"/>
        <w:ind w:left="659"/>
        <w:rPr>
          <w:rFonts w:hint="default" w:ascii="仿宋_GB2312" w:hAnsi="仿宋_GB2312" w:eastAsia="仿宋_GB2312" w:cs="仿宋_GB2312"/>
          <w:color w:val="auto"/>
          <w:kern w:val="0"/>
          <w:sz w:val="32"/>
          <w:szCs w:val="32"/>
          <w:u w:val="none"/>
          <w:lang w:val="en-US" w:eastAsia="zh-CN" w:bidi="ar"/>
        </w:rPr>
        <w:sectPr>
          <w:pgSz w:w="16838" w:h="11906" w:orient="landscape"/>
          <w:pgMar w:top="1587" w:right="2211" w:bottom="1474" w:left="1871" w:header="851" w:footer="992" w:gutter="0"/>
          <w:cols w:space="720" w:num="1"/>
          <w:rtlGutter w:val="0"/>
          <w:docGrid w:type="lines" w:linePitch="312" w:charSpace="0"/>
        </w:sectPr>
      </w:pPr>
      <w:r>
        <w:rPr>
          <w:rFonts w:ascii="楷体" w:hAnsi="楷体" w:eastAsia="楷体"/>
          <w:sz w:val="24"/>
        </w:rPr>
        <w:t>备注：其他重点工作按照行动方案分工抓好落实。</w:t>
      </w:r>
      <w:bookmarkStart w:id="0" w:name="_GoBack"/>
      <w:bookmarkEnd w:id="0"/>
    </w:p>
    <w:p w14:paraId="6FF39056">
      <w:pPr>
        <w:widowControl/>
        <w:spacing w:line="520" w:lineRule="exact"/>
        <w:rPr>
          <w:rFonts w:ascii="仿宋" w:hAnsi="仿宋" w:eastAsia="仿宋" w:cs="仿宋"/>
          <w:b/>
          <w:bCs/>
          <w:kern w:val="0"/>
          <w:sz w:val="32"/>
          <w:szCs w:val="32"/>
        </w:rPr>
      </w:pPr>
    </w:p>
    <w:sectPr>
      <w:footerReference r:id="rId4"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C0B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444F19">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444F1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36C85D23">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14:paraId="432F8C75">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A4FF9"/>
    <w:rsid w:val="006168A4"/>
    <w:rsid w:val="00662890"/>
    <w:rsid w:val="00692EA6"/>
    <w:rsid w:val="006D77B5"/>
    <w:rsid w:val="006E42C6"/>
    <w:rsid w:val="007A20BD"/>
    <w:rsid w:val="008101C7"/>
    <w:rsid w:val="00861D25"/>
    <w:rsid w:val="0088179D"/>
    <w:rsid w:val="009E1870"/>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19AB7EC1"/>
    <w:rsid w:val="1C0E50CF"/>
    <w:rsid w:val="40100250"/>
    <w:rsid w:val="6049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uiPriority w:val="0"/>
  </w:style>
  <w:style w:type="character" w:customStyle="1" w:styleId="12">
    <w:name w:val="页眉 字符"/>
    <w:basedOn w:val="9"/>
    <w:link w:val="6"/>
    <w:uiPriority w:val="99"/>
    <w:rPr>
      <w:sz w:val="18"/>
      <w:szCs w:val="18"/>
    </w:rPr>
  </w:style>
  <w:style w:type="character" w:customStyle="1" w:styleId="13">
    <w:name w:val="页脚 字符"/>
    <w:basedOn w:val="9"/>
    <w:link w:val="5"/>
    <w:uiPriority w:val="99"/>
    <w:rPr>
      <w:sz w:val="18"/>
      <w:szCs w:val="18"/>
    </w:rPr>
  </w:style>
  <w:style w:type="character" w:customStyle="1" w:styleId="14">
    <w:name w:val="标题 1 字符"/>
    <w:basedOn w:val="9"/>
    <w:link w:val="2"/>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10811</Words>
  <Characters>10931</Characters>
  <Lines>6</Lines>
  <Paragraphs>1</Paragraphs>
  <TotalTime>5</TotalTime>
  <ScaleCrop>false</ScaleCrop>
  <LinksUpToDate>false</LinksUpToDate>
  <CharactersWithSpaces>10965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2020-12-31T01:54:00Z</dcterms:created>
  <dc:creator>政府办管理员</dc:creator>
  <cp:lastModifiedBy>糖芯</cp:lastModifiedBy>
  <cp:lastPrinted>2020-12-31T01:47:00Z</cp:lastPrinted>
  <dcterms:modified xsi:type="dcterms:W3CDTF">2026-02-05T08:49:27Z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03A8A74CFB0C43288B107BA078067329_13</vt:lpwstr>
  </property>
  <property fmtid="{D5CDD505-2E9C-101B-9397-08002B2CF9AE}" pid="4" name="KSOTemplateDocerSaveRecord">
    <vt:lpwstr>eyJoZGlkIjoiZjQ5YmNjNGRiYmMyM2VhZTljMjQ3YTY0Nzk4MjJmOTMiLCJ1c2VySWQiOiI1MTg0NDc3MzkifQ==</vt:lpwstr>
  </property>
</Properties>
</file>