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50B80">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7A4670F7">
                            <w:pPr>
                              <w:pStyle w:val="7"/>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7A4670F7">
                      <w:pPr>
                        <w:pStyle w:val="7"/>
                        <w:spacing w:before="0" w:beforeAutospacing="0" w:after="0" w:afterAutospacing="0"/>
                        <w:jc w:val="center"/>
                      </w:pPr>
                    </w:p>
                  </w:txbxContent>
                </v:textbox>
                <w10:anchorlock/>
              </v:shape>
            </w:pict>
          </mc:Fallback>
        </mc:AlternateContent>
      </w:r>
    </w:p>
    <w:p w14:paraId="043A69F4">
      <w:pPr>
        <w:rPr>
          <w:rFonts w:ascii="华文中宋" w:hAnsi="华文中宋" w:eastAsia="华文中宋"/>
          <w:b/>
          <w:sz w:val="36"/>
          <w:szCs w:val="36"/>
        </w:rPr>
      </w:pPr>
    </w:p>
    <w:p w14:paraId="30317EDB">
      <w:pPr>
        <w:rPr>
          <w:rFonts w:ascii="华文中宋" w:hAnsi="华文中宋" w:eastAsia="华文中宋"/>
          <w:b/>
          <w:sz w:val="36"/>
          <w:szCs w:val="36"/>
        </w:rPr>
      </w:pPr>
    </w:p>
    <w:p w14:paraId="2748BEE6">
      <w:pPr>
        <w:rPr>
          <w:rFonts w:ascii="华文中宋" w:hAnsi="华文中宋" w:eastAsia="华文中宋"/>
          <w:b/>
          <w:sz w:val="36"/>
          <w:szCs w:val="36"/>
        </w:rPr>
      </w:pPr>
    </w:p>
    <w:p w14:paraId="23F940E9">
      <w:pPr>
        <w:rPr>
          <w:rFonts w:ascii="仿宋_GB2312" w:eastAsia="仿宋_GB2312"/>
          <w:sz w:val="32"/>
          <w:szCs w:val="32"/>
        </w:rPr>
      </w:pPr>
    </w:p>
    <w:p w14:paraId="273A6CDB">
      <w:pPr>
        <w:rPr>
          <w:rFonts w:hint="eastAsia"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135 </w:t>
      </w:r>
      <w:r>
        <w:rPr>
          <w:rFonts w:hint="eastAsia" w:ascii="仿宋" w:hAnsi="仿宋" w:eastAsia="仿宋" w:cs="仿宋"/>
          <w:sz w:val="32"/>
          <w:szCs w:val="32"/>
        </w:rPr>
        <w:t>号</w:t>
      </w:r>
      <w:r>
        <w:rPr>
          <w:rFonts w:hint="eastAsia" w:ascii="仿宋" w:hAnsi="仿宋" w:eastAsia="仿宋" w:cs="仿宋"/>
          <w:b/>
          <w:sz w:val="36"/>
          <w:szCs w:val="36"/>
        </w:rPr>
        <w:t xml:space="preserve">            </w:t>
      </w:r>
    </w:p>
    <w:p w14:paraId="39252053">
      <w:pPr>
        <w:widowControl/>
        <w:spacing w:line="640" w:lineRule="exact"/>
        <w:jc w:val="center"/>
        <w:rPr>
          <w:rFonts w:hint="eastAsia" w:ascii="方正小标宋简体" w:hAnsi="仿宋" w:eastAsia="方正小标宋简体"/>
          <w:bCs/>
          <w:sz w:val="44"/>
          <w:szCs w:val="44"/>
        </w:rPr>
      </w:pPr>
    </w:p>
    <w:p w14:paraId="3425A0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临淄区人民政府</w:t>
      </w:r>
    </w:p>
    <w:p w14:paraId="50AE37A6">
      <w:pPr>
        <w:keepNext w:val="0"/>
        <w:keepLines w:val="0"/>
        <w:widowControl w:val="0"/>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关于印发临淄区实施《山东省优化营商环境条例》办法的通知</w:t>
      </w:r>
    </w:p>
    <w:p w14:paraId="538E94E0">
      <w:pPr>
        <w:pStyle w:val="2"/>
        <w:rPr>
          <w:rFonts w:hint="eastAsia"/>
          <w:lang w:val="en-US" w:eastAsia="zh-CN"/>
        </w:rPr>
      </w:pPr>
    </w:p>
    <w:p w14:paraId="13506C9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各镇人民政府、街道办事处，各开发区管委会，区政府各部门，有关企事业单位：</w:t>
      </w:r>
    </w:p>
    <w:p w14:paraId="713922B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现将《临淄区实施&lt;山东省优化营商环境条例&gt;办法》印发给你们，请认真贯彻执行。</w:t>
      </w:r>
    </w:p>
    <w:p w14:paraId="2013047E">
      <w:pPr>
        <w:pStyle w:val="2"/>
        <w:rPr>
          <w:rFonts w:hint="eastAsia"/>
          <w:lang w:val="en-US" w:eastAsia="zh-CN"/>
        </w:rPr>
      </w:pPr>
    </w:p>
    <w:p w14:paraId="0DABB29B">
      <w:pPr>
        <w:pStyle w:val="2"/>
        <w:rPr>
          <w:rFonts w:hint="eastAsia"/>
          <w:lang w:val="en-US" w:eastAsia="zh-CN"/>
        </w:rPr>
      </w:pPr>
    </w:p>
    <w:p w14:paraId="677E5099">
      <w:pPr>
        <w:pStyle w:val="2"/>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临淄区人民政府</w:t>
      </w:r>
    </w:p>
    <w:p w14:paraId="61926518">
      <w:pPr>
        <w:pStyle w:val="2"/>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2021年9月6日</w:t>
      </w:r>
    </w:p>
    <w:p w14:paraId="47D17100">
      <w:pPr>
        <w:pStyle w:val="2"/>
        <w:ind w:firstLine="5120" w:firstLineChars="1600"/>
        <w:rPr>
          <w:rFonts w:hint="eastAsia" w:ascii="仿宋_GB2312" w:hAnsi="仿宋_GB2312" w:eastAsia="仿宋_GB2312" w:cs="仿宋_GB2312"/>
          <w:sz w:val="32"/>
          <w:szCs w:val="32"/>
          <w:lang w:val="en-US" w:eastAsia="zh-CN"/>
        </w:rPr>
      </w:pPr>
    </w:p>
    <w:p w14:paraId="317AB854">
      <w:pPr>
        <w:pStyle w:val="2"/>
        <w:spacing w:after="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14:paraId="231A16DF">
      <w:pPr>
        <w:pStyle w:val="2"/>
        <w:spacing w:after="0"/>
        <w:rPr>
          <w:rFonts w:hint="eastAsia" w:ascii="仿宋_GB2312" w:hAnsi="仿宋_GB2312" w:eastAsia="仿宋_GB2312" w:cs="仿宋_GB2312"/>
          <w:sz w:val="32"/>
          <w:szCs w:val="32"/>
          <w:lang w:val="en-US" w:eastAsia="zh-CN"/>
        </w:rPr>
      </w:pPr>
    </w:p>
    <w:p w14:paraId="68C8E0F6">
      <w:pPr>
        <w:spacing w:line="560" w:lineRule="exact"/>
        <w:jc w:val="center"/>
        <w:rPr>
          <w:rFonts w:hint="eastAsia" w:ascii="方正小标宋简体" w:hAnsi="仿宋" w:eastAsia="方正小标宋简体"/>
          <w:sz w:val="44"/>
          <w:szCs w:val="44"/>
        </w:rPr>
      </w:pPr>
    </w:p>
    <w:p w14:paraId="7D1F4410">
      <w:pPr>
        <w:spacing w:line="560" w:lineRule="exact"/>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rPr>
        <w:t>临淄区</w:t>
      </w:r>
      <w:r>
        <w:rPr>
          <w:rFonts w:hint="eastAsia" w:ascii="方正小标宋简体" w:hAnsi="仿宋" w:eastAsia="方正小标宋简体"/>
          <w:sz w:val="44"/>
          <w:szCs w:val="44"/>
          <w:lang w:val="en-US" w:eastAsia="zh-CN"/>
        </w:rPr>
        <w:t>实施</w:t>
      </w:r>
    </w:p>
    <w:p w14:paraId="3287656F">
      <w:pPr>
        <w:spacing w:line="560" w:lineRule="exact"/>
        <w:jc w:val="center"/>
        <w:rPr>
          <w:rFonts w:hint="eastAsia" w:ascii="仿宋" w:hAnsi="仿宋" w:eastAsia="仿宋" w:cs="Times New Roman"/>
          <w:kern w:val="2"/>
          <w:sz w:val="32"/>
          <w:szCs w:val="32"/>
          <w:lang w:val="en-US" w:eastAsia="zh-CN" w:bidi="ar-SA"/>
        </w:rPr>
      </w:pPr>
      <w:r>
        <w:rPr>
          <w:rFonts w:hint="eastAsia" w:ascii="方正小标宋简体" w:hAnsi="仿宋" w:eastAsia="方正小标宋简体"/>
          <w:sz w:val="44"/>
          <w:szCs w:val="44"/>
        </w:rPr>
        <w:t>《山东省优化营商环境条例》办法</w:t>
      </w:r>
    </w:p>
    <w:p w14:paraId="7FC5B904">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44B92223">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黑体" w:hAnsi="黑体" w:eastAsia="黑体" w:cs="黑体"/>
          <w:sz w:val="32"/>
          <w:szCs w:val="32"/>
          <w:lang w:val="en-US" w:eastAsia="zh-CN"/>
        </w:rPr>
        <w:t>第一章总则</w:t>
      </w:r>
    </w:p>
    <w:p w14:paraId="1ACDE7B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sz w:val="32"/>
          <w:szCs w:val="32"/>
        </w:rPr>
        <w:t>为</w:t>
      </w:r>
      <w:r>
        <w:rPr>
          <w:rFonts w:hint="eastAsia" w:ascii="仿宋" w:hAnsi="仿宋" w:eastAsia="仿宋"/>
          <w:sz w:val="32"/>
          <w:szCs w:val="32"/>
          <w:lang w:val="en-US" w:eastAsia="zh-CN"/>
        </w:rPr>
        <w:t>持续</w:t>
      </w:r>
      <w:r>
        <w:rPr>
          <w:rFonts w:hint="eastAsia" w:ascii="仿宋" w:hAnsi="仿宋" w:eastAsia="仿宋"/>
          <w:sz w:val="32"/>
          <w:szCs w:val="32"/>
        </w:rPr>
        <w:t>优化营商环境，</w:t>
      </w:r>
      <w:r>
        <w:rPr>
          <w:rFonts w:hint="eastAsia" w:ascii="仿宋" w:hAnsi="仿宋" w:eastAsia="仿宋"/>
          <w:sz w:val="32"/>
          <w:szCs w:val="32"/>
          <w:lang w:val="en-US" w:eastAsia="zh-CN"/>
        </w:rPr>
        <w:t>提高政务服务质量，规范行政权力运行，保护市场主体合法权益，</w:t>
      </w:r>
      <w:r>
        <w:rPr>
          <w:rFonts w:hint="eastAsia" w:ascii="仿宋" w:hAnsi="仿宋" w:eastAsia="仿宋"/>
          <w:sz w:val="32"/>
          <w:szCs w:val="32"/>
        </w:rPr>
        <w:t>激发市场主体活力，促进经济高质量发展，根据《山东省优化营商环境条例》，结合本区实际，制定本办法。</w:t>
      </w:r>
    </w:p>
    <w:p w14:paraId="522278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sz w:val="32"/>
          <w:szCs w:val="32"/>
        </w:rPr>
        <w:t>本区</w:t>
      </w:r>
      <w:r>
        <w:rPr>
          <w:rFonts w:hint="eastAsia" w:ascii="仿宋" w:hAnsi="仿宋" w:eastAsia="仿宋"/>
          <w:sz w:val="32"/>
          <w:szCs w:val="32"/>
          <w:lang w:val="en-US" w:eastAsia="zh-CN"/>
        </w:rPr>
        <w:t>行政区域内</w:t>
      </w:r>
      <w:r>
        <w:rPr>
          <w:rFonts w:hint="eastAsia" w:ascii="仿宋" w:hAnsi="仿宋" w:eastAsia="仿宋"/>
          <w:sz w:val="32"/>
          <w:szCs w:val="32"/>
        </w:rPr>
        <w:t>优化营商环境工作适用本办法。</w:t>
      </w:r>
    </w:p>
    <w:p w14:paraId="2B1B4B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黑体" w:hAnsi="黑体" w:eastAsia="黑体" w:cs="黑体"/>
          <w:sz w:val="32"/>
          <w:szCs w:val="32"/>
        </w:rPr>
        <w:t>第三条</w:t>
      </w:r>
      <w:r>
        <w:rPr>
          <w:rFonts w:hint="eastAsia" w:ascii="楷体_GB2312" w:hAnsi="楷体_GB2312" w:eastAsia="楷体_GB2312" w:cs="楷体_GB2312"/>
          <w:sz w:val="32"/>
          <w:szCs w:val="32"/>
          <w:lang w:val="en-US" w:eastAsia="zh-CN"/>
        </w:rPr>
        <w:t xml:space="preserve"> </w:t>
      </w:r>
      <w:r>
        <w:rPr>
          <w:rFonts w:hint="eastAsia" w:ascii="仿宋" w:hAnsi="仿宋" w:eastAsia="仿宋"/>
          <w:sz w:val="32"/>
          <w:szCs w:val="32"/>
        </w:rPr>
        <w:t>坚持市场化、法治化、国际化原则，以市场主体需求为导向，为各类市场主体营造稳定、公平、透明、可预期的营商环境。</w:t>
      </w:r>
    </w:p>
    <w:p w14:paraId="1296EA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黑体" w:hAnsi="黑体" w:eastAsia="黑体" w:cs="黑体"/>
          <w:sz w:val="32"/>
          <w:szCs w:val="32"/>
        </w:rPr>
        <w:t>第四条</w:t>
      </w:r>
      <w:r>
        <w:rPr>
          <w:rFonts w:hint="eastAsia" w:ascii="仿宋" w:hAnsi="仿宋" w:eastAsia="仿宋"/>
          <w:sz w:val="32"/>
          <w:szCs w:val="32"/>
        </w:rPr>
        <w:t xml:space="preserve"> 加强优化营商环境工作的组织领导，统筹推进简政放权、放管结合、优化服务改革，完善优化营商环境的政策措施，主动积极协调、解决优化营商环境工作中的重大问题。</w:t>
      </w:r>
    </w:p>
    <w:p w14:paraId="1CB368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区政府办公室、区发展改革部门是优化营商环境工作的牵头部门，负责督促、协调、推进优化营商环境工作。</w:t>
      </w:r>
    </w:p>
    <w:p w14:paraId="21CD4D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区人民政府相关部门按照各自职责开展优化营商环境相关工作。</w:t>
      </w:r>
    </w:p>
    <w:p w14:paraId="00AFD1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黑体" w:hAnsi="黑体" w:eastAsia="黑体" w:cs="黑体"/>
          <w:b w:val="0"/>
          <w:bCs w:val="0"/>
          <w:sz w:val="32"/>
          <w:szCs w:val="32"/>
        </w:rPr>
        <w:t>第五条</w:t>
      </w:r>
      <w:r>
        <w:rPr>
          <w:rFonts w:hint="eastAsia" w:ascii="仿宋" w:hAnsi="仿宋" w:eastAsia="仿宋"/>
          <w:sz w:val="32"/>
          <w:szCs w:val="32"/>
        </w:rPr>
        <w:t xml:space="preserve"> 健全优化营商环境工作激励机制，将优化营商环境工作纳入政府绩效考核体系，对工作成效显著的部门和单位按照规定给予表</w:t>
      </w:r>
      <w:r>
        <w:rPr>
          <w:rFonts w:hint="eastAsia" w:ascii="仿宋" w:hAnsi="仿宋" w:eastAsia="仿宋"/>
          <w:sz w:val="32"/>
          <w:szCs w:val="32"/>
          <w:lang w:val="en-US" w:eastAsia="zh-CN"/>
        </w:rPr>
        <w:t>扬</w:t>
      </w:r>
      <w:r>
        <w:rPr>
          <w:rFonts w:hint="eastAsia" w:ascii="仿宋" w:hAnsi="仿宋" w:eastAsia="仿宋"/>
          <w:sz w:val="32"/>
          <w:szCs w:val="32"/>
        </w:rPr>
        <w:t>，对不作为、乱作为延误工作的部门和单位予以问责。</w:t>
      </w:r>
    </w:p>
    <w:p w14:paraId="6C5B2C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黑体" w:hAnsi="黑体" w:eastAsia="黑体" w:cs="黑体"/>
          <w:b w:val="0"/>
          <w:bCs w:val="0"/>
          <w:sz w:val="32"/>
          <w:szCs w:val="32"/>
        </w:rPr>
        <w:t>第六条</w:t>
      </w:r>
      <w:r>
        <w:rPr>
          <w:rFonts w:hint="eastAsia" w:ascii="仿宋" w:hAnsi="仿宋" w:eastAsia="仿宋"/>
          <w:sz w:val="32"/>
          <w:szCs w:val="32"/>
        </w:rPr>
        <w:t xml:space="preserve"> 每年9月8日举办临淄企业家节，共同营造亲商、重商、爱商的营商环境，激发和弘扬优秀企业家精神，更好地发挥企业家作用。</w:t>
      </w:r>
    </w:p>
    <w:p w14:paraId="3BBE924B">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20225584">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lang w:val="en-US" w:eastAsia="zh-CN"/>
        </w:rPr>
      </w:pPr>
      <w:r>
        <w:rPr>
          <w:rFonts w:hint="eastAsia" w:ascii="黑体" w:hAnsi="黑体" w:eastAsia="黑体" w:cs="黑体"/>
          <w:sz w:val="32"/>
          <w:szCs w:val="32"/>
          <w:lang w:val="en-US" w:eastAsia="zh-CN"/>
        </w:rPr>
        <w:t>第二章  优化市场环境</w:t>
      </w:r>
    </w:p>
    <w:p w14:paraId="70D8E5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楷体_GB2312" w:hAnsi="楷体_GB2312" w:eastAsia="楷体_GB2312" w:cs="楷体_GB2312"/>
          <w:sz w:val="32"/>
          <w:szCs w:val="32"/>
          <w:lang w:val="en-US" w:eastAsia="zh-CN"/>
        </w:rPr>
        <w:t xml:space="preserve"> </w:t>
      </w:r>
      <w:r>
        <w:rPr>
          <w:rFonts w:hint="eastAsia" w:ascii="仿宋" w:hAnsi="仿宋" w:eastAsia="仿宋"/>
          <w:sz w:val="32"/>
          <w:szCs w:val="32"/>
          <w:lang w:val="en-US" w:eastAsia="zh-CN"/>
        </w:rPr>
        <w:t>全面实施</w:t>
      </w:r>
      <w:r>
        <w:rPr>
          <w:rFonts w:hint="eastAsia" w:ascii="仿宋" w:hAnsi="仿宋" w:eastAsia="仿宋"/>
          <w:sz w:val="32"/>
          <w:szCs w:val="32"/>
        </w:rPr>
        <w:t>市场准入负面清单制度。负面清单以外的领域，各类市场主体均可以依法平等进入。</w:t>
      </w:r>
    </w:p>
    <w:p w14:paraId="354863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FF000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条</w:t>
      </w:r>
      <w:r>
        <w:rPr>
          <w:rFonts w:hint="eastAsia" w:ascii="仿宋" w:hAnsi="仿宋" w:eastAsia="仿宋"/>
          <w:sz w:val="32"/>
          <w:szCs w:val="32"/>
          <w:lang w:val="en-US" w:eastAsia="zh-CN"/>
        </w:rPr>
        <w:t xml:space="preserve"> 依法保护各类市场主体平等参与本行政区域内的市场竞争，全面实施公平竞争审查制度</w:t>
      </w:r>
      <w:r>
        <w:rPr>
          <w:rFonts w:hint="eastAsia" w:ascii="仿宋" w:hAnsi="仿宋" w:eastAsia="仿宋"/>
          <w:sz w:val="32"/>
          <w:szCs w:val="32"/>
        </w:rPr>
        <w:t>，依法清理废止阻碍市场公平竞争的各项规定，确保民营企业平等参与。</w:t>
      </w:r>
    </w:p>
    <w:p w14:paraId="25E209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w:t>
      </w:r>
      <w:r>
        <w:rPr>
          <w:rFonts w:hint="eastAsia" w:ascii="仿宋" w:hAnsi="仿宋" w:eastAsia="仿宋"/>
          <w:sz w:val="32"/>
          <w:szCs w:val="32"/>
        </w:rPr>
        <w:t xml:space="preserve"> 依法平等保护本地和外地市场主体的合法权益。不得禁止、限制外地市场主体到本地从事生产经营活动或者禁止、限制外地商品、服务</w:t>
      </w:r>
      <w:r>
        <w:rPr>
          <w:rFonts w:hint="eastAsia" w:ascii="仿宋" w:hAnsi="仿宋" w:eastAsia="仿宋" w:cs="Times New Roman"/>
          <w:sz w:val="32"/>
          <w:szCs w:val="32"/>
        </w:rPr>
        <w:t>进入本地市场，法律、行政法规另有规定的除外</w:t>
      </w:r>
      <w:r>
        <w:rPr>
          <w:rFonts w:hint="eastAsia" w:ascii="仿宋" w:hAnsi="仿宋" w:eastAsia="仿宋" w:cs="Times New Roman"/>
          <w:sz w:val="32"/>
          <w:szCs w:val="32"/>
          <w:lang w:eastAsia="zh-CN"/>
        </w:rPr>
        <w:t>。</w:t>
      </w:r>
    </w:p>
    <w:p w14:paraId="5F3EC3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黑体" w:hAnsi="黑体" w:eastAsia="黑体" w:cs="黑体"/>
          <w:b w:val="0"/>
          <w:bCs w:val="0"/>
          <w:sz w:val="32"/>
          <w:szCs w:val="32"/>
          <w:lang w:val="en-US" w:eastAsia="zh-CN"/>
        </w:rPr>
        <w:t xml:space="preserve">第十条 </w:t>
      </w:r>
      <w:r>
        <w:rPr>
          <w:rFonts w:hint="eastAsia" w:ascii="仿宋" w:hAnsi="仿宋" w:eastAsia="仿宋" w:cs="Times New Roman"/>
          <w:sz w:val="32"/>
          <w:szCs w:val="32"/>
          <w:lang w:eastAsia="zh-CN"/>
        </w:rPr>
        <w:t>拓展“一窗通”功能范围，推动企业开办“一窗通”系统由单纯的开办业务，向变更、备案、注销等“全链条”业务拓展。</w:t>
      </w:r>
    </w:p>
    <w:p w14:paraId="12AD32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黑体" w:hAnsi="黑体" w:eastAsia="黑体" w:cs="黑体"/>
          <w:b w:val="0"/>
          <w:bCs w:val="0"/>
          <w:sz w:val="32"/>
          <w:szCs w:val="32"/>
          <w:lang w:val="en-US" w:eastAsia="zh-CN"/>
        </w:rPr>
        <w:t>第十一条</w:t>
      </w:r>
      <w:r>
        <w:rPr>
          <w:rFonts w:hint="eastAsia" w:ascii="仿宋" w:hAnsi="仿宋" w:eastAsia="仿宋"/>
          <w:sz w:val="32"/>
          <w:szCs w:val="32"/>
          <w:lang w:val="en-US" w:eastAsia="zh-CN"/>
        </w:rPr>
        <w:t xml:space="preserve"> 完善土地供应机制，</w:t>
      </w:r>
      <w:r>
        <w:rPr>
          <w:rFonts w:hint="eastAsia" w:ascii="仿宋" w:hAnsi="仿宋" w:eastAsia="仿宋"/>
          <w:sz w:val="32"/>
          <w:szCs w:val="32"/>
        </w:rPr>
        <w:t>建立企业投资项目 “标准地”出让试点，对除政府核准的工业投资项目、危险化学品项目、“一事一议”的重大工业投资项目外，区级审批的新上工业类、仓储类、研发总部类用地推行“标准地”出让试点工作，全力推进建设和验收“双提速”。</w:t>
      </w:r>
    </w:p>
    <w:p w14:paraId="6EA6EE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r>
        <w:rPr>
          <w:rFonts w:hint="eastAsia" w:ascii="黑体" w:hAnsi="黑体" w:eastAsia="黑体" w:cs="黑体"/>
          <w:b w:val="0"/>
          <w:bCs w:val="0"/>
          <w:sz w:val="32"/>
          <w:szCs w:val="32"/>
          <w:lang w:val="en-US" w:eastAsia="zh-CN"/>
        </w:rPr>
        <w:t>第十二条</w:t>
      </w:r>
      <w:r>
        <w:rPr>
          <w:rFonts w:hint="eastAsia" w:ascii="仿宋" w:hAnsi="仿宋" w:eastAsia="仿宋"/>
          <w:color w:val="000000"/>
          <w:sz w:val="32"/>
          <w:szCs w:val="32"/>
          <w:lang w:val="en-US" w:eastAsia="zh-CN"/>
        </w:rPr>
        <w:t xml:space="preserve"> 根据工业企业“亩产效益”评价改革工作的有关要求，</w:t>
      </w:r>
      <w:r>
        <w:rPr>
          <w:rFonts w:hint="eastAsia" w:ascii="仿宋" w:hAnsi="仿宋" w:eastAsia="仿宋"/>
          <w:color w:val="000000"/>
          <w:sz w:val="32"/>
          <w:szCs w:val="32"/>
        </w:rPr>
        <w:t>合理使用企业“亩均效益”综合评价结果，按照法律、法规的规定实施用地、用水、用电、用气、</w:t>
      </w:r>
      <w:r>
        <w:rPr>
          <w:rFonts w:hint="eastAsia" w:ascii="仿宋" w:hAnsi="仿宋" w:eastAsia="仿宋"/>
          <w:color w:val="000000"/>
          <w:sz w:val="32"/>
          <w:szCs w:val="32"/>
          <w:lang w:val="en-US" w:eastAsia="zh-CN"/>
        </w:rPr>
        <w:t>用能</w:t>
      </w:r>
      <w:r>
        <w:rPr>
          <w:rFonts w:hint="eastAsia" w:ascii="仿宋" w:hAnsi="仿宋" w:eastAsia="仿宋"/>
          <w:color w:val="000000"/>
          <w:sz w:val="32"/>
          <w:szCs w:val="32"/>
        </w:rPr>
        <w:t>等资源要素差别化措施。</w:t>
      </w:r>
    </w:p>
    <w:p w14:paraId="075806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color w:val="000000"/>
          <w:sz w:val="32"/>
          <w:szCs w:val="32"/>
        </w:rPr>
        <w:t>对“亩均效益”综合评价的</w:t>
      </w:r>
      <w:r>
        <w:rPr>
          <w:rFonts w:hint="eastAsia" w:ascii="仿宋" w:hAnsi="仿宋" w:eastAsia="仿宋"/>
          <w:color w:val="000000"/>
          <w:sz w:val="32"/>
          <w:szCs w:val="32"/>
          <w:lang w:val="en-US" w:eastAsia="zh-CN"/>
        </w:rPr>
        <w:t>A类企业</w:t>
      </w:r>
      <w:r>
        <w:rPr>
          <w:rFonts w:hint="eastAsia" w:ascii="仿宋" w:hAnsi="仿宋" w:eastAsia="仿宋"/>
          <w:color w:val="000000"/>
          <w:sz w:val="32"/>
          <w:szCs w:val="32"/>
        </w:rPr>
        <w:t>优先保障用地、用电、用水、用气、用能</w:t>
      </w:r>
      <w:r>
        <w:rPr>
          <w:rFonts w:hint="eastAsia" w:ascii="仿宋" w:hAnsi="仿宋" w:eastAsia="仿宋"/>
          <w:sz w:val="32"/>
          <w:szCs w:val="32"/>
        </w:rPr>
        <w:t>需求，</w:t>
      </w:r>
      <w:r>
        <w:rPr>
          <w:rFonts w:hint="eastAsia" w:ascii="仿宋" w:hAnsi="仿宋" w:eastAsia="仿宋"/>
          <w:sz w:val="32"/>
          <w:szCs w:val="32"/>
          <w:lang w:val="en-US" w:eastAsia="zh-CN"/>
        </w:rPr>
        <w:t>积极落实差别化政策，</w:t>
      </w:r>
      <w:r>
        <w:rPr>
          <w:rFonts w:hint="eastAsia" w:ascii="仿宋" w:hAnsi="仿宋" w:eastAsia="仿宋"/>
          <w:sz w:val="32"/>
          <w:szCs w:val="32"/>
        </w:rPr>
        <w:t>给予资源要素价格优惠、能耗、排放量、资金信贷政策</w:t>
      </w:r>
      <w:r>
        <w:rPr>
          <w:rFonts w:hint="eastAsia" w:ascii="仿宋" w:hAnsi="仿宋" w:eastAsia="仿宋"/>
          <w:sz w:val="32"/>
          <w:szCs w:val="32"/>
          <w:lang w:val="en-US" w:eastAsia="zh-CN"/>
        </w:rPr>
        <w:t>倾斜，对上争取不纳入错峰生产及重污染天气应急响应范围，优先享受上级及我区各项扶持政策，对上争取资源时予以优先推荐</w:t>
      </w:r>
      <w:r>
        <w:rPr>
          <w:rFonts w:hint="eastAsia" w:ascii="仿宋" w:hAnsi="仿宋" w:eastAsia="仿宋"/>
          <w:sz w:val="32"/>
          <w:szCs w:val="32"/>
        </w:rPr>
        <w:t>。</w:t>
      </w:r>
    </w:p>
    <w:p w14:paraId="23DE869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黑体" w:hAnsi="黑体" w:eastAsia="黑体" w:cs="黑体"/>
          <w:b w:val="0"/>
          <w:bCs w:val="0"/>
          <w:sz w:val="32"/>
          <w:szCs w:val="32"/>
          <w:lang w:val="en-US" w:eastAsia="zh-CN"/>
        </w:rPr>
        <w:t xml:space="preserve">第十三条 </w:t>
      </w:r>
      <w:r>
        <w:rPr>
          <w:rFonts w:hint="eastAsia" w:ascii="仿宋" w:hAnsi="仿宋" w:eastAsia="仿宋"/>
          <w:color w:val="000000"/>
          <w:sz w:val="32"/>
          <w:szCs w:val="32"/>
          <w:lang w:val="en-US" w:eastAsia="zh-CN"/>
        </w:rPr>
        <w:t>制定</w:t>
      </w:r>
      <w:r>
        <w:rPr>
          <w:rFonts w:hint="eastAsia" w:ascii="仿宋" w:hAnsi="仿宋" w:eastAsia="仿宋" w:cs="仿宋"/>
          <w:color w:val="000000"/>
          <w:kern w:val="0"/>
          <w:sz w:val="32"/>
          <w:szCs w:val="32"/>
          <w:lang w:val="en-US" w:eastAsia="zh-CN" w:bidi="ar"/>
        </w:rPr>
        <w:t>重点行业企业大气污染防治绩效分级制度，对重点行业企业实施大气污染防治绩效分级，在重污染天气期间实施差别化管控，实施分级绩效管理。</w:t>
      </w:r>
    </w:p>
    <w:p w14:paraId="2AD547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黑体" w:hAnsi="黑体" w:eastAsia="黑体" w:cs="黑体"/>
          <w:b w:val="0"/>
          <w:bCs w:val="0"/>
          <w:sz w:val="32"/>
          <w:szCs w:val="32"/>
          <w:lang w:val="en-US" w:eastAsia="zh-CN"/>
        </w:rPr>
        <w:t>第十四条</w:t>
      </w:r>
      <w:r>
        <w:rPr>
          <w:rFonts w:hint="eastAsia" w:ascii="仿宋" w:hAnsi="仿宋" w:eastAsia="仿宋"/>
          <w:sz w:val="32"/>
          <w:szCs w:val="32"/>
        </w:rPr>
        <w:t xml:space="preserve"> </w:t>
      </w:r>
      <w:r>
        <w:rPr>
          <w:rFonts w:hint="eastAsia" w:ascii="仿宋" w:hAnsi="仿宋" w:eastAsia="仿宋"/>
          <w:color w:val="000000"/>
          <w:sz w:val="32"/>
          <w:szCs w:val="32"/>
          <w:lang w:val="en-US" w:eastAsia="zh-CN"/>
        </w:rPr>
        <w:t>支持招商项目，在新征土地、租赁厂房和办公场地方面给予支持，</w:t>
      </w:r>
      <w:r>
        <w:rPr>
          <w:rFonts w:hint="eastAsia" w:ascii="仿宋" w:hAnsi="仿宋" w:eastAsia="仿宋"/>
          <w:sz w:val="32"/>
          <w:szCs w:val="32"/>
          <w:lang w:val="en-US" w:eastAsia="zh-CN"/>
        </w:rPr>
        <w:t>认真</w:t>
      </w:r>
      <w:r>
        <w:rPr>
          <w:rFonts w:hint="eastAsia" w:ascii="仿宋" w:hAnsi="仿宋" w:eastAsia="仿宋"/>
          <w:sz w:val="32"/>
          <w:szCs w:val="32"/>
        </w:rPr>
        <w:t>落实</w:t>
      </w:r>
      <w:r>
        <w:rPr>
          <w:rFonts w:hint="eastAsia" w:ascii="仿宋" w:hAnsi="仿宋" w:eastAsia="仿宋"/>
          <w:sz w:val="32"/>
          <w:szCs w:val="32"/>
          <w:lang w:eastAsia="zh-CN"/>
        </w:rPr>
        <w:t>《关于进一步加强招商引资工作的实施意见》</w:t>
      </w:r>
      <w:r>
        <w:rPr>
          <w:rFonts w:hint="eastAsia" w:ascii="仿宋" w:hAnsi="仿宋" w:eastAsia="仿宋"/>
          <w:sz w:val="32"/>
          <w:szCs w:val="32"/>
        </w:rPr>
        <w:t>，</w:t>
      </w:r>
      <w:r>
        <w:rPr>
          <w:rFonts w:hint="eastAsia" w:ascii="仿宋" w:hAnsi="仿宋" w:eastAsia="仿宋"/>
          <w:sz w:val="32"/>
          <w:szCs w:val="32"/>
          <w:lang w:val="en-US" w:eastAsia="zh-CN"/>
        </w:rPr>
        <w:t>实行产业扶持政策</w:t>
      </w:r>
      <w:r>
        <w:rPr>
          <w:rFonts w:hint="eastAsia" w:ascii="仿宋" w:hAnsi="仿宋" w:eastAsia="仿宋"/>
          <w:sz w:val="32"/>
          <w:szCs w:val="32"/>
        </w:rPr>
        <w:t>，优先保障用地需求，实行全过程审批效能监督，实现重大产业项目高效招引。</w:t>
      </w:r>
    </w:p>
    <w:p w14:paraId="682E0F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黑体" w:hAnsi="黑体" w:eastAsia="黑体" w:cs="黑体"/>
          <w:b w:val="0"/>
          <w:bCs w:val="0"/>
          <w:sz w:val="32"/>
          <w:szCs w:val="32"/>
          <w:lang w:val="en-US" w:eastAsia="zh-CN"/>
        </w:rPr>
        <w:t>第十五条</w:t>
      </w:r>
      <w:r>
        <w:rPr>
          <w:rFonts w:hint="eastAsia" w:ascii="仿宋" w:hAnsi="仿宋" w:eastAsia="仿宋"/>
          <w:sz w:val="32"/>
          <w:szCs w:val="32"/>
          <w:lang w:val="en-US" w:eastAsia="zh-CN"/>
        </w:rPr>
        <w:t xml:space="preserve"> 实行涉企行政事业性收费零收费，降低企业税费负担和企业用能、用工、物流、融资、用地成本以及涉企中介服务收费、制度性交易成本。</w:t>
      </w:r>
    </w:p>
    <w:p w14:paraId="73629B7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黑体" w:hAnsi="黑体" w:eastAsia="黑体" w:cs="黑体"/>
          <w:b w:val="0"/>
          <w:bCs w:val="0"/>
          <w:sz w:val="32"/>
          <w:szCs w:val="32"/>
          <w:lang w:val="en-US" w:eastAsia="zh-CN"/>
        </w:rPr>
        <w:t>第十六条</w:t>
      </w:r>
      <w:r>
        <w:rPr>
          <w:rFonts w:hint="eastAsia" w:ascii="仿宋" w:hAnsi="仿宋" w:eastAsia="仿宋"/>
          <w:sz w:val="32"/>
          <w:szCs w:val="32"/>
          <w:lang w:val="en-US" w:eastAsia="zh-CN"/>
        </w:rPr>
        <w:t xml:space="preserve"> </w:t>
      </w:r>
      <w:r>
        <w:rPr>
          <w:rFonts w:hint="eastAsia" w:ascii="仿宋" w:hAnsi="仿宋" w:eastAsia="仿宋"/>
          <w:sz w:val="32"/>
          <w:szCs w:val="32"/>
        </w:rPr>
        <w:t>完善有利于创业创新的扶持政策和激励措施，积极落实好中小微企业升级高新技术企业财政补助支持政策，落实好研发费用加计扣除、研究开发财政补助政策，引导企业持续加大研发投入，提高企业创新能力。</w:t>
      </w:r>
    </w:p>
    <w:p w14:paraId="45F8DC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黑体" w:hAnsi="黑体" w:eastAsia="黑体" w:cs="黑体"/>
          <w:b w:val="0"/>
          <w:bCs w:val="0"/>
          <w:sz w:val="32"/>
          <w:szCs w:val="32"/>
          <w:lang w:val="en-US" w:eastAsia="zh-CN"/>
        </w:rPr>
        <w:t>第十七条</w:t>
      </w:r>
      <w:r>
        <w:rPr>
          <w:rFonts w:hint="eastAsia" w:ascii="仿宋" w:hAnsi="仿宋" w:eastAsia="仿宋"/>
          <w:sz w:val="32"/>
          <w:szCs w:val="32"/>
          <w:lang w:val="en-US" w:eastAsia="zh-CN"/>
        </w:rPr>
        <w:t xml:space="preserve"> </w:t>
      </w:r>
      <w:r>
        <w:rPr>
          <w:rFonts w:hint="eastAsia" w:ascii="仿宋" w:hAnsi="仿宋" w:eastAsia="仿宋" w:cs="Times New Roman"/>
          <w:sz w:val="32"/>
          <w:szCs w:val="32"/>
          <w:lang w:val="en-US" w:eastAsia="zh-CN"/>
        </w:rPr>
        <w:t>降低企业接电成本，推行供电设施租赁模式，开展受电工程“预装式”租赁业务，向用户提供电力设施租赁服务，降低办电一次性投资，减轻企业资金周转压力。</w:t>
      </w:r>
    </w:p>
    <w:p w14:paraId="7EE5EB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b w:val="0"/>
          <w:bCs w:val="0"/>
          <w:sz w:val="32"/>
          <w:szCs w:val="32"/>
          <w:lang w:val="en-US" w:eastAsia="zh-CN"/>
        </w:rPr>
        <w:t xml:space="preserve">第十八条 </w:t>
      </w:r>
      <w:r>
        <w:rPr>
          <w:rFonts w:hint="eastAsia" w:ascii="仿宋" w:hAnsi="仿宋" w:eastAsia="仿宋" w:cs="仿宋_GB2312"/>
          <w:color w:val="000000"/>
          <w:sz w:val="32"/>
          <w:szCs w:val="32"/>
        </w:rPr>
        <w:t>完善政府性融资担保体系建设，发挥融资担保增信作用，积极为中小微企业提供融资支持。引导融资担保机构进一步降费让利，降低融资主体综合融资成本，担保业务综合费率控制在1%以内。</w:t>
      </w:r>
      <w:r>
        <w:rPr>
          <w:rFonts w:hint="eastAsia" w:ascii="仿宋" w:hAnsi="仿宋" w:eastAsia="仿宋" w:cs="仿宋"/>
          <w:color w:val="000000"/>
          <w:sz w:val="32"/>
          <w:szCs w:val="32"/>
        </w:rPr>
        <w:t>严格落实中央、省、市小微企业融资担保业务降费各类奖补政策，引导融资担保机构不断降低小微企业融资成本，更好服务实体经济发展。</w:t>
      </w:r>
    </w:p>
    <w:p w14:paraId="1C5E936A">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lang w:eastAsia="zh-CN"/>
        </w:rPr>
      </w:pPr>
      <w:r>
        <w:rPr>
          <w:rFonts w:hint="eastAsia" w:ascii="黑体" w:hAnsi="黑体" w:eastAsia="黑体" w:cs="黑体"/>
          <w:b w:val="0"/>
          <w:bCs w:val="0"/>
          <w:sz w:val="32"/>
          <w:szCs w:val="32"/>
          <w:lang w:val="en-US" w:eastAsia="zh-CN"/>
        </w:rPr>
        <w:t xml:space="preserve">第十九条 </w:t>
      </w:r>
      <w:r>
        <w:rPr>
          <w:rFonts w:hint="eastAsia" w:ascii="仿宋" w:hAnsi="仿宋" w:eastAsia="仿宋" w:cs="仿宋_GB2312"/>
          <w:color w:val="000000"/>
          <w:sz w:val="32"/>
          <w:szCs w:val="32"/>
        </w:rPr>
        <w:t>拓宽企业直接融资渠道</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支持齐鲁股权交易中心发挥苗圃培育功能，引导企业规范发展。支持企业上市、挂牌，推动有意向的企业进入资本市场发展。支持企业通过发行债券、股权投资等多渠道募集资金，降低企业融资成本。</w:t>
      </w:r>
      <w:r>
        <w:rPr>
          <w:rFonts w:hint="eastAsia" w:eastAsia="仿宋_GB2312" w:cs="Times New Roman"/>
          <w:color w:val="000000"/>
          <w:sz w:val="32"/>
          <w:lang w:val="en-US" w:eastAsia="zh-CN"/>
        </w:rPr>
        <w:t>持续扩大知识产权质押融资规模，</w:t>
      </w:r>
      <w:r>
        <w:rPr>
          <w:rFonts w:hint="eastAsia" w:eastAsia="仿宋_GB2312"/>
          <w:color w:val="000000"/>
          <w:sz w:val="32"/>
        </w:rPr>
        <w:t>实现商标价值的资产化</w:t>
      </w:r>
      <w:r>
        <w:rPr>
          <w:rFonts w:hint="eastAsia"/>
          <w:color w:val="000000"/>
          <w:sz w:val="32"/>
          <w:lang w:eastAsia="zh-CN"/>
        </w:rPr>
        <w:t>。</w:t>
      </w:r>
    </w:p>
    <w:p w14:paraId="0AAF6BDF">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lang w:val="en-US" w:eastAsia="zh-CN"/>
        </w:rPr>
      </w:pPr>
      <w:r>
        <w:rPr>
          <w:rFonts w:hint="eastAsia" w:ascii="黑体" w:hAnsi="黑体" w:eastAsia="黑体" w:cs="黑体"/>
          <w:b w:val="0"/>
          <w:bCs w:val="0"/>
          <w:sz w:val="32"/>
          <w:szCs w:val="32"/>
          <w:lang w:val="en-US" w:eastAsia="zh-CN"/>
        </w:rPr>
        <w:t xml:space="preserve">第二十条 </w:t>
      </w:r>
      <w:r>
        <w:rPr>
          <w:rFonts w:ascii="仿宋" w:hAnsi="仿宋" w:eastAsia="仿宋"/>
          <w:color w:val="000000"/>
          <w:sz w:val="32"/>
          <w:szCs w:val="32"/>
        </w:rPr>
        <w:t>丰富</w:t>
      </w:r>
      <w:r>
        <w:rPr>
          <w:rFonts w:hint="eastAsia" w:ascii="仿宋" w:hAnsi="仿宋" w:eastAsia="仿宋" w:cs="Times New Roman"/>
          <w:kern w:val="2"/>
          <w:sz w:val="32"/>
          <w:szCs w:val="32"/>
          <w:lang w:val="en-US" w:eastAsia="zh-CN" w:bidi="ar-SA"/>
        </w:rPr>
        <w:t>新旧动能基金体系，完善投贷联动、基金引导、财融衔接等政策，为企业提供全生命周期金融服务，加快将我区建设成为</w:t>
      </w:r>
      <w:r>
        <w:rPr>
          <w:rFonts w:ascii="仿宋" w:hAnsi="仿宋" w:eastAsia="仿宋"/>
          <w:color w:val="000000"/>
          <w:sz w:val="32"/>
          <w:szCs w:val="32"/>
        </w:rPr>
        <w:t>新经济策源地和活跃区。</w:t>
      </w:r>
    </w:p>
    <w:p w14:paraId="5437D4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黑体" w:hAnsi="黑体" w:eastAsia="黑体" w:cs="黑体"/>
          <w:b w:val="0"/>
          <w:bCs w:val="0"/>
          <w:sz w:val="32"/>
          <w:szCs w:val="32"/>
          <w:lang w:val="en-US" w:eastAsia="zh-CN"/>
        </w:rPr>
        <w:t>第二十一条</w:t>
      </w:r>
      <w:r>
        <w:rPr>
          <w:rFonts w:hint="eastAsia" w:ascii="仿宋" w:hAnsi="仿宋" w:eastAsia="仿宋"/>
          <w:sz w:val="32"/>
          <w:szCs w:val="32"/>
          <w:lang w:val="en-US" w:eastAsia="zh-CN"/>
        </w:rPr>
        <w:t xml:space="preserve"> </w:t>
      </w:r>
      <w:r>
        <w:rPr>
          <w:rFonts w:hint="eastAsia" w:ascii="仿宋" w:hAnsi="仿宋" w:eastAsia="仿宋" w:cs="Times New Roman"/>
          <w:sz w:val="32"/>
          <w:szCs w:val="32"/>
          <w:lang w:val="en-US" w:eastAsia="zh-CN"/>
        </w:rPr>
        <w:t>支持柔性引进高层次人才服务临淄发展，</w:t>
      </w:r>
      <w:r>
        <w:rPr>
          <w:rFonts w:hint="default" w:ascii="仿宋" w:hAnsi="仿宋" w:eastAsia="仿宋" w:cs="Times New Roman"/>
          <w:sz w:val="32"/>
          <w:szCs w:val="32"/>
          <w:lang w:val="en-US" w:eastAsia="zh-CN"/>
        </w:rPr>
        <w:t>优化完善柔性引进高</w:t>
      </w:r>
      <w:r>
        <w:rPr>
          <w:rFonts w:hint="default" w:ascii="Times New Roman" w:hAnsi="Times New Roman" w:eastAsia="仿宋_GB2312" w:cs="仿宋_GB2312"/>
          <w:color w:val="000000"/>
          <w:sz w:val="32"/>
          <w:szCs w:val="32"/>
          <w:lang w:val="en-US" w:eastAsia="zh-CN"/>
        </w:rPr>
        <w:t>层次人才政策措施</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简化工作流程</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坚持“不求所有、但求所用”</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采取顾问指导、挂职引进、合作引进等方式</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畅通高层次人才</w:t>
      </w:r>
      <w:r>
        <w:rPr>
          <w:rFonts w:hint="default" w:ascii="Times New Roman" w:hAnsi="Times New Roman" w:eastAsia="仿宋_GB2312" w:cs="仿宋_GB2312"/>
          <w:color w:val="000000"/>
          <w:sz w:val="32"/>
          <w:szCs w:val="32"/>
          <w:lang w:eastAsia="zh-CN"/>
        </w:rPr>
        <w:t>引才</w:t>
      </w:r>
      <w:r>
        <w:rPr>
          <w:rFonts w:hint="default" w:ascii="Times New Roman" w:hAnsi="Times New Roman" w:eastAsia="仿宋_GB2312" w:cs="仿宋_GB2312"/>
          <w:color w:val="000000"/>
          <w:sz w:val="32"/>
          <w:szCs w:val="32"/>
          <w:lang w:val="en-US" w:eastAsia="zh-CN"/>
        </w:rPr>
        <w:t>渠道</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落实</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淄博市柔性引才实施办法</w:t>
      </w:r>
      <w:r>
        <w:rPr>
          <w:rFonts w:hint="eastAsia" w:ascii="Times New Roman" w:hAnsi="Times New Roman" w:eastAsia="仿宋_GB2312" w:cs="仿宋_GB2312"/>
          <w:color w:val="000000"/>
          <w:sz w:val="32"/>
          <w:szCs w:val="32"/>
          <w:lang w:val="en-US" w:eastAsia="zh-CN"/>
        </w:rPr>
        <w:t>》</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整合叠加人才激励政策</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突出我</w:t>
      </w:r>
      <w:r>
        <w:rPr>
          <w:rFonts w:hint="eastAsia" w:ascii="Times New Roman" w:hAnsi="Times New Roman" w:eastAsia="仿宋_GB2312" w:cs="仿宋_GB2312"/>
          <w:color w:val="000000"/>
          <w:sz w:val="32"/>
          <w:szCs w:val="32"/>
          <w:lang w:val="en-US" w:eastAsia="zh-CN"/>
        </w:rPr>
        <w:t>区</w:t>
      </w:r>
      <w:r>
        <w:rPr>
          <w:rFonts w:hint="default" w:ascii="Times New Roman" w:hAnsi="Times New Roman" w:eastAsia="仿宋_GB2312" w:cs="仿宋_GB2312"/>
          <w:color w:val="000000"/>
          <w:sz w:val="32"/>
          <w:szCs w:val="32"/>
          <w:lang w:val="en-US" w:eastAsia="zh-CN"/>
        </w:rPr>
        <w:t>政策引导优势</w:t>
      </w:r>
      <w:r>
        <w:rPr>
          <w:rFonts w:hint="eastAsia" w:ascii="Times New Roman" w:hAnsi="Times New Roman" w:eastAsia="仿宋_GB2312" w:cs="仿宋_GB2312"/>
          <w:color w:val="000000"/>
          <w:sz w:val="32"/>
          <w:szCs w:val="32"/>
          <w:lang w:val="en-US" w:eastAsia="zh-CN"/>
        </w:rPr>
        <w:t>。</w:t>
      </w:r>
    </w:p>
    <w:p w14:paraId="521CB7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黑体" w:hAnsi="黑体" w:eastAsia="黑体" w:cs="黑体"/>
          <w:b w:val="0"/>
          <w:bCs w:val="0"/>
          <w:sz w:val="32"/>
          <w:szCs w:val="32"/>
          <w:lang w:val="en-US" w:eastAsia="zh-CN"/>
        </w:rPr>
        <w:t xml:space="preserve">第二十二条 </w:t>
      </w:r>
      <w:r>
        <w:rPr>
          <w:rFonts w:hint="eastAsia" w:ascii="仿宋" w:hAnsi="仿宋" w:eastAsia="仿宋"/>
          <w:sz w:val="32"/>
          <w:szCs w:val="32"/>
          <w:lang w:val="en-US" w:eastAsia="zh-CN"/>
        </w:rPr>
        <w:t>加强政校企合作，鼓励企业与山东理工大学、淄博工业学校等院校深入合作，实行联合订单式培养技能人才，着重提升学生实践操作能力，对毕业后全职到订单企业工作的，区财政给予订单企业培养补助。</w:t>
      </w:r>
    </w:p>
    <w:p w14:paraId="1A1BACD0">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黑体" w:hAnsi="黑体" w:eastAsia="黑体" w:cs="黑体"/>
          <w:b w:val="0"/>
          <w:bCs w:val="0"/>
          <w:sz w:val="32"/>
          <w:szCs w:val="32"/>
          <w:lang w:val="en-US" w:eastAsia="zh-CN"/>
        </w:rPr>
        <w:t xml:space="preserve">第二十三条 </w:t>
      </w:r>
      <w:r>
        <w:rPr>
          <w:rFonts w:hint="eastAsia" w:ascii="仿宋" w:hAnsi="仿宋" w:eastAsia="仿宋"/>
          <w:sz w:val="32"/>
          <w:szCs w:val="32"/>
          <w:lang w:val="en-US" w:eastAsia="zh-CN"/>
        </w:rPr>
        <w:t>全面推行新型学徒制，将培训补贴扩大到全区所有企业，</w:t>
      </w:r>
      <w:r>
        <w:rPr>
          <w:rFonts w:hint="eastAsia" w:ascii="仿宋" w:hAnsi="仿宋" w:eastAsia="仿宋"/>
          <w:color w:val="auto"/>
          <w:sz w:val="32"/>
          <w:szCs w:val="32"/>
          <w:lang w:val="en-US" w:eastAsia="zh-CN"/>
        </w:rPr>
        <w:t>所需资金从规定渠道列支。</w:t>
      </w:r>
    </w:p>
    <w:p w14:paraId="73A24077">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黑体" w:hAnsi="黑体" w:eastAsia="黑体" w:cs="黑体"/>
          <w:b w:val="0"/>
          <w:bCs w:val="0"/>
          <w:color w:val="auto"/>
          <w:sz w:val="32"/>
          <w:szCs w:val="32"/>
          <w:lang w:val="en-US" w:eastAsia="zh-CN"/>
        </w:rPr>
        <w:t xml:space="preserve">第二十四条 </w:t>
      </w:r>
      <w:r>
        <w:rPr>
          <w:rFonts w:hint="eastAsia" w:ascii="仿宋" w:hAnsi="仿宋" w:eastAsia="仿宋"/>
          <w:color w:val="auto"/>
          <w:sz w:val="32"/>
          <w:szCs w:val="32"/>
          <w:lang w:val="en-US" w:eastAsia="zh-CN"/>
        </w:rPr>
        <w:t>制定鼓励区域内企业高级管理和技术骨干人才就业创业的措施，研究奖励补贴人才办法，为我区招才引智工作提供政策支持。</w:t>
      </w:r>
    </w:p>
    <w:p w14:paraId="64E520A6">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Times New Roman"/>
          <w:sz w:val="32"/>
          <w:szCs w:val="32"/>
          <w:lang w:val="en-US" w:eastAsia="zh-CN"/>
        </w:rPr>
      </w:pPr>
      <w:r>
        <w:rPr>
          <w:rFonts w:hint="eastAsia" w:ascii="黑体" w:hAnsi="黑体" w:eastAsia="黑体" w:cs="黑体"/>
          <w:b w:val="0"/>
          <w:bCs w:val="0"/>
          <w:sz w:val="32"/>
          <w:szCs w:val="32"/>
          <w:lang w:val="en-US" w:eastAsia="zh-CN"/>
        </w:rPr>
        <w:t xml:space="preserve">第二十五条 </w:t>
      </w:r>
      <w:r>
        <w:rPr>
          <w:rFonts w:hint="eastAsia" w:ascii="仿宋_GB2312" w:hAnsi="仿宋_GB2312" w:eastAsia="仿宋_GB2312" w:cs="仿宋_GB2312"/>
          <w:sz w:val="32"/>
          <w:szCs w:val="32"/>
          <w:lang w:val="en-US" w:eastAsia="zh-CN"/>
        </w:rPr>
        <w:t>引进</w:t>
      </w:r>
      <w:r>
        <w:rPr>
          <w:rFonts w:hint="eastAsia" w:ascii="仿宋_GB2312" w:hAnsi="仿宋_GB2312" w:eastAsia="仿宋_GB2312" w:cs="仿宋_GB2312"/>
          <w:sz w:val="32"/>
          <w:szCs w:val="32"/>
        </w:rPr>
        <w:t>在</w:t>
      </w:r>
      <w:r>
        <w:rPr>
          <w:rFonts w:hint="eastAsia" w:ascii="仿宋" w:hAnsi="仿宋" w:eastAsia="仿宋" w:cs="Times New Roman"/>
          <w:sz w:val="32"/>
          <w:szCs w:val="32"/>
          <w:lang w:val="en-US" w:eastAsia="zh-CN"/>
        </w:rPr>
        <w:t>全省乃至全国具有一定知名度、影响力的夜间经济特色街区品牌或主题活动品牌，并给予品牌组织创建部门（单位）一定资金支持，为外地客商到我区投资置业和吸引青年人才到</w:t>
      </w:r>
      <w:r>
        <w:rPr>
          <w:rFonts w:hint="eastAsia" w:ascii="仿宋" w:hAnsi="仿宋" w:eastAsia="仿宋" w:cs="Times New Roman"/>
          <w:color w:val="auto"/>
          <w:sz w:val="32"/>
          <w:szCs w:val="32"/>
          <w:lang w:val="en-US" w:eastAsia="zh-CN"/>
        </w:rPr>
        <w:t>我区就业提供便利优质的</w:t>
      </w:r>
      <w:r>
        <w:rPr>
          <w:rFonts w:hint="eastAsia" w:ascii="仿宋" w:hAnsi="仿宋" w:eastAsia="仿宋" w:cs="Times New Roman"/>
          <w:sz w:val="32"/>
          <w:szCs w:val="32"/>
          <w:lang w:val="en-US" w:eastAsia="zh-CN"/>
        </w:rPr>
        <w:t>生活环境。</w:t>
      </w:r>
    </w:p>
    <w:p w14:paraId="264746CC">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14:paraId="53388A0B">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优化政务环境</w:t>
      </w:r>
    </w:p>
    <w:p w14:paraId="6C23A0E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 w:hAnsi="仿宋" w:eastAsia="仿宋"/>
          <w:sz w:val="32"/>
          <w:szCs w:val="32"/>
          <w:lang w:val="en-US" w:eastAsia="zh-CN"/>
        </w:rPr>
        <w:t xml:space="preserve"> </w:t>
      </w:r>
      <w:r>
        <w:rPr>
          <w:rFonts w:hint="eastAsia" w:ascii="黑体" w:hAnsi="黑体" w:eastAsia="黑体" w:cs="黑体"/>
          <w:b w:val="0"/>
          <w:bCs w:val="0"/>
          <w:sz w:val="32"/>
          <w:szCs w:val="32"/>
          <w:lang w:val="en-US" w:eastAsia="zh-CN"/>
        </w:rPr>
        <w:t>第二十六条</w:t>
      </w:r>
      <w:r>
        <w:rPr>
          <w:rFonts w:hint="eastAsia" w:ascii="仿宋" w:hAnsi="仿宋" w:eastAsia="仿宋"/>
          <w:sz w:val="32"/>
          <w:szCs w:val="32"/>
          <w:lang w:val="en-US" w:eastAsia="zh-CN"/>
        </w:rPr>
        <w:t xml:space="preserve"> </w:t>
      </w:r>
      <w:r>
        <w:rPr>
          <w:rFonts w:hint="default" w:ascii="仿宋_GB2312" w:hAnsi="仿宋_GB2312" w:eastAsia="仿宋_GB2312" w:cs="仿宋_GB2312"/>
          <w:color w:val="000000"/>
          <w:kern w:val="2"/>
          <w:sz w:val="32"/>
          <w:szCs w:val="32"/>
          <w:highlight w:val="none"/>
          <w:lang w:eastAsia="zh-CN"/>
        </w:rPr>
        <w:t>推进</w:t>
      </w:r>
      <w:r>
        <w:rPr>
          <w:rFonts w:hint="eastAsia" w:ascii="仿宋_GB2312" w:hAnsi="仿宋_GB2312" w:eastAsia="仿宋_GB2312" w:cs="仿宋_GB2312"/>
          <w:color w:val="000000"/>
          <w:kern w:val="2"/>
          <w:sz w:val="32"/>
          <w:szCs w:val="32"/>
          <w:highlight w:val="none"/>
          <w:lang w:eastAsia="zh-CN"/>
        </w:rPr>
        <w:t>“</w:t>
      </w:r>
      <w:r>
        <w:rPr>
          <w:rFonts w:hint="default" w:ascii="仿宋_GB2312" w:hAnsi="仿宋_GB2312" w:eastAsia="仿宋_GB2312" w:cs="仿宋_GB2312"/>
          <w:color w:val="000000"/>
          <w:kern w:val="2"/>
          <w:sz w:val="32"/>
          <w:szCs w:val="32"/>
          <w:highlight w:val="none"/>
          <w:lang w:eastAsia="zh-CN"/>
        </w:rPr>
        <w:t>双全双百</w:t>
      </w:r>
      <w:r>
        <w:rPr>
          <w:rFonts w:hint="eastAsia" w:ascii="仿宋_GB2312" w:hAnsi="仿宋_GB2312" w:eastAsia="仿宋_GB2312" w:cs="仿宋_GB2312"/>
          <w:color w:val="000000"/>
          <w:kern w:val="2"/>
          <w:sz w:val="32"/>
          <w:szCs w:val="32"/>
          <w:highlight w:val="none"/>
          <w:lang w:eastAsia="zh-CN"/>
        </w:rPr>
        <w:t>”</w:t>
      </w:r>
      <w:r>
        <w:rPr>
          <w:rFonts w:hint="default" w:ascii="仿宋_GB2312" w:hAnsi="仿宋_GB2312" w:eastAsia="仿宋_GB2312" w:cs="仿宋_GB2312"/>
          <w:color w:val="000000"/>
          <w:kern w:val="2"/>
          <w:sz w:val="32"/>
          <w:szCs w:val="32"/>
          <w:highlight w:val="none"/>
          <w:lang w:eastAsia="zh-CN"/>
        </w:rPr>
        <w:t>工程。</w:t>
      </w:r>
      <w:r>
        <w:rPr>
          <w:rFonts w:hint="eastAsia" w:ascii="仿宋_GB2312" w:hAnsi="仿宋_GB2312" w:eastAsia="仿宋_GB2312" w:cs="仿宋_GB2312"/>
          <w:color w:val="000000"/>
          <w:kern w:val="2"/>
          <w:sz w:val="32"/>
          <w:szCs w:val="32"/>
          <w:highlight w:val="none"/>
          <w:lang w:val="en-US" w:eastAsia="zh-CN"/>
        </w:rPr>
        <w:t>围绕</w:t>
      </w:r>
      <w:r>
        <w:rPr>
          <w:rFonts w:hint="eastAsia" w:ascii="仿宋_GB2312" w:hAnsi="仿宋_GB2312" w:eastAsia="仿宋_GB2312" w:cs="仿宋_GB2312"/>
          <w:color w:val="000000"/>
          <w:sz w:val="32"/>
          <w:szCs w:val="32"/>
          <w:lang w:val="en-US" w:eastAsia="zh-CN"/>
        </w:rPr>
        <w:t>企业和个人全生命周期，各推出100件高频事项集成办、极简办、全域办，</w:t>
      </w:r>
      <w:r>
        <w:rPr>
          <w:rFonts w:hint="eastAsia" w:ascii="仿宋_GB2312" w:hAnsi="仿宋_GB2312" w:eastAsia="仿宋_GB2312" w:cs="仿宋_GB2312"/>
          <w:color w:val="000000"/>
          <w:sz w:val="32"/>
          <w:szCs w:val="32"/>
          <w:highlight w:val="none"/>
          <w:lang w:val="en-US" w:eastAsia="zh-CN"/>
        </w:rPr>
        <w:t>形成《企业全生命周期“一件事”事项清单》和《个人全生命周期“一件事”事项清单》。以事项为基础，围绕</w:t>
      </w:r>
      <w:r>
        <w:rPr>
          <w:rFonts w:hint="eastAsia" w:ascii="仿宋_GB2312" w:hAnsi="仿宋_GB2312" w:eastAsia="仿宋_GB2312" w:cs="仿宋_GB2312"/>
          <w:color w:val="000000"/>
          <w:sz w:val="32"/>
          <w:szCs w:val="32"/>
          <w:highlight w:val="none"/>
          <w:lang w:eastAsia="zh-CN"/>
        </w:rPr>
        <w:t>“事项联办”和“一链办理”主题式服务，实行“一套材料、一次告知、一表申请”；在“</w:t>
      </w:r>
      <w:r>
        <w:rPr>
          <w:rFonts w:hint="eastAsia" w:ascii="仿宋_GB2312" w:hAnsi="仿宋_GB2312" w:eastAsia="仿宋_GB2312" w:cs="仿宋_GB2312"/>
          <w:color w:val="000000"/>
          <w:sz w:val="32"/>
          <w:szCs w:val="32"/>
          <w:highlight w:val="none"/>
          <w:lang w:val="en-US" w:eastAsia="zh-CN"/>
        </w:rPr>
        <w:t>山东省政务服务网（淄博·临淄）</w:t>
      </w:r>
      <w:r>
        <w:rPr>
          <w:rFonts w:hint="eastAsia" w:ascii="仿宋_GB2312" w:hAnsi="仿宋_GB2312" w:eastAsia="仿宋_GB2312" w:cs="仿宋_GB2312"/>
          <w:color w:val="000000"/>
          <w:sz w:val="32"/>
          <w:szCs w:val="32"/>
          <w:highlight w:val="none"/>
          <w:lang w:eastAsia="zh-CN"/>
        </w:rPr>
        <w:t>”等平台设置服务专区，线上实</w:t>
      </w:r>
      <w:r>
        <w:rPr>
          <w:rFonts w:hint="eastAsia" w:ascii="仿宋_GB2312" w:hAnsi="仿宋_GB2312" w:eastAsia="仿宋_GB2312" w:cs="仿宋_GB2312"/>
          <w:color w:val="000000"/>
          <w:sz w:val="32"/>
          <w:szCs w:val="32"/>
          <w:highlight w:val="none"/>
          <w:lang w:val="en-US" w:eastAsia="zh-CN"/>
        </w:rPr>
        <w:t>现</w:t>
      </w:r>
      <w:r>
        <w:rPr>
          <w:rFonts w:hint="eastAsia" w:ascii="仿宋_GB2312" w:hAnsi="仿宋_GB2312" w:eastAsia="仿宋_GB2312" w:cs="仿宋_GB2312"/>
          <w:color w:val="000000"/>
          <w:sz w:val="32"/>
          <w:szCs w:val="32"/>
          <w:highlight w:val="none"/>
          <w:lang w:eastAsia="zh-CN"/>
        </w:rPr>
        <w:t>“一网通办”，线下实行“一窗受理”。</w:t>
      </w:r>
      <w:r>
        <w:rPr>
          <w:rFonts w:hint="eastAsia" w:ascii="仿宋_GB2312" w:hAnsi="仿宋_GB2312" w:eastAsia="仿宋_GB2312" w:cs="仿宋_GB2312"/>
          <w:color w:val="000000"/>
          <w:sz w:val="32"/>
          <w:szCs w:val="32"/>
          <w:highlight w:val="none"/>
          <w:lang w:val="en-US" w:eastAsia="zh-CN"/>
        </w:rPr>
        <w:t xml:space="preserve">                                                                                                                                                                                                                                                                                                                                                                                                                                                                                                                                                                                                                                                                                                                                                                                                                                                                                                                                                                                                                                                                                                                                                                                                                                                                                                              </w:t>
      </w:r>
    </w:p>
    <w:p w14:paraId="72B9B1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黑体" w:hAnsi="黑体" w:eastAsia="黑体" w:cs="黑体"/>
          <w:b w:val="0"/>
          <w:bCs w:val="0"/>
          <w:sz w:val="32"/>
          <w:szCs w:val="32"/>
          <w:lang w:val="en-US" w:eastAsia="zh-CN"/>
        </w:rPr>
        <w:t xml:space="preserve">第二十七条 </w:t>
      </w:r>
      <w:r>
        <w:rPr>
          <w:rFonts w:hint="eastAsia" w:ascii="仿宋_GB2312" w:hAnsi="仿宋_GB2312" w:eastAsia="仿宋_GB2312" w:cs="仿宋_GB2312"/>
          <w:color w:val="000000"/>
          <w:sz w:val="32"/>
          <w:szCs w:val="32"/>
          <w:highlight w:val="none"/>
          <w:lang w:eastAsia="zh-CN"/>
        </w:rPr>
        <w:t>提升“一网通办”水平。持续推进政务服务事项上网运行，通过精简事项办理流程，压缩事项办理时限，减少事项申请材料，配合市级打通事项办理专网，共享提交材料，优化在线服务成效，提升网办深度。</w:t>
      </w:r>
    </w:p>
    <w:p w14:paraId="098B8A67">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黑体" w:hAnsi="黑体" w:eastAsia="黑体" w:cs="黑体"/>
          <w:b w:val="0"/>
          <w:bCs w:val="0"/>
          <w:sz w:val="32"/>
          <w:szCs w:val="32"/>
          <w:lang w:val="en-US" w:eastAsia="zh-CN"/>
        </w:rPr>
        <w:t xml:space="preserve">第二十八条 </w:t>
      </w:r>
      <w:r>
        <w:rPr>
          <w:rFonts w:hint="eastAsia" w:ascii="仿宋_GB2312" w:hAnsi="仿宋_GB2312" w:eastAsia="仿宋_GB2312" w:cs="仿宋_GB2312"/>
          <w:color w:val="000000"/>
          <w:kern w:val="2"/>
          <w:sz w:val="32"/>
          <w:szCs w:val="32"/>
          <w:highlight w:val="none"/>
          <w:lang w:val="en-US" w:eastAsia="zh-CN" w:bidi="ar-SA"/>
        </w:rPr>
        <w:t>深入开展政务服务“跨省通办”“全省通办”“市域通办”。优化通办事项办理流程，提供申请受理、审查决定、颁证送达等全流程网上服务；在政务服务大厅设立“通办窗口”，开展业务培训，提供异地帮办代办、免费材料寄递等服务；落实通办事项多地协同办理工作机制，做到“一地受理申请，多地协同办理”。</w:t>
      </w:r>
    </w:p>
    <w:p w14:paraId="0DCC16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黑体" w:hAnsi="黑体" w:eastAsia="黑体" w:cs="黑体"/>
          <w:b w:val="0"/>
          <w:bCs w:val="0"/>
          <w:sz w:val="32"/>
          <w:szCs w:val="32"/>
          <w:lang w:val="en-US" w:eastAsia="zh-CN"/>
        </w:rPr>
        <w:t>第二十九条</w:t>
      </w:r>
      <w:r>
        <w:rPr>
          <w:rFonts w:hint="eastAsia" w:ascii="楷体_GB2312" w:hAnsi="楷体_GB2312" w:eastAsia="楷体_GB2312" w:cs="楷体_GB2312"/>
          <w:sz w:val="32"/>
          <w:szCs w:val="32"/>
          <w:lang w:val="en-US" w:eastAsia="zh-CN"/>
        </w:rPr>
        <w:t xml:space="preserve">  </w:t>
      </w:r>
      <w:r>
        <w:rPr>
          <w:rFonts w:hint="eastAsia" w:ascii="仿宋" w:hAnsi="仿宋" w:eastAsia="仿宋"/>
          <w:sz w:val="32"/>
          <w:szCs w:val="32"/>
          <w:lang w:val="en-US" w:eastAsia="zh-CN"/>
        </w:rPr>
        <w:t>推行“一次告知、一表申请、一窗受理、一次踏勘、一并审批、一证覆盖”的“一业一证”改革模式，实现行业许可“一个证”“一次办”。</w:t>
      </w:r>
    </w:p>
    <w:p w14:paraId="0009B7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黑体" w:hAnsi="黑体" w:eastAsia="黑体" w:cs="黑体"/>
          <w:b w:val="0"/>
          <w:bCs w:val="0"/>
          <w:sz w:val="32"/>
          <w:szCs w:val="32"/>
          <w:lang w:val="en-US" w:eastAsia="zh-CN"/>
        </w:rPr>
        <w:t>第三十条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color w:val="auto"/>
          <w:sz w:val="32"/>
          <w:szCs w:val="32"/>
          <w:lang w:val="en-US" w:eastAsia="zh-CN"/>
        </w:rPr>
        <w:t>实现企业开办零成本，印章刻制、税控设备、</w:t>
      </w:r>
      <w:r>
        <w:rPr>
          <w:rFonts w:hint="eastAsia" w:ascii="仿宋" w:hAnsi="仿宋" w:eastAsia="仿宋" w:cs="Times New Roman"/>
          <w:sz w:val="32"/>
          <w:szCs w:val="32"/>
          <w:lang w:val="en-US" w:eastAsia="zh-CN"/>
        </w:rPr>
        <w:t>双向寄递、帮办代办、复印打印服务、电子印章申领全免费。</w:t>
      </w:r>
    </w:p>
    <w:p w14:paraId="1ACABD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黑体" w:hAnsi="黑体" w:eastAsia="黑体" w:cs="黑体"/>
          <w:b w:val="0"/>
          <w:bCs w:val="0"/>
          <w:sz w:val="32"/>
          <w:szCs w:val="32"/>
          <w:lang w:val="en-US" w:eastAsia="zh-CN"/>
        </w:rPr>
        <w:t xml:space="preserve">第三十一条 </w:t>
      </w:r>
      <w:r>
        <w:rPr>
          <w:rFonts w:hint="eastAsia" w:ascii="仿宋" w:hAnsi="仿宋" w:eastAsia="仿宋" w:cs="Times New Roman"/>
          <w:sz w:val="32"/>
          <w:szCs w:val="32"/>
          <w:lang w:val="en-US" w:eastAsia="zh-CN"/>
        </w:rPr>
        <w:t>推进公共信用信息平台应用，拓展公共信用信息应用，将“联合奖惩”“信用核查”系统接入政务服务大厅，实现“应查必查”“应惩必惩”。</w:t>
      </w:r>
    </w:p>
    <w:p w14:paraId="53E306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黑体" w:hAnsi="黑体" w:eastAsia="黑体" w:cs="黑体"/>
          <w:b w:val="0"/>
          <w:bCs w:val="0"/>
          <w:sz w:val="32"/>
          <w:szCs w:val="32"/>
          <w:lang w:val="en-US" w:eastAsia="zh-CN"/>
        </w:rPr>
        <w:t>第三十二条</w:t>
      </w:r>
      <w:r>
        <w:rPr>
          <w:rFonts w:hint="eastAsia" w:ascii="楷体_GB2312" w:hAnsi="楷体_GB2312" w:eastAsia="楷体_GB2312" w:cs="楷体_GB2312"/>
          <w:sz w:val="32"/>
          <w:szCs w:val="32"/>
          <w:lang w:val="en-US" w:eastAsia="zh-CN"/>
        </w:rPr>
        <w:t xml:space="preserve"> </w:t>
      </w:r>
      <w:r>
        <w:rPr>
          <w:rFonts w:hint="eastAsia" w:ascii="仿宋" w:hAnsi="仿宋" w:eastAsia="仿宋"/>
          <w:sz w:val="32"/>
          <w:szCs w:val="32"/>
          <w:lang w:val="en-US" w:eastAsia="zh-CN"/>
        </w:rPr>
        <w:t>实行证明事项清单管理制度，建成覆盖各级行政机关、事业单位，水、电、气、暖、通讯、银行、保险、教育、医疗卫生等公共服务行业的全领域“无证明城市”。通过取消一批、共享一批、承诺一批、核验一批证明，实现“法无规定一律取消，法有规定无需提交”。</w:t>
      </w:r>
    </w:p>
    <w:p w14:paraId="30CFB3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黑体" w:hAnsi="黑体" w:eastAsia="黑体" w:cs="黑体"/>
          <w:b w:val="0"/>
          <w:bCs w:val="0"/>
          <w:sz w:val="32"/>
          <w:szCs w:val="32"/>
          <w:lang w:val="en-US" w:eastAsia="zh-CN"/>
        </w:rPr>
        <w:t>第三十三条</w:t>
      </w:r>
      <w:r>
        <w:rPr>
          <w:rFonts w:hint="eastAsia" w:ascii="仿宋" w:hAnsi="仿宋" w:eastAsia="仿宋"/>
          <w:sz w:val="32"/>
          <w:szCs w:val="32"/>
          <w:lang w:val="en-US" w:eastAsia="zh-CN"/>
        </w:rPr>
        <w:t xml:space="preserve"> 下列办事事项申请材料齐全、符合法定形式的，应当在本区规定的承诺期限内办结：</w:t>
      </w:r>
    </w:p>
    <w:p w14:paraId="5CBA72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（一）一般企业投资项目核准备案；</w:t>
      </w:r>
    </w:p>
    <w:p w14:paraId="159FA2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（二）市场主体开办登记；</w:t>
      </w:r>
    </w:p>
    <w:p w14:paraId="612E3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（三）设立后未开展生产经营活动的市场主体和无债权债务的市场主体的营业执照简易注销登记；</w:t>
      </w:r>
    </w:p>
    <w:p w14:paraId="1C66B5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（四）用电、用水、用气报装；</w:t>
      </w:r>
    </w:p>
    <w:p w14:paraId="289B06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（五）不动产登记服务；</w:t>
      </w:r>
    </w:p>
    <w:p w14:paraId="2E8089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鼓励和支持行政机关、公用企事业单位等向社会公开承诺更短的办事期限，提供更加优质便捷的办事服务。</w:t>
      </w:r>
    </w:p>
    <w:p w14:paraId="7D7B7187">
      <w:pPr>
        <w:pStyle w:val="2"/>
        <w:rPr>
          <w:rFonts w:hint="eastAsia"/>
          <w:lang w:val="en-US" w:eastAsia="zh-CN"/>
        </w:rPr>
      </w:pPr>
    </w:p>
    <w:p w14:paraId="6190C4A9">
      <w:pPr>
        <w:pStyle w:val="2"/>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优化法治环境</w:t>
      </w:r>
    </w:p>
    <w:p w14:paraId="66F6E8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黑体" w:hAnsi="黑体" w:eastAsia="黑体" w:cs="黑体"/>
          <w:b w:val="0"/>
          <w:bCs w:val="0"/>
          <w:sz w:val="32"/>
          <w:szCs w:val="32"/>
          <w:lang w:val="en-US" w:eastAsia="zh-CN"/>
        </w:rPr>
        <w:t>第三十四条</w:t>
      </w:r>
      <w:r>
        <w:rPr>
          <w:rFonts w:hint="eastAsia" w:ascii="仿宋" w:hAnsi="仿宋" w:eastAsia="仿宋"/>
          <w:sz w:val="32"/>
          <w:szCs w:val="32"/>
          <w:lang w:val="en-US" w:eastAsia="zh-CN"/>
        </w:rPr>
        <w:t xml:space="preserve">  建立健全政府主要领导联系民营企业家、政府领导班子成员联系服务企业、民营经济重大问题会商解决等机制以及部门负责人服务民营企业领办制度，畅通市场主体与政府及其部门的沟通渠道。</w:t>
      </w:r>
    </w:p>
    <w:p w14:paraId="5627CD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区人民政府及其有关部门采取分层级分类别化解、实名承办等方式，及时回应市场主体诉求，协调处理市场主体发展遇到的问题。</w:t>
      </w:r>
    </w:p>
    <w:p w14:paraId="2C08D3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黑体" w:hAnsi="黑体" w:eastAsia="黑体" w:cs="黑体"/>
          <w:b w:val="0"/>
          <w:bCs w:val="0"/>
          <w:sz w:val="32"/>
          <w:szCs w:val="32"/>
          <w:lang w:val="en-US" w:eastAsia="zh-CN"/>
        </w:rPr>
        <w:t>第三十五条</w:t>
      </w:r>
      <w:r>
        <w:rPr>
          <w:rFonts w:hint="eastAsia" w:ascii="楷体_GB2312" w:hAnsi="楷体_GB2312" w:eastAsia="楷体_GB2312" w:cs="楷体_GB2312"/>
          <w:sz w:val="32"/>
          <w:szCs w:val="32"/>
          <w:lang w:val="en-US" w:eastAsia="zh-CN"/>
        </w:rPr>
        <w:t xml:space="preserve"> </w:t>
      </w:r>
      <w:r>
        <w:rPr>
          <w:rFonts w:hint="default" w:ascii="仿宋" w:hAnsi="仿宋" w:eastAsia="仿宋"/>
          <w:sz w:val="32"/>
          <w:szCs w:val="32"/>
          <w:lang w:val="en-US" w:eastAsia="zh-CN"/>
        </w:rPr>
        <w:t>通过政府网站、政务客户端等途径依法公开政务信息，加快推进行政决策、执行、管理、服务和结果全过程公开。</w:t>
      </w:r>
    </w:p>
    <w:p w14:paraId="14B8E6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default" w:ascii="黑体" w:hAnsi="黑体" w:eastAsia="黑体" w:cs="黑体"/>
          <w:b w:val="0"/>
          <w:bCs w:val="0"/>
          <w:sz w:val="32"/>
          <w:szCs w:val="32"/>
          <w:lang w:val="en-US" w:eastAsia="zh-CN"/>
        </w:rPr>
        <w:t>第</w:t>
      </w:r>
      <w:r>
        <w:rPr>
          <w:rFonts w:hint="eastAsia" w:ascii="黑体" w:hAnsi="黑体" w:eastAsia="黑体" w:cs="黑体"/>
          <w:b w:val="0"/>
          <w:bCs w:val="0"/>
          <w:sz w:val="32"/>
          <w:szCs w:val="32"/>
          <w:lang w:val="en-US" w:eastAsia="zh-CN"/>
        </w:rPr>
        <w:t>三十六</w:t>
      </w:r>
      <w:r>
        <w:rPr>
          <w:rFonts w:hint="default" w:ascii="黑体" w:hAnsi="黑体" w:eastAsia="黑体" w:cs="黑体"/>
          <w:b w:val="0"/>
          <w:bCs w:val="0"/>
          <w:sz w:val="32"/>
          <w:szCs w:val="32"/>
          <w:lang w:val="en-US" w:eastAsia="zh-CN"/>
        </w:rPr>
        <w:t>条</w:t>
      </w:r>
      <w:r>
        <w:rPr>
          <w:rFonts w:hint="default" w:ascii="仿宋" w:hAnsi="仿宋" w:eastAsia="仿宋"/>
          <w:sz w:val="32"/>
          <w:szCs w:val="32"/>
          <w:lang w:val="en-US" w:eastAsia="zh-CN"/>
        </w:rPr>
        <w:t xml:space="preserve"> </w:t>
      </w:r>
      <w:r>
        <w:rPr>
          <w:rFonts w:hint="eastAsia" w:ascii="仿宋" w:hAnsi="仿宋" w:eastAsia="仿宋"/>
          <w:sz w:val="32"/>
          <w:szCs w:val="32"/>
          <w:lang w:val="en-US" w:eastAsia="zh-CN"/>
        </w:rPr>
        <w:t>建立</w:t>
      </w:r>
      <w:r>
        <w:rPr>
          <w:rFonts w:hint="default" w:ascii="仿宋" w:hAnsi="仿宋" w:eastAsia="仿宋"/>
          <w:sz w:val="32"/>
          <w:szCs w:val="32"/>
          <w:lang w:val="en-US" w:eastAsia="zh-CN"/>
        </w:rPr>
        <w:t>涉企政策清单制度，及时公布并定期开展清理。制定涉企政策应当通过召开政企会议、实地调研走访、网络公示等方式，征求相关市场主体、行业协会商会以及社会公众的意见和建议，及时反馈采纳情况并按规定向社会公布。</w:t>
      </w:r>
    </w:p>
    <w:p w14:paraId="3E6BA2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default" w:ascii="黑体" w:hAnsi="黑体" w:eastAsia="黑体" w:cs="黑体"/>
          <w:b w:val="0"/>
          <w:bCs w:val="0"/>
          <w:sz w:val="32"/>
          <w:szCs w:val="32"/>
          <w:lang w:val="en-US" w:eastAsia="zh-CN"/>
        </w:rPr>
        <w:t>第</w:t>
      </w:r>
      <w:r>
        <w:rPr>
          <w:rFonts w:hint="eastAsia" w:ascii="黑体" w:hAnsi="黑体" w:eastAsia="黑体" w:cs="黑体"/>
          <w:b w:val="0"/>
          <w:bCs w:val="0"/>
          <w:sz w:val="32"/>
          <w:szCs w:val="32"/>
          <w:lang w:val="en-US" w:eastAsia="zh-CN"/>
        </w:rPr>
        <w:t>三十七</w:t>
      </w:r>
      <w:r>
        <w:rPr>
          <w:rFonts w:hint="default" w:ascii="黑体" w:hAnsi="黑体" w:eastAsia="黑体" w:cs="黑体"/>
          <w:b w:val="0"/>
          <w:bCs w:val="0"/>
          <w:sz w:val="32"/>
          <w:szCs w:val="32"/>
          <w:lang w:val="en-US" w:eastAsia="zh-CN"/>
        </w:rPr>
        <w:t>条</w:t>
      </w:r>
      <w:r>
        <w:rPr>
          <w:rFonts w:hint="eastAsia" w:ascii="仿宋" w:hAnsi="仿宋" w:eastAsia="仿宋"/>
          <w:sz w:val="32"/>
          <w:szCs w:val="32"/>
          <w:lang w:val="en-US" w:eastAsia="zh-CN"/>
        </w:rPr>
        <w:t xml:space="preserve"> </w:t>
      </w:r>
      <w:r>
        <w:rPr>
          <w:rFonts w:hint="default" w:ascii="仿宋" w:hAnsi="仿宋" w:eastAsia="仿宋"/>
          <w:sz w:val="32"/>
          <w:szCs w:val="32"/>
          <w:lang w:val="en-US" w:eastAsia="zh-CN"/>
        </w:rPr>
        <w:t>履行向市场主体依法作出的政策承诺以及依法订立的各类合同，不得以行政区划调整、政府换届、机构或者职能调整以及相关责任人更替等为由违约毁约。因国家利益、社会公共利益需要改变政策承诺或者合同约定的，应当及时与市场主体进行沟通协商并依照法定权限和程序进行，依法补偿市场主体因此所受损失。</w:t>
      </w:r>
    </w:p>
    <w:p w14:paraId="04D6C8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黑体" w:hAnsi="黑体" w:eastAsia="黑体" w:cs="黑体"/>
          <w:b w:val="0"/>
          <w:bCs w:val="0"/>
          <w:sz w:val="32"/>
          <w:szCs w:val="32"/>
          <w:lang w:val="en-US" w:eastAsia="zh-CN"/>
        </w:rPr>
        <w:t xml:space="preserve">第三十八条 </w:t>
      </w:r>
      <w:r>
        <w:rPr>
          <w:rFonts w:hint="eastAsia" w:ascii="仿宋" w:hAnsi="仿宋" w:eastAsia="仿宋" w:cs="Times New Roman"/>
          <w:sz w:val="32"/>
          <w:szCs w:val="32"/>
          <w:lang w:val="en-US" w:eastAsia="zh-CN"/>
        </w:rPr>
        <w:t>加强重整企业融资支持，规范重整企业信用修复流程，积极挽救有重整价值的企业，保障债务人企业财产保值增值。合理防控金融风险，保障金融机构债权人合法权益。</w:t>
      </w:r>
    </w:p>
    <w:p w14:paraId="1A36C1F9">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黑体" w:hAnsi="黑体" w:eastAsia="黑体" w:cs="黑体"/>
          <w:b w:val="0"/>
          <w:bCs w:val="0"/>
          <w:sz w:val="32"/>
          <w:szCs w:val="32"/>
          <w:lang w:val="en-US" w:eastAsia="zh-CN"/>
        </w:rPr>
        <w:t xml:space="preserve">第三十九条 </w:t>
      </w:r>
      <w:r>
        <w:rPr>
          <w:rFonts w:hint="eastAsia" w:ascii="仿宋" w:hAnsi="仿宋" w:eastAsia="仿宋" w:cs="Times New Roman"/>
          <w:sz w:val="32"/>
          <w:szCs w:val="32"/>
          <w:lang w:val="en-US" w:eastAsia="zh-CN"/>
        </w:rPr>
        <w:t>协调解决破产企业职工社会保险关系转移，欠缴社保、医保补缴及核销等问题，畅通管理人与社保、医保部门沟通渠道，保障破产企业职工基本民生权益。</w:t>
      </w:r>
    </w:p>
    <w:p w14:paraId="7ABACFA9">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黑体" w:hAnsi="黑体" w:eastAsia="黑体" w:cs="黑体"/>
          <w:b w:val="0"/>
          <w:bCs w:val="0"/>
          <w:sz w:val="32"/>
          <w:szCs w:val="32"/>
          <w:lang w:val="en-US" w:eastAsia="zh-CN"/>
        </w:rPr>
        <w:t xml:space="preserve">第四十条 </w:t>
      </w:r>
      <w:r>
        <w:rPr>
          <w:rFonts w:hint="eastAsia" w:ascii="仿宋" w:hAnsi="仿宋" w:eastAsia="仿宋" w:cs="Times New Roman"/>
          <w:sz w:val="32"/>
          <w:szCs w:val="32"/>
          <w:lang w:val="en-US" w:eastAsia="zh-CN"/>
        </w:rPr>
        <w:t>畅通破产企业市场退出通道，引导管理人积极履行破产清算企业注销登记等职责，协调解决公司强制清算、企业破产清算所涉注销登记等问题，对企业营业执照、公章无法缴回、企业股权被质押或司法查封等事项与相关职能部门进行沟通，扩大适用破产清算企业简易注销登记范围，加速破产企业市场出清。</w:t>
      </w:r>
    </w:p>
    <w:p w14:paraId="46BE6BE1">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监督保障</w:t>
      </w:r>
    </w:p>
    <w:p w14:paraId="49D50E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default" w:ascii="黑体" w:hAnsi="黑体" w:eastAsia="黑体" w:cs="黑体"/>
          <w:b w:val="0"/>
          <w:bCs w:val="0"/>
          <w:sz w:val="32"/>
          <w:szCs w:val="32"/>
          <w:lang w:val="en-US" w:eastAsia="zh-CN"/>
        </w:rPr>
        <w:t>第</w:t>
      </w:r>
      <w:r>
        <w:rPr>
          <w:rFonts w:hint="eastAsia" w:ascii="黑体" w:hAnsi="黑体" w:eastAsia="黑体" w:cs="黑体"/>
          <w:b w:val="0"/>
          <w:bCs w:val="0"/>
          <w:sz w:val="32"/>
          <w:szCs w:val="32"/>
          <w:lang w:val="en-US" w:eastAsia="zh-CN"/>
        </w:rPr>
        <w:t>四十一</w:t>
      </w:r>
      <w:r>
        <w:rPr>
          <w:rFonts w:hint="default" w:ascii="黑体" w:hAnsi="黑体" w:eastAsia="黑体" w:cs="黑体"/>
          <w:b w:val="0"/>
          <w:bCs w:val="0"/>
          <w:sz w:val="32"/>
          <w:szCs w:val="32"/>
          <w:lang w:val="en-US" w:eastAsia="zh-CN"/>
        </w:rPr>
        <w:t>条</w:t>
      </w:r>
      <w:r>
        <w:rPr>
          <w:rFonts w:hint="default" w:ascii="仿宋" w:hAnsi="仿宋" w:eastAsia="仿宋"/>
          <w:sz w:val="32"/>
          <w:szCs w:val="32"/>
          <w:lang w:val="en-US" w:eastAsia="zh-CN"/>
        </w:rPr>
        <w:t xml:space="preserve"> 建立完善涉及市场主体执法检查的工作规范</w:t>
      </w:r>
      <w:r>
        <w:rPr>
          <w:rFonts w:hint="eastAsia" w:ascii="仿宋" w:hAnsi="仿宋" w:eastAsia="仿宋"/>
          <w:sz w:val="32"/>
          <w:szCs w:val="32"/>
          <w:lang w:val="en-US" w:eastAsia="zh-CN"/>
        </w:rPr>
        <w:t>，</w:t>
      </w:r>
      <w:r>
        <w:rPr>
          <w:rFonts w:hint="default" w:ascii="仿宋" w:hAnsi="仿宋" w:eastAsia="仿宋"/>
          <w:sz w:val="32"/>
          <w:szCs w:val="32"/>
          <w:lang w:val="en-US" w:eastAsia="zh-CN"/>
        </w:rPr>
        <w:t>科学应用山东省企业信用风险分类管理系统分类结果，市场监管系统“双随机、一公开”抽查全部按照信用风险分类确定抽查比例，合理分配监管资源，提高监管精准性和有效性。</w:t>
      </w:r>
    </w:p>
    <w:p w14:paraId="79C5321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黑体" w:hAnsi="黑体" w:eastAsia="黑体" w:cs="黑体"/>
          <w:b w:val="0"/>
          <w:bCs w:val="0"/>
          <w:sz w:val="32"/>
          <w:szCs w:val="32"/>
          <w:lang w:val="en-US" w:eastAsia="zh-CN"/>
        </w:rPr>
        <w:t>第</w:t>
      </w:r>
      <w:r>
        <w:rPr>
          <w:rFonts w:hint="eastAsia" w:ascii="黑体" w:hAnsi="黑体" w:eastAsia="黑体" w:cs="黑体"/>
          <w:b w:val="0"/>
          <w:bCs w:val="0"/>
          <w:sz w:val="32"/>
          <w:szCs w:val="32"/>
          <w:lang w:val="en-US" w:eastAsia="zh-CN"/>
        </w:rPr>
        <w:t>四十二</w:t>
      </w:r>
      <w:r>
        <w:rPr>
          <w:rFonts w:hint="default" w:ascii="黑体" w:hAnsi="黑体" w:eastAsia="黑体" w:cs="黑体"/>
          <w:b w:val="0"/>
          <w:bCs w:val="0"/>
          <w:sz w:val="32"/>
          <w:szCs w:val="32"/>
          <w:lang w:val="en-US" w:eastAsia="zh-CN"/>
        </w:rPr>
        <w:t>条</w:t>
      </w:r>
      <w:r>
        <w:rPr>
          <w:rFonts w:hint="default" w:ascii="楷体_GB2312" w:hAnsi="楷体_GB2312" w:eastAsia="楷体_GB2312" w:cs="楷体_GB2312"/>
          <w:sz w:val="32"/>
          <w:szCs w:val="32"/>
          <w:lang w:val="en-US" w:eastAsia="zh-CN"/>
        </w:rPr>
        <w:t xml:space="preserve"> </w:t>
      </w:r>
      <w:r>
        <w:rPr>
          <w:rFonts w:hint="default" w:ascii="仿宋" w:hAnsi="仿宋" w:eastAsia="仿宋"/>
          <w:sz w:val="32"/>
          <w:szCs w:val="32"/>
          <w:lang w:val="en-US" w:eastAsia="zh-CN"/>
        </w:rPr>
        <w:t xml:space="preserve"> 在法律、法规、规章规定的范围内，</w:t>
      </w:r>
      <w:r>
        <w:rPr>
          <w:rFonts w:hint="eastAsia" w:ascii="仿宋_GB2312" w:hAnsi="仿宋_GB2312" w:eastAsia="仿宋_GB2312" w:cs="仿宋_GB2312"/>
          <w:color w:val="000000"/>
          <w:sz w:val="32"/>
          <w:szCs w:val="32"/>
          <w:lang w:val="en-US" w:eastAsia="zh-CN"/>
        </w:rPr>
        <w:t>探索建立新技术、新产业、新业态、新模式安全监管“沙箱”</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实行包容审慎监管</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区分不同情况制定相应的监管规则和标准</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给予</w:t>
      </w:r>
      <w:r>
        <w:rPr>
          <w:rFonts w:hint="eastAsia" w:ascii="仿宋_GB2312" w:hAnsi="仿宋_GB2312" w:cs="仿宋_GB2312"/>
          <w:color w:val="000000"/>
          <w:sz w:val="32"/>
          <w:szCs w:val="32"/>
          <w:lang w:val="en-US" w:eastAsia="zh-CN"/>
        </w:rPr>
        <w:t>2至5</w:t>
      </w:r>
      <w:r>
        <w:rPr>
          <w:rFonts w:hint="eastAsia" w:ascii="仿宋_GB2312" w:hAnsi="仿宋_GB2312" w:eastAsia="仿宋_GB2312" w:cs="仿宋_GB2312"/>
          <w:color w:val="000000"/>
          <w:sz w:val="32"/>
          <w:szCs w:val="32"/>
          <w:lang w:val="en-US" w:eastAsia="zh-CN"/>
        </w:rPr>
        <w:t>年包容期。对独角兽类、瞪羚类企业</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在区级“双随机、一公开”检查中实行五年内免检免扰，但涉及环境保护，安全生产、投诉举报、上级要求和法律法规明确规定的检查不在免检范围。</w:t>
      </w:r>
    </w:p>
    <w:p w14:paraId="42C2BF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default" w:ascii="黑体" w:hAnsi="黑体" w:eastAsia="黑体" w:cs="黑体"/>
          <w:b w:val="0"/>
          <w:bCs w:val="0"/>
          <w:sz w:val="32"/>
          <w:szCs w:val="32"/>
          <w:lang w:val="en-US" w:eastAsia="zh-CN"/>
        </w:rPr>
        <w:t>第</w:t>
      </w:r>
      <w:r>
        <w:rPr>
          <w:rFonts w:hint="eastAsia" w:ascii="黑体" w:hAnsi="黑体" w:eastAsia="黑体" w:cs="黑体"/>
          <w:b w:val="0"/>
          <w:bCs w:val="0"/>
          <w:sz w:val="32"/>
          <w:szCs w:val="32"/>
          <w:lang w:val="en-US" w:eastAsia="zh-CN"/>
        </w:rPr>
        <w:t>四十三</w:t>
      </w:r>
      <w:r>
        <w:rPr>
          <w:rFonts w:hint="default" w:ascii="黑体" w:hAnsi="黑体" w:eastAsia="黑体" w:cs="黑体"/>
          <w:b w:val="0"/>
          <w:bCs w:val="0"/>
          <w:sz w:val="32"/>
          <w:szCs w:val="32"/>
          <w:lang w:val="en-US" w:eastAsia="zh-CN"/>
        </w:rPr>
        <w:t>条</w:t>
      </w:r>
      <w:r>
        <w:rPr>
          <w:rFonts w:hint="default" w:ascii="仿宋" w:hAnsi="仿宋" w:eastAsia="仿宋"/>
          <w:sz w:val="32"/>
          <w:szCs w:val="32"/>
          <w:lang w:val="en-US" w:eastAsia="zh-CN"/>
        </w:rPr>
        <w:t xml:space="preserve">  按照教育与处罚相结合原则，根据上级调整后的“不罚”清单和“轻罚”清单</w:t>
      </w:r>
      <w:r>
        <w:rPr>
          <w:rFonts w:hint="eastAsia" w:ascii="仿宋" w:hAnsi="仿宋" w:eastAsia="仿宋"/>
          <w:sz w:val="32"/>
          <w:szCs w:val="32"/>
          <w:lang w:val="en-US" w:eastAsia="zh-CN"/>
        </w:rPr>
        <w:t>，</w:t>
      </w:r>
      <w:r>
        <w:rPr>
          <w:rFonts w:hint="default" w:ascii="仿宋" w:hAnsi="仿宋" w:eastAsia="仿宋"/>
          <w:sz w:val="32"/>
          <w:szCs w:val="32"/>
          <w:lang w:val="en-US" w:eastAsia="zh-CN"/>
        </w:rPr>
        <w:t>对市场主体推行下列柔性执法方式：</w:t>
      </w:r>
    </w:p>
    <w:p w14:paraId="4E36E8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（一）采用告知、建议和劝导，预防违法违规行为；</w:t>
      </w:r>
    </w:p>
    <w:p w14:paraId="772B19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（二）采用约谈或者告诫纠正轻微违法违规行为；</w:t>
      </w:r>
    </w:p>
    <w:p w14:paraId="1F6787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（三）通过行政调解化解矛盾纠纷；</w:t>
      </w:r>
    </w:p>
    <w:p w14:paraId="034D3B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default" w:ascii="仿宋" w:hAnsi="仿宋" w:eastAsia="仿宋"/>
          <w:sz w:val="32"/>
          <w:szCs w:val="32"/>
          <w:lang w:val="en-US" w:eastAsia="zh-CN"/>
        </w:rPr>
        <w:t>（四）采用行政协议规范政府、行政机关和市场主体的权利和义务</w:t>
      </w:r>
      <w:r>
        <w:rPr>
          <w:rFonts w:hint="eastAsia" w:ascii="仿宋" w:hAnsi="仿宋" w:eastAsia="仿宋"/>
          <w:sz w:val="32"/>
          <w:szCs w:val="32"/>
          <w:lang w:val="en-US" w:eastAsia="zh-CN"/>
        </w:rPr>
        <w:t>。</w:t>
      </w:r>
    </w:p>
    <w:p w14:paraId="74A6F3D6">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第六章 附则</w:t>
      </w:r>
    </w:p>
    <w:p w14:paraId="32B6BC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cs="黑体"/>
          <w:b w:val="0"/>
          <w:bCs w:val="0"/>
          <w:sz w:val="32"/>
          <w:szCs w:val="32"/>
          <w:lang w:val="en-US" w:eastAsia="zh-CN"/>
        </w:rPr>
        <w:t xml:space="preserve">第四十四条 </w:t>
      </w:r>
      <w:r>
        <w:rPr>
          <w:rFonts w:hint="eastAsia" w:ascii="仿宋" w:hAnsi="仿宋" w:eastAsia="仿宋"/>
          <w:sz w:val="32"/>
          <w:szCs w:val="32"/>
        </w:rPr>
        <w:t>本</w:t>
      </w:r>
      <w:r>
        <w:rPr>
          <w:rFonts w:hint="eastAsia" w:ascii="仿宋" w:hAnsi="仿宋" w:eastAsia="仿宋"/>
          <w:sz w:val="32"/>
          <w:szCs w:val="32"/>
          <w:lang w:val="en-US" w:eastAsia="zh-CN"/>
        </w:rPr>
        <w:t>办法</w:t>
      </w:r>
      <w:r>
        <w:rPr>
          <w:rFonts w:hint="eastAsia" w:ascii="仿宋" w:hAnsi="仿宋" w:eastAsia="仿宋"/>
          <w:sz w:val="32"/>
          <w:szCs w:val="32"/>
        </w:rPr>
        <w:t>自 2021年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日起施行。</w:t>
      </w:r>
    </w:p>
    <w:p w14:paraId="003E687A">
      <w:pPr>
        <w:pStyle w:val="2"/>
        <w:spacing w:after="0"/>
        <w:ind w:firstLine="640" w:firstLineChars="200"/>
        <w:rPr>
          <w:rFonts w:hint="default" w:ascii="仿宋_GB2312" w:hAnsi="仿宋_GB2312" w:eastAsia="仿宋_GB2312" w:cs="仿宋_GB2312"/>
          <w:sz w:val="32"/>
          <w:szCs w:val="32"/>
          <w:lang w:val="en-US" w:eastAsia="zh-CN"/>
        </w:rPr>
      </w:pPr>
    </w:p>
    <w:p w14:paraId="55BDA47B">
      <w:pPr>
        <w:snapToGrid w:val="0"/>
        <w:spacing w:line="560" w:lineRule="exact"/>
        <w:rPr>
          <w:rFonts w:hint="eastAsia" w:eastAsia="黑体" w:cs="黑体"/>
          <w:color w:val="000000"/>
          <w:kern w:val="0"/>
          <w:sz w:val="32"/>
          <w:szCs w:val="32"/>
        </w:rPr>
      </w:pPr>
    </w:p>
    <w:p w14:paraId="3F93AAE6">
      <w:pPr>
        <w:snapToGrid w:val="0"/>
        <w:spacing w:line="560" w:lineRule="exact"/>
        <w:rPr>
          <w:rFonts w:hint="eastAsia" w:eastAsia="黑体" w:cs="黑体"/>
          <w:color w:val="000000"/>
          <w:kern w:val="0"/>
          <w:sz w:val="32"/>
          <w:szCs w:val="32"/>
        </w:rPr>
      </w:pPr>
    </w:p>
    <w:p w14:paraId="3F6FF3C8">
      <w:pPr>
        <w:snapToGrid w:val="0"/>
        <w:spacing w:line="560" w:lineRule="exact"/>
        <w:rPr>
          <w:rFonts w:hint="eastAsia" w:eastAsia="黑体" w:cs="黑体"/>
          <w:color w:val="000000"/>
          <w:kern w:val="0"/>
          <w:sz w:val="32"/>
          <w:szCs w:val="32"/>
        </w:rPr>
      </w:pPr>
    </w:p>
    <w:p w14:paraId="753BB8A9">
      <w:pPr>
        <w:snapToGrid w:val="0"/>
        <w:spacing w:line="560" w:lineRule="exact"/>
        <w:rPr>
          <w:rFonts w:hint="eastAsia" w:eastAsia="黑体" w:cs="黑体"/>
          <w:color w:val="000000"/>
          <w:kern w:val="0"/>
          <w:sz w:val="32"/>
          <w:szCs w:val="32"/>
        </w:rPr>
      </w:pPr>
    </w:p>
    <w:p w14:paraId="5EC4B7D5">
      <w:pPr>
        <w:snapToGrid w:val="0"/>
        <w:spacing w:line="560" w:lineRule="exact"/>
        <w:rPr>
          <w:rFonts w:hint="eastAsia" w:eastAsia="黑体" w:cs="黑体"/>
          <w:color w:val="000000"/>
          <w:kern w:val="0"/>
          <w:sz w:val="32"/>
          <w:szCs w:val="32"/>
        </w:rPr>
      </w:pPr>
    </w:p>
    <w:p w14:paraId="556E83D8">
      <w:pPr>
        <w:snapToGrid w:val="0"/>
        <w:spacing w:line="560" w:lineRule="exact"/>
        <w:rPr>
          <w:rFonts w:hint="eastAsia" w:eastAsia="黑体" w:cs="黑体"/>
          <w:color w:val="000000"/>
          <w:kern w:val="0"/>
          <w:sz w:val="32"/>
          <w:szCs w:val="32"/>
        </w:rPr>
      </w:pPr>
    </w:p>
    <w:p w14:paraId="78515935">
      <w:pPr>
        <w:snapToGrid w:val="0"/>
        <w:spacing w:line="560" w:lineRule="exact"/>
        <w:rPr>
          <w:rFonts w:hint="eastAsia" w:eastAsia="黑体" w:cs="黑体"/>
          <w:color w:val="000000"/>
          <w:kern w:val="0"/>
          <w:sz w:val="32"/>
          <w:szCs w:val="32"/>
        </w:rPr>
      </w:pPr>
    </w:p>
    <w:p w14:paraId="090051C3">
      <w:pPr>
        <w:snapToGrid w:val="0"/>
        <w:spacing w:line="560" w:lineRule="exact"/>
        <w:rPr>
          <w:rFonts w:hint="eastAsia" w:eastAsia="黑体" w:cs="黑体"/>
          <w:color w:val="000000"/>
          <w:kern w:val="0"/>
          <w:sz w:val="32"/>
          <w:szCs w:val="32"/>
        </w:rPr>
      </w:pPr>
    </w:p>
    <w:p w14:paraId="6ECE95CD">
      <w:pPr>
        <w:snapToGrid w:val="0"/>
        <w:spacing w:line="560" w:lineRule="exact"/>
        <w:rPr>
          <w:rFonts w:hint="eastAsia" w:eastAsia="黑体" w:cs="黑体"/>
          <w:color w:val="000000"/>
          <w:kern w:val="0"/>
          <w:sz w:val="32"/>
          <w:szCs w:val="32"/>
        </w:rPr>
      </w:pPr>
    </w:p>
    <w:p w14:paraId="60236D3C">
      <w:pPr>
        <w:widowControl/>
        <w:spacing w:line="520" w:lineRule="exact"/>
        <w:rPr>
          <w:rFonts w:hint="eastAsia" w:ascii="仿宋" w:hAnsi="仿宋" w:eastAsia="仿宋" w:cs="仿宋"/>
          <w:b/>
          <w:bCs/>
          <w:kern w:val="0"/>
          <w:sz w:val="32"/>
          <w:szCs w:val="32"/>
        </w:rPr>
      </w:pP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371D2BBA">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09B6D0D6">
    <w:pPr>
      <w:pStyle w:val="2"/>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FC7E7"/>
    <w:multiLevelType w:val="singleLevel"/>
    <w:tmpl w:val="305FC7E7"/>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1B5CD3"/>
    <w:rsid w:val="002262D6"/>
    <w:rsid w:val="00236CB1"/>
    <w:rsid w:val="00333442"/>
    <w:rsid w:val="00467C97"/>
    <w:rsid w:val="004E7E44"/>
    <w:rsid w:val="004F1020"/>
    <w:rsid w:val="005A4FF9"/>
    <w:rsid w:val="00692EA6"/>
    <w:rsid w:val="006E42C6"/>
    <w:rsid w:val="008101C7"/>
    <w:rsid w:val="00B60471"/>
    <w:rsid w:val="00B66932"/>
    <w:rsid w:val="00B7071D"/>
    <w:rsid w:val="00C033B8"/>
    <w:rsid w:val="00C97B23"/>
    <w:rsid w:val="00CC0678"/>
    <w:rsid w:val="00D0785D"/>
    <w:rsid w:val="00E918DA"/>
    <w:rsid w:val="00F13FCE"/>
    <w:rsid w:val="00F4326F"/>
    <w:rsid w:val="00FE7BC5"/>
    <w:rsid w:val="05AA19E4"/>
    <w:rsid w:val="1E6949DF"/>
    <w:rsid w:val="26D31BAF"/>
    <w:rsid w:val="5C0E57D2"/>
    <w:rsid w:val="6268013E"/>
    <w:rsid w:val="6560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3"/>
    <w:qFormat/>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字符"/>
    <w:basedOn w:val="9"/>
    <w:link w:val="2"/>
    <w:qFormat/>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uiPriority w:val="0"/>
    <w:rPr>
      <w:rFonts w:hint="eastAsia" w:ascii="宋体+FPEF" w:eastAsia="宋体+FPEF"/>
      <w:color w:val="000000"/>
      <w:sz w:val="22"/>
      <w:szCs w:val="22"/>
    </w:rPr>
  </w:style>
  <w:style w:type="character" w:customStyle="1" w:styleId="20">
    <w:name w:val="批注框文本 字符"/>
    <w:basedOn w:val="9"/>
    <w:link w:val="4"/>
    <w:semiHidden/>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4601</Words>
  <Characters>4618</Characters>
  <Lines>58</Lines>
  <Paragraphs>16</Paragraphs>
  <TotalTime>2</TotalTime>
  <ScaleCrop>false</ScaleCrop>
  <LinksUpToDate>false</LinksUpToDate>
  <CharactersWithSpaces>5992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2020-12-30T07:09:00Z</dcterms:created>
  <dc:creator>政府办管理员</dc:creator>
  <cp:lastModifiedBy>糖芯</cp:lastModifiedBy>
  <cp:lastPrinted>2020-12-30T07:04:00Z</cp:lastPrinted>
  <dcterms:modified xsi:type="dcterms:W3CDTF">2026-02-05T08:34:33Z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F5E55AD2AA744677BAA7FAE6C80D69DF_13</vt:lpwstr>
  </property>
  <property fmtid="{D5CDD505-2E9C-101B-9397-08002B2CF9AE}" pid="4" name="KSOTemplateDocerSaveRecord">
    <vt:lpwstr>eyJoZGlkIjoiZjQ5YmNjNGRiYmMyM2VhZTljMjQ3YTY0Nzk4MjJmOTMiLCJ1c2VySWQiOiI1MTg0NDc3MzkifQ==</vt:lpwstr>
  </property>
</Properties>
</file>