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大标宋简体"/>
          <w:b/>
          <w:sz w:val="44"/>
          <w:szCs w:val="44"/>
        </w:rPr>
      </w:pPr>
    </w:p>
    <w:p>
      <w:pPr>
        <w:spacing w:line="640" w:lineRule="exact"/>
        <w:jc w:val="center"/>
        <w:rPr>
          <w:rFonts w:eastAsia="方正大标宋简体"/>
          <w:b/>
          <w:sz w:val="44"/>
          <w:szCs w:val="44"/>
        </w:rPr>
      </w:pPr>
    </w:p>
    <w:p>
      <w:pPr>
        <w:spacing w:line="640" w:lineRule="exact"/>
        <w:jc w:val="center"/>
        <w:rPr>
          <w:rFonts w:eastAsia="方正大标宋简体"/>
          <w:b/>
          <w:sz w:val="44"/>
          <w:szCs w:val="44"/>
        </w:rPr>
      </w:pPr>
    </w:p>
    <w:p>
      <w:pPr>
        <w:spacing w:line="560" w:lineRule="exact"/>
        <w:jc w:val="center"/>
        <w:rPr>
          <w:rFonts w:ascii="仿宋_GB2312" w:hAnsi="仿宋_GB2312" w:eastAsia="仿宋_GB2312" w:cs="仿宋_GB2312"/>
          <w:color w:val="000000"/>
          <w:sz w:val="32"/>
          <w:szCs w:val="32"/>
        </w:rPr>
      </w:pPr>
    </w:p>
    <w:p>
      <w:pPr>
        <w:spacing w:line="560" w:lineRule="exact"/>
        <w:jc w:val="center"/>
        <w:rPr>
          <w:rFonts w:ascii="仿宋_GB2312" w:hAnsi="仿宋_GB2312" w:eastAsia="仿宋_GB2312" w:cs="仿宋_GB2312"/>
          <w:color w:val="000000"/>
          <w:sz w:val="32"/>
          <w:szCs w:val="32"/>
        </w:rPr>
      </w:pPr>
    </w:p>
    <w:p>
      <w:pPr>
        <w:spacing w:line="560" w:lineRule="exact"/>
        <w:jc w:val="center"/>
        <w:rPr>
          <w:rFonts w:ascii="仿宋_GB2312" w:hAnsi="仿宋_GB2312" w:eastAsia="仿宋_GB2312" w:cs="仿宋_GB2312"/>
          <w:color w:val="00000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临政办字〔2019〕11号</w:t>
      </w:r>
    </w:p>
    <w:p>
      <w:pPr>
        <w:pStyle w:val="9"/>
        <w:spacing w:before="0" w:beforeAutospacing="0" w:after="0" w:afterAutospacing="0" w:line="300" w:lineRule="exact"/>
        <w:jc w:val="center"/>
        <w:rPr>
          <w:rFonts w:ascii="长城小标宋体" w:hAnsi="长城小标宋体" w:eastAsia="长城小标宋体" w:cs="长城小标宋体"/>
          <w:b/>
          <w:bCs/>
          <w:color w:val="000000"/>
          <w:sz w:val="44"/>
          <w:szCs w:val="44"/>
        </w:rPr>
      </w:pPr>
      <w:bookmarkStart w:id="0" w:name="_GoBack"/>
      <w:bookmarkEnd w:id="0"/>
    </w:p>
    <w:p>
      <w:pPr>
        <w:pStyle w:val="9"/>
        <w:spacing w:before="0" w:beforeAutospacing="0" w:after="0" w:afterAutospacing="0" w:line="300" w:lineRule="exact"/>
        <w:jc w:val="center"/>
        <w:rPr>
          <w:rFonts w:ascii="长城小标宋体" w:hAnsi="长城小标宋体" w:eastAsia="长城小标宋体" w:cs="长城小标宋体"/>
          <w:b/>
          <w:bCs/>
          <w:color w:val="000000"/>
          <w:sz w:val="44"/>
          <w:szCs w:val="44"/>
        </w:rPr>
      </w:pPr>
    </w:p>
    <w:p>
      <w:pPr>
        <w:spacing w:line="56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临淄区人民政府办公室</w:t>
      </w:r>
    </w:p>
    <w:p>
      <w:pPr>
        <w:spacing w:line="56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关于公布第二批区政府督查直联点和</w:t>
      </w:r>
    </w:p>
    <w:p>
      <w:pPr>
        <w:spacing w:line="56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第三批区政府特邀督查员的通知</w:t>
      </w:r>
    </w:p>
    <w:p>
      <w:pPr>
        <w:ind w:left="-359" w:leftChars="-171" w:right="-153" w:rightChars="-73"/>
        <w:rPr>
          <w:rFonts w:ascii="仿宋" w:hAnsi="仿宋" w:eastAsia="仿宋"/>
          <w:sz w:val="32"/>
          <w:szCs w:val="32"/>
        </w:rPr>
      </w:pPr>
    </w:p>
    <w:p>
      <w:pPr>
        <w:ind w:left="1" w:right="55" w:rightChars="26" w:hanging="1"/>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各镇人民政府、街道办事处，各开发区管委会，区政府各部门，有关企事业单位：</w:t>
      </w:r>
    </w:p>
    <w:p>
      <w:pPr>
        <w:ind w:left="1" w:right="55" w:rightChars="26"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临淄区人民政府办公室关于建立政务督查联合联动机制构建大督查工作格局的意见》（临政办字〔2017〕23号），我区设立了首批10个区政府督查直联点，分两批聘请了26名区政府特邀督查员。两年来，通过到督查直联点实地走访调研、召开座谈会等形式，加强了区政府与基层一线的联系，解决了村居和企业在生产生活中的一些问题，发挥了重要的桥梁纽带作用。区政府特邀督查员认真履行工作职责，积极配合区政府督查室工作，参与了多次专项督查，及时向区政府反馈决策部署贯彻落实情况，取得了明显成效。</w:t>
      </w:r>
    </w:p>
    <w:p>
      <w:pPr>
        <w:ind w:left="1" w:right="55" w:rightChars="26"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区政府研究，决定从全区先进村居、骨干企业中选取第二批区政府督查直联点，从区人大代表、政协委员、基层干部和新闻媒体工作者等范围内聘请第三批区政府特邀督查员。区政府督查直联点和特邀督查员要按照《区政府督查直联点工作方案》《区政府特邀督查员工作制度》，认真履职，主动作为，在推动区委、区政府决策部署落实中充分发挥应有作用。各级各部门要积极配合区政府督查直联点工作，大力支持特邀督查员履行工作职责，确保督查工作顺利开展，为加快建设“家敦民富、大气精美”的现代化临淄作出积极贡献。</w:t>
      </w:r>
    </w:p>
    <w:p>
      <w:pPr>
        <w:ind w:left="-359" w:leftChars="-171" w:right="-153" w:rightChars="-73" w:firstLine="640" w:firstLineChars="200"/>
        <w:rPr>
          <w:rFonts w:ascii="仿宋" w:hAnsi="仿宋" w:eastAsia="仿宋"/>
          <w:color w:val="000000" w:themeColor="text1"/>
          <w:sz w:val="32"/>
          <w:szCs w:val="32"/>
          <w14:textFill>
            <w14:solidFill>
              <w14:schemeClr w14:val="tx1"/>
            </w14:solidFill>
          </w14:textFill>
        </w:rPr>
      </w:pPr>
    </w:p>
    <w:p>
      <w:pPr>
        <w:ind w:right="-153" w:rightChars="-7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附件：1.第二批区政府督查直联点名单</w:t>
      </w:r>
    </w:p>
    <w:p>
      <w:pPr>
        <w:ind w:left="-359" w:leftChars="-171" w:right="-153" w:rightChars="-73" w:firstLine="2560" w:firstLineChars="8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2.第三批区政府特邀督查员名单</w:t>
      </w:r>
    </w:p>
    <w:p>
      <w:pPr>
        <w:ind w:right="-153" w:rightChars="-73"/>
        <w:rPr>
          <w:rFonts w:ascii="仿宋" w:hAnsi="仿宋" w:eastAsia="仿宋"/>
          <w:color w:val="000000" w:themeColor="text1"/>
          <w:sz w:val="32"/>
          <w:szCs w:val="32"/>
          <w14:textFill>
            <w14:solidFill>
              <w14:schemeClr w14:val="tx1"/>
            </w14:solidFill>
          </w14:textFill>
        </w:rPr>
      </w:pPr>
    </w:p>
    <w:p>
      <w:pPr>
        <w:ind w:right="-153" w:rightChars="-73"/>
        <w:rPr>
          <w:rFonts w:ascii="仿宋" w:hAnsi="仿宋" w:eastAsia="仿宋"/>
          <w:color w:val="000000" w:themeColor="text1"/>
          <w:sz w:val="32"/>
          <w:szCs w:val="32"/>
          <w14:textFill>
            <w14:solidFill>
              <w14:schemeClr w14:val="tx1"/>
            </w14:solidFill>
          </w14:textFill>
        </w:rPr>
      </w:pPr>
    </w:p>
    <w:p>
      <w:pPr>
        <w:ind w:left="-359" w:leftChars="-171" w:right="-153" w:rightChars="-73" w:firstLine="4960" w:firstLineChars="15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临淄区人民政府办公室</w:t>
      </w:r>
    </w:p>
    <w:p>
      <w:pPr>
        <w:ind w:left="-359" w:leftChars="-171" w:right="-153" w:rightChars="-7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2019年4月15日</w:t>
      </w:r>
    </w:p>
    <w:p>
      <w:pPr>
        <w:ind w:right="-153" w:rightChars="-7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（此件公开发布）</w:t>
      </w:r>
    </w:p>
    <w:p>
      <w:pPr>
        <w:spacing w:line="500" w:lineRule="exact"/>
        <w:ind w:right="-153" w:rightChars="-73"/>
        <w:rPr>
          <w:rFonts w:ascii="黑体" w:hAnsi="黑体" w:eastAsia="黑体"/>
          <w:color w:val="000000"/>
          <w:sz w:val="32"/>
          <w:szCs w:val="32"/>
        </w:rPr>
      </w:pPr>
    </w:p>
    <w:p>
      <w:pPr>
        <w:spacing w:line="500" w:lineRule="exact"/>
        <w:ind w:right="-153" w:rightChars="-73"/>
        <w:rPr>
          <w:rFonts w:ascii="黑体" w:hAnsi="黑体" w:eastAsia="黑体"/>
          <w:color w:val="000000"/>
          <w:sz w:val="32"/>
          <w:szCs w:val="32"/>
        </w:rPr>
      </w:pPr>
      <w:r>
        <w:rPr>
          <w:rFonts w:hint="eastAsia" w:ascii="黑体" w:hAnsi="黑体" w:eastAsia="黑体"/>
          <w:color w:val="000000"/>
          <w:sz w:val="32"/>
          <w:szCs w:val="32"/>
        </w:rPr>
        <w:t>附件1</w:t>
      </w:r>
    </w:p>
    <w:p>
      <w:pPr>
        <w:spacing w:line="500" w:lineRule="exact"/>
        <w:ind w:right="-153" w:rightChars="-73"/>
        <w:rPr>
          <w:rFonts w:ascii="黑体" w:hAnsi="黑体" w:eastAsia="黑体"/>
          <w:color w:val="000000"/>
          <w:sz w:val="32"/>
          <w:szCs w:val="32"/>
        </w:rPr>
      </w:pPr>
    </w:p>
    <w:p>
      <w:pPr>
        <w:spacing w:line="500" w:lineRule="exact"/>
        <w:ind w:left="-359" w:leftChars="-171" w:right="-153" w:rightChars="-73" w:firstLine="640" w:firstLineChars="200"/>
        <w:rPr>
          <w:rFonts w:ascii="方正小标宋简体" w:hAnsi="黑体" w:eastAsia="方正小标宋简体"/>
          <w:color w:val="000000"/>
          <w:sz w:val="44"/>
          <w:szCs w:val="44"/>
        </w:rPr>
      </w:pPr>
      <w:r>
        <w:rPr>
          <w:rFonts w:hint="eastAsia" w:ascii="黑体" w:hAnsi="黑体" w:eastAsia="黑体"/>
          <w:color w:val="000000"/>
          <w:sz w:val="32"/>
          <w:szCs w:val="32"/>
        </w:rPr>
        <w:t xml:space="preserve">        </w:t>
      </w:r>
      <w:r>
        <w:rPr>
          <w:rFonts w:hint="eastAsia" w:ascii="方正小标宋简体" w:hAnsi="黑体" w:eastAsia="方正小标宋简体"/>
          <w:color w:val="000000"/>
          <w:sz w:val="44"/>
          <w:szCs w:val="44"/>
        </w:rPr>
        <w:t xml:space="preserve"> 第二批区政府督查直联点名单</w:t>
      </w:r>
    </w:p>
    <w:p>
      <w:pPr>
        <w:spacing w:line="500" w:lineRule="exact"/>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齐都镇付家村</w:t>
      </w:r>
    </w:p>
    <w:p>
      <w:pPr>
        <w:ind w:firstLine="640" w:firstLineChars="200"/>
        <w:rPr>
          <w:rFonts w:ascii="仿宋_GB2312" w:eastAsia="仿宋_GB2312"/>
          <w:sz w:val="32"/>
          <w:szCs w:val="32"/>
        </w:rPr>
      </w:pPr>
      <w:r>
        <w:rPr>
          <w:rFonts w:hint="eastAsia" w:ascii="仿宋_GB2312" w:eastAsia="仿宋_GB2312"/>
          <w:sz w:val="32"/>
          <w:szCs w:val="32"/>
        </w:rPr>
        <w:t>金山镇十化建社区</w:t>
      </w:r>
    </w:p>
    <w:p>
      <w:pPr>
        <w:ind w:firstLine="640" w:firstLineChars="200"/>
        <w:rPr>
          <w:rFonts w:ascii="仿宋_GB2312" w:eastAsia="仿宋_GB2312"/>
          <w:sz w:val="32"/>
          <w:szCs w:val="32"/>
        </w:rPr>
      </w:pPr>
      <w:r>
        <w:rPr>
          <w:rFonts w:hint="eastAsia" w:ascii="仿宋_GB2312" w:eastAsia="仿宋_GB2312"/>
          <w:sz w:val="32"/>
          <w:szCs w:val="32"/>
        </w:rPr>
        <w:t xml:space="preserve">闻韶街道勇士社区 </w:t>
      </w:r>
    </w:p>
    <w:p>
      <w:pPr>
        <w:ind w:firstLine="640" w:firstLineChars="200"/>
        <w:rPr>
          <w:rFonts w:ascii="仿宋_GB2312" w:eastAsia="仿宋_GB2312"/>
          <w:sz w:val="32"/>
          <w:szCs w:val="32"/>
        </w:rPr>
      </w:pPr>
      <w:r>
        <w:rPr>
          <w:rFonts w:hint="eastAsia" w:ascii="仿宋_GB2312" w:eastAsia="仿宋_GB2312"/>
          <w:sz w:val="32"/>
          <w:szCs w:val="32"/>
        </w:rPr>
        <w:t>齐陵街道东龙池村</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山东巧媳妇食品集团有限公司</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山东思远农业开发有限公司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山东美陵化工设备股份有限公司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淄博正华助剂股份有限公司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山东爱特云翔信息技术有限公司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正本物流集团有限公司</w:t>
      </w: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p>
    <w:p>
      <w:pPr>
        <w:ind w:right="-153" w:rightChars="-73"/>
        <w:rPr>
          <w:rFonts w:ascii="黑体" w:hAnsi="黑体" w:eastAsia="黑体"/>
          <w:color w:val="000000"/>
          <w:sz w:val="32"/>
          <w:szCs w:val="32"/>
        </w:rPr>
      </w:pPr>
      <w:r>
        <w:rPr>
          <w:rFonts w:hint="eastAsia" w:ascii="黑体" w:hAnsi="黑体" w:eastAsia="黑体"/>
          <w:color w:val="000000"/>
          <w:sz w:val="32"/>
          <w:szCs w:val="32"/>
        </w:rPr>
        <w:t>附件2</w:t>
      </w:r>
    </w:p>
    <w:p>
      <w:pPr>
        <w:ind w:left="-359" w:leftChars="-171" w:right="-153" w:rightChars="-73" w:firstLine="880" w:firstLineChars="200"/>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第三批区政府特邀督查员名单</w:t>
      </w:r>
    </w:p>
    <w:p>
      <w:pPr>
        <w:spacing w:line="540" w:lineRule="exact"/>
        <w:ind w:left="1881" w:leftChars="-171" w:right="-153" w:rightChars="-73" w:hanging="2240" w:hangingChars="700"/>
        <w:rPr>
          <w:rFonts w:ascii="仿宋" w:hAnsi="仿宋" w:eastAsia="仿宋"/>
          <w:color w:val="000000"/>
          <w:sz w:val="32"/>
          <w:szCs w:val="32"/>
        </w:rPr>
      </w:pPr>
      <w:r>
        <w:rPr>
          <w:rFonts w:hint="eastAsia" w:ascii="仿宋" w:hAnsi="仿宋" w:eastAsia="仿宋"/>
          <w:color w:val="000000"/>
          <w:sz w:val="32"/>
          <w:szCs w:val="32"/>
        </w:rPr>
        <w:t xml:space="preserve">    </w:t>
      </w:r>
    </w:p>
    <w:p>
      <w:pPr>
        <w:spacing w:line="540" w:lineRule="exact"/>
        <w:ind w:left="42" w:leftChars="20"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崔林江   区人大代表、齐都镇西古东村党支部书记、村委</w:t>
      </w:r>
    </w:p>
    <w:p>
      <w:pPr>
        <w:spacing w:line="540" w:lineRule="exact"/>
        <w:ind w:left="42" w:leftChars="20" w:right="55" w:rightChars="26" w:firstLine="2240" w:firstLineChars="700"/>
        <w:rPr>
          <w:rFonts w:ascii="仿宋" w:hAnsi="仿宋" w:eastAsia="仿宋"/>
          <w:color w:val="000000"/>
          <w:sz w:val="32"/>
          <w:szCs w:val="32"/>
        </w:rPr>
      </w:pPr>
      <w:r>
        <w:rPr>
          <w:rFonts w:hint="eastAsia" w:ascii="仿宋" w:hAnsi="仿宋" w:eastAsia="仿宋"/>
          <w:color w:val="000000"/>
          <w:sz w:val="32"/>
          <w:szCs w:val="32"/>
        </w:rPr>
        <w:t>会主任</w:t>
      </w:r>
    </w:p>
    <w:p>
      <w:pPr>
        <w:spacing w:line="540" w:lineRule="exact"/>
        <w:ind w:left="42" w:leftChars="20"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王卫国   区人大代表、辛店街道辛城社区党支部书记、居</w:t>
      </w:r>
    </w:p>
    <w:p>
      <w:pPr>
        <w:spacing w:line="540" w:lineRule="exact"/>
        <w:ind w:left="42" w:leftChars="20" w:right="55" w:rightChars="26" w:firstLine="2240" w:firstLineChars="700"/>
        <w:rPr>
          <w:rFonts w:ascii="仿宋" w:hAnsi="仿宋" w:eastAsia="仿宋"/>
          <w:color w:val="000000"/>
          <w:sz w:val="32"/>
          <w:szCs w:val="32"/>
        </w:rPr>
      </w:pPr>
      <w:r>
        <w:rPr>
          <w:rFonts w:hint="eastAsia" w:ascii="仿宋" w:hAnsi="仿宋" w:eastAsia="仿宋"/>
          <w:color w:val="000000"/>
          <w:sz w:val="32"/>
          <w:szCs w:val="32"/>
        </w:rPr>
        <w:t>委会主任</w:t>
      </w:r>
    </w:p>
    <w:p>
      <w:pPr>
        <w:spacing w:line="540" w:lineRule="exact"/>
        <w:ind w:left="42" w:leftChars="20"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刘  军   区人大代表、临淄农商行营业部机构客户经理</w:t>
      </w:r>
    </w:p>
    <w:p>
      <w:pPr>
        <w:spacing w:line="540" w:lineRule="exact"/>
        <w:ind w:left="42" w:leftChars="20"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周红梅   区政协常委、民盟临淄区基层委员会副主委、山</w:t>
      </w:r>
    </w:p>
    <w:p>
      <w:pPr>
        <w:spacing w:line="540" w:lineRule="exact"/>
        <w:ind w:left="42" w:leftChars="20" w:right="55" w:rightChars="26" w:firstLine="2240" w:firstLineChars="700"/>
        <w:rPr>
          <w:rFonts w:ascii="仿宋" w:hAnsi="仿宋" w:eastAsia="仿宋"/>
          <w:color w:val="000000"/>
          <w:sz w:val="32"/>
          <w:szCs w:val="32"/>
        </w:rPr>
      </w:pPr>
      <w:r>
        <w:rPr>
          <w:rFonts w:hint="eastAsia" w:ascii="仿宋" w:hAnsi="仿宋" w:eastAsia="仿宋"/>
          <w:color w:val="000000"/>
          <w:sz w:val="32"/>
          <w:szCs w:val="32"/>
        </w:rPr>
        <w:t>东春晖律师事务所执业律师</w:t>
      </w:r>
    </w:p>
    <w:p>
      <w:pPr>
        <w:spacing w:line="540" w:lineRule="exact"/>
        <w:ind w:left="67" w:leftChars="32"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李文广   区政协委员、临淄移动公司总经理</w:t>
      </w:r>
    </w:p>
    <w:p>
      <w:pPr>
        <w:spacing w:line="540" w:lineRule="exact"/>
        <w:ind w:left="67" w:leftChars="32"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吴业新   区政协委员、区人民医院纪委书记</w:t>
      </w:r>
    </w:p>
    <w:p>
      <w:pPr>
        <w:spacing w:line="540" w:lineRule="exact"/>
        <w:ind w:left="67" w:leftChars="32"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李  妍   区委政策研究室（区政府研究室）副主任</w:t>
      </w:r>
    </w:p>
    <w:p>
      <w:pPr>
        <w:spacing w:line="540" w:lineRule="exact"/>
        <w:ind w:left="67" w:leftChars="32"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路  栋   太公小学校长</w:t>
      </w:r>
    </w:p>
    <w:p>
      <w:pPr>
        <w:spacing w:line="540" w:lineRule="exact"/>
        <w:ind w:left="67" w:leftChars="32"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杨  萍   区信访局副科级干部</w:t>
      </w:r>
    </w:p>
    <w:p>
      <w:pPr>
        <w:spacing w:line="540" w:lineRule="exact"/>
        <w:ind w:left="67" w:leftChars="32" w:right="55" w:rightChars="26" w:firstLine="640" w:firstLineChars="200"/>
        <w:rPr>
          <w:rFonts w:ascii="仿宋" w:hAnsi="仿宋" w:eastAsia="仿宋"/>
          <w:color w:val="000000"/>
          <w:sz w:val="32"/>
          <w:szCs w:val="32"/>
        </w:rPr>
      </w:pPr>
      <w:r>
        <w:rPr>
          <w:rFonts w:hint="eastAsia" w:ascii="仿宋" w:hAnsi="仿宋" w:eastAsia="仿宋"/>
          <w:color w:val="000000"/>
          <w:sz w:val="32"/>
          <w:szCs w:val="32"/>
        </w:rPr>
        <w:t>赵新丽   区广播电视局副总编辑、新闻中心主任</w:t>
      </w:r>
    </w:p>
    <w:p>
      <w:pPr>
        <w:spacing w:line="540" w:lineRule="exact"/>
        <w:ind w:left="67" w:leftChars="32" w:right="-153" w:rightChars="-73"/>
        <w:rPr>
          <w:rFonts w:ascii="仿宋" w:hAnsi="仿宋" w:eastAsia="仿宋"/>
          <w:color w:val="000000"/>
          <w:sz w:val="32"/>
          <w:szCs w:val="32"/>
        </w:rPr>
      </w:pPr>
    </w:p>
    <w:p>
      <w:pPr>
        <w:spacing w:line="540" w:lineRule="exact"/>
        <w:ind w:left="67" w:leftChars="32" w:right="-153" w:rightChars="-73"/>
        <w:rPr>
          <w:rFonts w:ascii="仿宋" w:hAnsi="仿宋" w:eastAsia="仿宋"/>
          <w:color w:val="000000"/>
          <w:sz w:val="32"/>
          <w:szCs w:val="32"/>
        </w:rPr>
      </w:pPr>
    </w:p>
    <w:p>
      <w:pPr>
        <w:spacing w:line="576" w:lineRule="exact"/>
        <w:rPr>
          <w:rFonts w:ascii="仿宋" w:hAnsi="仿宋" w:eastAsia="仿宋" w:cs="仿宋"/>
          <w:szCs w:val="32"/>
        </w:rPr>
      </w:pPr>
    </w:p>
    <w:p>
      <w:pPr>
        <w:spacing w:line="520" w:lineRule="exact"/>
        <w:ind w:left="894" w:leftChars="76" w:hanging="735" w:hangingChars="350"/>
        <w:rPr>
          <w:rFonts w:ascii="仿宋" w:hAnsi="仿宋" w:eastAsia="仿宋" w:cs="仿宋"/>
          <w:sz w:val="28"/>
          <w:szCs w:val="28"/>
        </w:rPr>
      </w:pPr>
      <w:r>
        <w:rPr>
          <w:rFonts w:ascii="仿宋" w:hAnsi="仿宋" w:eastAsia="仿宋" w:cs="仿宋"/>
          <w:szCs w:val="22"/>
        </w:rPr>
        <mc:AlternateContent>
          <mc:Choice Requires="wps">
            <w:drawing>
              <wp:anchor distT="0" distB="0" distL="114300" distR="114300" simplePos="0" relativeHeight="251655168" behindDoc="0" locked="0" layoutInCell="1" allowOverlap="1">
                <wp:simplePos x="0" y="0"/>
                <wp:positionH relativeFrom="column">
                  <wp:posOffset>-113665</wp:posOffset>
                </wp:positionH>
                <wp:positionV relativeFrom="paragraph">
                  <wp:posOffset>0</wp:posOffset>
                </wp:positionV>
                <wp:extent cx="5714365" cy="635"/>
                <wp:effectExtent l="10160" t="9525" r="9525" b="889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1436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5pt;margin-top:0pt;height:0.05pt;width:449.95pt;z-index:251655168;mso-width-relative:page;mso-height-relative:page;" filled="f" stroked="t" coordsize="21600,21600" o:gfxdata="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wa0gN0wAAAAUBAAAP&#10;AAAAAAAAAAEAIAAAADgAAABkcnMvZG93bnJldi54bWxQSwECFAAUAAAACACHTuJAy53gJs4BAABh&#10;AwAADgAAAAAAAAABACAAAAA4AQAAZHJzL2Uyb0RvYy54bWxQSwUGAAAAAAYABgBZAQAAeAU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抄送：区委各部门，区人大、区政协、区纪委监委、区人武部办公室，区法院，区检察院。 </w:t>
      </w:r>
    </w:p>
    <w:p>
      <w:pPr>
        <w:ind w:firstLine="105" w:firstLineChars="50"/>
      </w:pPr>
      <w:r>
        <w:rPr>
          <w:rFonts w:ascii="仿宋" w:hAnsi="仿宋" w:eastAsia="仿宋" w:cs="仿宋"/>
        </w:rPr>
        <mc:AlternateContent>
          <mc:Choice Requires="wps">
            <w:drawing>
              <wp:anchor distT="0" distB="0" distL="114300" distR="114300" simplePos="0" relativeHeight="251656192" behindDoc="0" locked="0" layoutInCell="1" allowOverlap="1">
                <wp:simplePos x="0" y="0"/>
                <wp:positionH relativeFrom="column">
                  <wp:posOffset>-113665</wp:posOffset>
                </wp:positionH>
                <wp:positionV relativeFrom="paragraph">
                  <wp:posOffset>396240</wp:posOffset>
                </wp:positionV>
                <wp:extent cx="5714365" cy="635"/>
                <wp:effectExtent l="10160" t="5715" r="9525" b="1270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71436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5pt;margin-top:31.2pt;height:0.05pt;width:449.95pt;z-index:251656192;mso-width-relative:page;mso-height-relative:page;" filled="f" stroked="t" coordsize="21600,21600" o:gfxdata="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1VLRs1wAAAAkB&#10;AAAPAAAAAAAAAAEAIAAAADgAAABkcnMvZG93bnJldi54bWxQSwECFAAUAAAACACHTuJA+Xow6s0B&#10;AABhAwAADgAAAAAAAAABACAAAAA8AQAAZHJzL2Uyb0RvYy54bWxQSwUGAAAAAAYABgBZAQAAewUA&#10;AAAA&#10;">
                <v:fill on="f" focussize="0,0"/>
                <v:stroke color="#000000" joinstyle="round"/>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657216" behindDoc="0" locked="0" layoutInCell="1" allowOverlap="1">
                <wp:simplePos x="0" y="0"/>
                <wp:positionH relativeFrom="column">
                  <wp:posOffset>-113665</wp:posOffset>
                </wp:positionH>
                <wp:positionV relativeFrom="paragraph">
                  <wp:posOffset>0</wp:posOffset>
                </wp:positionV>
                <wp:extent cx="5714365" cy="635"/>
                <wp:effectExtent l="10160" t="9525" r="9525" b="889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71436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5pt;margin-top:0pt;height:0.05pt;width:449.95pt;z-index:251657216;mso-width-relative:page;mso-height-relative:page;" filled="f" stroked="t" coordsize="21600,21600" o:gfxdata="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BrSA3TAAAABQEAAA8A&#10;AAAAAAAAAQAgAAAAOAAAAGRycy9kb3ducmV2LnhtbFBLAQIUABQAAAAIAIdO4kDuVTBkzQEAAGED&#10;AAAOAAAAAAAAAAEAIAAAADg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临淄区人民政府办公室                 </w:t>
      </w:r>
      <w:r>
        <w:rPr>
          <w:rFonts w:ascii="仿宋" w:hAnsi="仿宋" w:eastAsia="仿宋" w:cs="仿宋"/>
          <w:sz w:val="28"/>
          <w:szCs w:val="28"/>
        </w:rPr>
        <w:t xml:space="preserve">     </w:t>
      </w:r>
      <w:r>
        <w:rPr>
          <w:rFonts w:hint="eastAsia" w:ascii="仿宋" w:hAnsi="仿宋" w:eastAsia="仿宋" w:cs="仿宋"/>
          <w:sz w:val="28"/>
          <w:szCs w:val="28"/>
        </w:rPr>
        <w:t xml:space="preserve"> 2019年</w:t>
      </w:r>
      <w:r>
        <w:rPr>
          <w:rFonts w:ascii="仿宋" w:hAnsi="仿宋" w:eastAsia="仿宋" w:cs="仿宋"/>
          <w:sz w:val="28"/>
          <w:szCs w:val="28"/>
        </w:rPr>
        <w:t>4</w:t>
      </w:r>
      <w:r>
        <w:rPr>
          <w:rFonts w:hint="eastAsia" w:ascii="仿宋" w:hAnsi="仿宋" w:eastAsia="仿宋" w:cs="仿宋"/>
          <w:sz w:val="28"/>
          <w:szCs w:val="28"/>
        </w:rPr>
        <w:t>月15日印发</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宋体"/>
    <w:panose1 w:val="00000000000000000000"/>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宋体"/>
    <w:panose1 w:val="02010609030101010101"/>
    <w:charset w:val="86"/>
    <w:family w:val="modern"/>
    <w:pitch w:val="default"/>
    <w:sig w:usb0="00000000" w:usb1="00000000" w:usb2="00000010" w:usb3="00000000" w:csb0="00040000" w:csb1="00000000"/>
  </w:font>
  <w:font w:name="长城小标宋体">
    <w:altName w:val="方正小标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52568"/>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6596A"/>
    <w:rsid w:val="00035BDA"/>
    <w:rsid w:val="00157465"/>
    <w:rsid w:val="004E6279"/>
    <w:rsid w:val="005D0541"/>
    <w:rsid w:val="00635D89"/>
    <w:rsid w:val="006C01BE"/>
    <w:rsid w:val="007375ED"/>
    <w:rsid w:val="008B2062"/>
    <w:rsid w:val="009378F6"/>
    <w:rsid w:val="00995AF5"/>
    <w:rsid w:val="009F2E83"/>
    <w:rsid w:val="00A143F9"/>
    <w:rsid w:val="00A1757A"/>
    <w:rsid w:val="00A676F0"/>
    <w:rsid w:val="00D064A2"/>
    <w:rsid w:val="00DB4CF8"/>
    <w:rsid w:val="00E0102C"/>
    <w:rsid w:val="00E10B57"/>
    <w:rsid w:val="00EA2638"/>
    <w:rsid w:val="00F05FA7"/>
    <w:rsid w:val="044E28FB"/>
    <w:rsid w:val="065A5E16"/>
    <w:rsid w:val="09DF4629"/>
    <w:rsid w:val="0A705805"/>
    <w:rsid w:val="0DEE6C8F"/>
    <w:rsid w:val="12840DDA"/>
    <w:rsid w:val="13226C53"/>
    <w:rsid w:val="1A861F62"/>
    <w:rsid w:val="1C8742FF"/>
    <w:rsid w:val="1C8F78A6"/>
    <w:rsid w:val="1F362422"/>
    <w:rsid w:val="26A3209A"/>
    <w:rsid w:val="29713DB8"/>
    <w:rsid w:val="2B136221"/>
    <w:rsid w:val="2B5B3AA0"/>
    <w:rsid w:val="2C382E74"/>
    <w:rsid w:val="2C522EC2"/>
    <w:rsid w:val="2E9D7705"/>
    <w:rsid w:val="301924DD"/>
    <w:rsid w:val="352C0662"/>
    <w:rsid w:val="3638220A"/>
    <w:rsid w:val="3D151E02"/>
    <w:rsid w:val="445A2963"/>
    <w:rsid w:val="44905107"/>
    <w:rsid w:val="45BA2C3C"/>
    <w:rsid w:val="461166D9"/>
    <w:rsid w:val="485101D2"/>
    <w:rsid w:val="4DB5424D"/>
    <w:rsid w:val="536D2E14"/>
    <w:rsid w:val="56001873"/>
    <w:rsid w:val="56F33615"/>
    <w:rsid w:val="573C321D"/>
    <w:rsid w:val="585A7071"/>
    <w:rsid w:val="5DE91867"/>
    <w:rsid w:val="62B4204E"/>
    <w:rsid w:val="6336596A"/>
    <w:rsid w:val="637E5C8A"/>
    <w:rsid w:val="6D49600F"/>
    <w:rsid w:val="6E651320"/>
    <w:rsid w:val="6EB001E1"/>
    <w:rsid w:val="70634CB8"/>
    <w:rsid w:val="71C014EA"/>
    <w:rsid w:val="722A5933"/>
    <w:rsid w:val="761650CF"/>
    <w:rsid w:val="767127FD"/>
    <w:rsid w:val="7AE609D7"/>
    <w:rsid w:val="AFEF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99"/>
    <w:rPr>
      <w:kern w:val="2"/>
      <w:sz w:val="18"/>
      <w:szCs w:val="18"/>
    </w:rPr>
  </w:style>
  <w:style w:type="paragraph" w:customStyle="1" w:styleId="9">
    <w:name w:val="Normal (Web)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179</Words>
  <Characters>1026</Characters>
  <Lines>8</Lines>
  <Paragraphs>2</Paragraphs>
  <TotalTime>1</TotalTime>
  <ScaleCrop>false</ScaleCrop>
  <LinksUpToDate>false</LinksUpToDate>
  <CharactersWithSpaces>1203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2020-12-31T14:28:00Z</dcterms:created>
  <dc:creator>小鱼</dc:creator>
  <cp:lastModifiedBy>administrator</cp:lastModifiedBy>
  <cp:lastPrinted>2019-04-09T09:12:00Z</cp:lastPrinted>
  <dcterms:modified xsi:type="dcterms:W3CDTF">2025-12-01T11:45:28Z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