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line="560" w:lineRule="exact"/>
        <w:rPr>
          <w:rFonts w:ascii="Times New Roman" w:hAnsi="Times New Roman" w:eastAsia="Times New Roman" w:cs="Times New Roman"/>
          <w:sz w:val="19"/>
          <w:szCs w:val="19"/>
        </w:rPr>
      </w:pPr>
    </w:p>
    <w:p>
      <w:pPr>
        <w:spacing w:before="1" w:line="560" w:lineRule="exact"/>
        <w:rPr>
          <w:rFonts w:ascii="Times New Roman" w:hAnsi="Times New Roman" w:eastAsia="Times New Roman" w:cs="Times New Roman"/>
          <w:sz w:val="19"/>
          <w:szCs w:val="19"/>
        </w:rPr>
      </w:pPr>
    </w:p>
    <w:p>
      <w:pPr>
        <w:spacing w:before="1" w:line="560" w:lineRule="exact"/>
        <w:rPr>
          <w:rFonts w:ascii="Times New Roman" w:hAnsi="Times New Roman" w:eastAsia="Times New Roman" w:cs="Times New Roman"/>
          <w:sz w:val="19"/>
          <w:szCs w:val="19"/>
        </w:rPr>
      </w:pPr>
    </w:p>
    <w:p>
      <w:pPr>
        <w:spacing w:line="560" w:lineRule="exact"/>
        <w:jc w:val="cente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临政办字〔202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lang w:eastAsia="zh-CN"/>
        </w:rPr>
        <w:t>号</w:t>
      </w:r>
    </w:p>
    <w:p>
      <w:pPr>
        <w:spacing w:line="560" w:lineRule="exact"/>
        <w:rPr>
          <w:rFonts w:ascii="仿宋" w:hAnsi="仿宋" w:eastAsia="仿宋"/>
          <w:sz w:val="32"/>
          <w:szCs w:val="32"/>
          <w:lang w:eastAsia="zh-CN"/>
        </w:rPr>
      </w:pPr>
    </w:p>
    <w:p>
      <w:pPr>
        <w:spacing w:line="560" w:lineRule="exact"/>
        <w:jc w:val="center"/>
        <w:rPr>
          <w:rFonts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临淄区人民政府办公室</w:t>
      </w:r>
    </w:p>
    <w:p>
      <w:pPr>
        <w:spacing w:line="560" w:lineRule="exact"/>
        <w:jc w:val="center"/>
        <w:rPr>
          <w:rFonts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关于印发202</w:t>
      </w:r>
      <w:r>
        <w:rPr>
          <w:rFonts w:hint="eastAsia" w:ascii="方正小标宋简体" w:hAnsi="仿宋" w:eastAsia="方正小标宋简体"/>
          <w:sz w:val="44"/>
          <w:szCs w:val="44"/>
          <w:lang w:val="en-US" w:eastAsia="zh-CN"/>
        </w:rPr>
        <w:t>4</w:t>
      </w:r>
      <w:r>
        <w:rPr>
          <w:rFonts w:hint="eastAsia" w:ascii="方正小标宋简体" w:hAnsi="仿宋" w:eastAsia="方正小标宋简体"/>
          <w:sz w:val="44"/>
          <w:szCs w:val="44"/>
          <w:lang w:eastAsia="zh-CN"/>
        </w:rPr>
        <w:t>年临淄区政务公开工作方案的</w:t>
      </w:r>
    </w:p>
    <w:p>
      <w:pPr>
        <w:spacing w:line="560" w:lineRule="exact"/>
        <w:jc w:val="center"/>
        <w:rPr>
          <w:rFonts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 xml:space="preserve">通 </w:t>
      </w:r>
      <w:r>
        <w:rPr>
          <w:rFonts w:ascii="方正小标宋简体" w:hAnsi="仿宋" w:eastAsia="方正小标宋简体"/>
          <w:sz w:val="44"/>
          <w:szCs w:val="44"/>
          <w:lang w:eastAsia="zh-CN"/>
        </w:rPr>
        <w:t xml:space="preserve"> </w:t>
      </w:r>
      <w:r>
        <w:rPr>
          <w:rFonts w:hint="eastAsia" w:ascii="方正小标宋简体" w:hAnsi="仿宋" w:eastAsia="方正小标宋简体"/>
          <w:sz w:val="44"/>
          <w:szCs w:val="44"/>
          <w:lang w:eastAsia="zh-CN"/>
        </w:rPr>
        <w:t>知</w:t>
      </w:r>
    </w:p>
    <w:p>
      <w:pPr>
        <w:spacing w:line="560" w:lineRule="exact"/>
        <w:rPr>
          <w:rFonts w:ascii="方正小标宋简体" w:hAnsi="仿宋" w:eastAsia="方正小标宋简体"/>
          <w:sz w:val="44"/>
          <w:szCs w:val="44"/>
          <w:lang w:eastAsia="zh-CN"/>
        </w:rPr>
      </w:pPr>
    </w:p>
    <w:p>
      <w:pPr>
        <w:spacing w:line="560" w:lineRule="exact"/>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各镇人民政府、街道办事处，各开发区管委会，区政府各部门，有关企事业单位：</w:t>
      </w:r>
    </w:p>
    <w:p>
      <w:pPr>
        <w:spacing w:line="560" w:lineRule="exact"/>
        <w:ind w:firstLine="640" w:firstLineChars="2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年临淄区政务公开工作方案》已经区政府同意，现印发给你们，请认真抓好贯彻落实。</w:t>
      </w:r>
    </w:p>
    <w:p>
      <w:pPr>
        <w:spacing w:line="560" w:lineRule="exact"/>
        <w:jc w:val="both"/>
        <w:rPr>
          <w:rFonts w:hint="eastAsia" w:ascii="CESI仿宋-GB2312" w:hAnsi="CESI仿宋-GB2312" w:eastAsia="CESI仿宋-GB2312" w:cs="CESI仿宋-GB2312"/>
          <w:sz w:val="32"/>
          <w:szCs w:val="32"/>
          <w:lang w:eastAsia="zh-CN"/>
        </w:rPr>
      </w:pPr>
    </w:p>
    <w:p>
      <w:pPr>
        <w:spacing w:line="560" w:lineRule="exact"/>
        <w:rPr>
          <w:rFonts w:hint="eastAsia" w:ascii="CESI仿宋-GB2312" w:hAnsi="CESI仿宋-GB2312" w:eastAsia="CESI仿宋-GB2312" w:cs="CESI仿宋-GB2312"/>
          <w:sz w:val="32"/>
          <w:szCs w:val="32"/>
          <w:lang w:eastAsia="zh-CN"/>
        </w:rPr>
      </w:pPr>
    </w:p>
    <w:p>
      <w:pPr>
        <w:spacing w:line="560" w:lineRule="exact"/>
        <w:rPr>
          <w:rFonts w:hint="eastAsia" w:ascii="CESI仿宋-GB2312" w:hAnsi="CESI仿宋-GB2312" w:eastAsia="CESI仿宋-GB2312" w:cs="CESI仿宋-GB2312"/>
          <w:sz w:val="32"/>
          <w:szCs w:val="32"/>
          <w:lang w:eastAsia="zh-CN"/>
        </w:rPr>
      </w:pPr>
    </w:p>
    <w:p>
      <w:pPr>
        <w:spacing w:line="560" w:lineRule="exact"/>
        <w:ind w:firstLine="960" w:firstLineChars="300"/>
        <w:jc w:val="right"/>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临淄区人民政府办公室</w:t>
      </w:r>
    </w:p>
    <w:p>
      <w:pPr>
        <w:spacing w:line="560" w:lineRule="exact"/>
        <w:jc w:val="cente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年</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lang w:eastAsia="zh-CN"/>
        </w:rPr>
        <w:t xml:space="preserve"> 月 </w:t>
      </w:r>
      <w:r>
        <w:rPr>
          <w:rFonts w:hint="eastAsia" w:ascii="CESI仿宋-GB2312" w:hAnsi="CESI仿宋-GB2312" w:eastAsia="CESI仿宋-GB2312" w:cs="CESI仿宋-GB2312"/>
          <w:sz w:val="32"/>
          <w:szCs w:val="32"/>
          <w:lang w:val="en-US" w:eastAsia="zh-CN"/>
        </w:rPr>
        <w:t>12</w:t>
      </w:r>
      <w:r>
        <w:rPr>
          <w:rFonts w:hint="eastAsia" w:ascii="CESI仿宋-GB2312" w:hAnsi="CESI仿宋-GB2312" w:eastAsia="CESI仿宋-GB2312" w:cs="CESI仿宋-GB2312"/>
          <w:sz w:val="32"/>
          <w:szCs w:val="32"/>
          <w:lang w:eastAsia="zh-CN"/>
        </w:rPr>
        <w:t>日</w:t>
      </w:r>
    </w:p>
    <w:p>
      <w:pPr>
        <w:spacing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（此件公开发布）</w:t>
      </w:r>
    </w:p>
    <w:p>
      <w:pPr>
        <w:spacing w:line="560" w:lineRule="exact"/>
        <w:rPr>
          <w:rFonts w:ascii="仿宋" w:hAnsi="仿宋" w:eastAsia="仿宋"/>
          <w:sz w:val="32"/>
          <w:szCs w:val="32"/>
          <w:lang w:eastAsia="zh-CN"/>
        </w:rPr>
      </w:pPr>
    </w:p>
    <w:p>
      <w:pPr>
        <w:spacing w:line="560" w:lineRule="exact"/>
        <w:rPr>
          <w:rFonts w:ascii="仿宋" w:hAnsi="仿宋" w:eastAsia="仿宋"/>
          <w:sz w:val="32"/>
          <w:szCs w:val="32"/>
          <w:lang w:eastAsia="zh-CN"/>
        </w:rPr>
      </w:pP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hint="eastAsia" w:ascii="方正小标宋简体" w:hAnsi="仿宋" w:eastAsia="方正小标宋简体"/>
          <w:sz w:val="44"/>
          <w:szCs w:val="44"/>
          <w:lang w:eastAsia="zh-CN"/>
        </w:rPr>
      </w:pP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202</w:t>
      </w:r>
      <w:r>
        <w:rPr>
          <w:rFonts w:hint="eastAsia" w:ascii="方正小标宋简体" w:hAnsi="仿宋" w:eastAsia="方正小标宋简体"/>
          <w:sz w:val="44"/>
          <w:szCs w:val="44"/>
          <w:lang w:val="en-US" w:eastAsia="zh-CN"/>
        </w:rPr>
        <w:t>4</w:t>
      </w:r>
      <w:r>
        <w:rPr>
          <w:rFonts w:hint="eastAsia" w:ascii="方正小标宋简体" w:hAnsi="仿宋" w:eastAsia="方正小标宋简体"/>
          <w:sz w:val="44"/>
          <w:szCs w:val="44"/>
          <w:lang w:eastAsia="zh-CN"/>
        </w:rPr>
        <w:t>年临淄区政务公开工作方案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为深入贯彻落实国家政务公开的决策部署和省、市有关工作要求，推动全区政务公开工作扎实有效开展，制定本方案。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一、总体要求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坚持以习近平新时代中国特色社会主义思想为指导，全面贯彻落实党的二十大精神，准确把握新时代政务公开新形势、新要求，紧紧围绕区委、区政府中心工作，统筹政务公开与安全保密，更好发挥以公开促落实、优服务、强监管作用，助力全区经济社会高质量发展，</w:t>
      </w:r>
      <w:r>
        <w:rPr>
          <w:rFonts w:hint="eastAsia" w:ascii="CESI仿宋-GB2312" w:hAnsi="CESI仿宋-GB2312" w:eastAsia="CESI仿宋-GB2312" w:cs="CESI仿宋-GB2312"/>
          <w:sz w:val="32"/>
          <w:szCs w:val="32"/>
          <w:lang w:val="en-US" w:eastAsia="zh-CN"/>
        </w:rPr>
        <w:t>服务</w:t>
      </w:r>
      <w:r>
        <w:rPr>
          <w:rFonts w:hint="default" w:ascii="CESI仿宋-GB2312" w:hAnsi="CESI仿宋-GB2312" w:eastAsia="CESI仿宋-GB2312" w:cs="CESI仿宋-GB2312"/>
          <w:sz w:val="32"/>
          <w:szCs w:val="32"/>
          <w:lang w:val="en-US" w:eastAsia="zh-CN"/>
        </w:rPr>
        <w:t>“共同富裕先行区”城市愿景</w:t>
      </w:r>
      <w:r>
        <w:rPr>
          <w:rFonts w:hint="eastAsia" w:ascii="CESI仿宋-GB2312" w:hAnsi="CESI仿宋-GB2312" w:eastAsia="CESI仿宋-GB2312" w:cs="CESI仿宋-GB2312"/>
          <w:sz w:val="32"/>
          <w:szCs w:val="32"/>
          <w:lang w:eastAsia="zh-CN"/>
        </w:rPr>
        <w:t>加快实现。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（一）以政务公开助推重点工作落实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助推高水平开放、高质量招商引资方面：重点做好扩大有效投资、促进招商引资、高水平对外开放、支持民间投资发展等政策措施以及新能源汽车、绿色智能家电、特色医疗、健康养老、体育赛事、文娱旅游、住房改善等领域消费支持政策公开，促进经济巩固向好，加快绿色低碳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助推社会治理精细化方面：重点做好城市更新、乡村振兴、生态环境保护、生活垃圾分类、农资补助发放、土地及房屋征收补偿安置等领域的信息公开，加强对小微权力运行的监督，推动社会治理精细化。</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助推人民群众生活品质提高方面：重点做好稳就业促增收、大规模设备更新和消费品以旧换新、医疗卫生服务能力提升、重大疾病和传染病防控、住房保障、教育、养老托育、社会救助等领域的信息公开，满足人民群众的知情权，增强人民群众的获得感和认同感。</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助推监管效能提升方面：重点做好机构改革后部门职能和权责清单的调整以及行政执法公示、行政事业性收费、政府性基金目录、公共资源配置、公共企事业单位、市场监管制度规则和标准等领域的信息公开，明确监管职责，提高监管透明度。</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（二）做好政策公开与解读回应</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加强各级政府文件库建设及集中公开工作，要根据立改废情况对已公开政策进行动态更新，以公开的准确性保障执行的准确性。强化政策集成供给，选取部分企业群众关注度高、办事需求大、政策体量大的领域，实施跨层级、跨部门的政策集成式发布和一站式公开，最大限度利企便民。探索运用大数据、人工智能等信息技术优化政策“点对点”推送，确保政策直达基层、直达企业、直达群众。</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聚焦扩大有效需求、培育和发展新质生产力、数字经济、重点改革、高水平开放、高质量招商引资、乡村振兴、新型城镇化建设、降碳减污扩绿、保障改善民生等，深入开展政策解读，加速释放政策红利。要丰富解读形式、提升解读效果，让企业和群众看得懂、用得上。</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（三）深化政民互动与公众参与</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严格落实重大决策公众参与程序，进一步完善意见征集、采纳、反馈等工作机制。制定涉企政策要主动听取相关企业、行业协会商会的意见。探索建立政务公开监督员制度，继续推进邀请利益相关方、公众代表、专家、媒体等列席政府有关会议工作。列席代表的意见发表和采纳情况向社会公开。常态化开展政策评价，评价结果和运用情况向社会公开。</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color w:val="000000" w:themeColor="text1"/>
          <w:sz w:val="32"/>
          <w:szCs w:val="32"/>
          <w:lang w:eastAsia="zh-CN"/>
        </w:rPr>
      </w:pPr>
      <w:r>
        <w:rPr>
          <w:rFonts w:hint="eastAsia" w:ascii="CESI仿宋-GB2312" w:hAnsi="CESI仿宋-GB2312" w:eastAsia="CESI仿宋-GB2312" w:cs="CESI仿宋-GB2312"/>
          <w:color w:val="000000" w:themeColor="text1"/>
          <w:sz w:val="32"/>
          <w:szCs w:val="32"/>
          <w:lang w:eastAsia="zh-CN"/>
        </w:rPr>
        <w:t>各级政府部门单位特别是与宏观经济和民生关系密切的部门单位要通过多种形式常态化开展政府开放活动，让公众了解政府工作，反映意见诉求。鼓励以公开征集意见的方式确定活动主题。区政府办公室政务公开办将加强对各部门单位政府开放活动的调度统筹。</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（四）提升依申请公开办理质效</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畅通政府信息公开申请渠道，规范办理流程，提升答复质</w:t>
      </w:r>
    </w:p>
    <w:p>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量，主动与申请人沟通，推动申请人合理诉求实质性解决。围绕征地拆迁、国土空间规划、社会保障等企业群众高度关注领域，推动申请较为集中的政府信息向主动公开转化。对影响面广、敏感度高的申请，要加强会商，妥善处理。加强对信息公开复议、诉讼案件特别是败诉案件的分析研究，掌握成案及败诉原因，采取针对性措施加以改进。</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（五）完善主动公开事项目录体系</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以正在执行的主动公开基本目录和各领域基层政务公开事项标准目录为基础，全面梳理法律、法规、规章中关于主动公开信息的规定，逐项明确公开主体、内容、时限、方式、渠道、责任等要素，编制</w:t>
      </w:r>
      <w:r>
        <w:rPr>
          <w:rFonts w:hint="eastAsia" w:ascii="CESI仿宋-GB2312" w:hAnsi="CESI仿宋-GB2312" w:eastAsia="CESI仿宋-GB2312" w:cs="CESI仿宋-GB2312"/>
          <w:color w:val="000000" w:themeColor="text1"/>
          <w:sz w:val="32"/>
          <w:szCs w:val="32"/>
          <w:lang w:eastAsia="zh-CN"/>
        </w:rPr>
        <w:t>各级政府及政府部门单位</w:t>
      </w:r>
      <w:r>
        <w:rPr>
          <w:rFonts w:hint="eastAsia" w:ascii="CESI仿宋-GB2312" w:hAnsi="CESI仿宋-GB2312" w:eastAsia="CESI仿宋-GB2312" w:cs="CESI仿宋-GB2312"/>
          <w:sz w:val="32"/>
          <w:szCs w:val="32"/>
          <w:lang w:eastAsia="zh-CN"/>
        </w:rPr>
        <w:t>主动公开事项目录，做到法定公开事项公开到位，其他事项审慎主动公开。主动公开事项目录编制完成后，原有主动公开基本目录不再保留。全力抓好主动公开事项目录落实，同步调整政府网站栏目，完善其他公开渠道，确保事项目录要求与实际公开内容一致。目录编制及落实工作按照</w:t>
      </w:r>
      <w:r>
        <w:rPr>
          <w:rFonts w:hint="eastAsia" w:ascii="CESI仿宋-GB2312" w:hAnsi="CESI仿宋-GB2312" w:eastAsia="CESI仿宋-GB2312" w:cs="CESI仿宋-GB2312"/>
          <w:color w:val="000000" w:themeColor="text1"/>
          <w:sz w:val="32"/>
          <w:szCs w:val="32"/>
          <w:lang w:eastAsia="zh-CN"/>
        </w:rPr>
        <w:t>省市</w:t>
      </w:r>
      <w:r>
        <w:rPr>
          <w:rFonts w:hint="eastAsia" w:ascii="CESI仿宋-GB2312" w:hAnsi="CESI仿宋-GB2312" w:eastAsia="CESI仿宋-GB2312" w:cs="CESI仿宋-GB2312"/>
          <w:sz w:val="32"/>
          <w:szCs w:val="32"/>
          <w:lang w:eastAsia="zh-CN"/>
        </w:rPr>
        <w:t>专门部署压茬进行。</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（六）拓展优化公开平台</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突出政府网站信息发布、解读回应、办事服务、互动交流等功能，构建政府网站为主、其他发布渠道为辅的公开平台。推动12345政务服务便民热线与政务服务平台、政府网站互动交流系统、政务新媒体等互联互通，共享共用政策业务咨询问答知识库。强化政府网站和政务新媒体管理，在公开前明确各类信息的公开时限，建立健全对已公开信息的管理制度。更好统筹政务公开和安全保密，依法对拟公开信息进行保密审查，防止国家秘密、工作秘密和敏感信息泄露。以提升服务效能为目的，对现有政务公开专区进行规范升级，有序开展重要政策现场解读、综合政策咨询、办事流程场景展示等活动，筛选打造一批有特色、有亮点的品牌专区。探索适合基层特点的公开渠道，推动基层政务公开与村（居）务公开衔接协同。</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三、组织领导和工作保障</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（一）加强组织领导。</w:t>
      </w:r>
      <w:r>
        <w:rPr>
          <w:rFonts w:hint="eastAsia" w:ascii="CESI仿宋-GB2312" w:hAnsi="CESI仿宋-GB2312" w:eastAsia="CESI仿宋-GB2312" w:cs="CESI仿宋-GB2312"/>
          <w:color w:val="000000" w:themeColor="text1"/>
          <w:sz w:val="32"/>
          <w:szCs w:val="32"/>
          <w:lang w:eastAsia="zh-CN"/>
        </w:rPr>
        <w:t>各级各部门单位</w:t>
      </w:r>
      <w:r>
        <w:rPr>
          <w:rFonts w:hint="eastAsia" w:ascii="CESI仿宋-GB2312" w:hAnsi="CESI仿宋-GB2312" w:eastAsia="CESI仿宋-GB2312" w:cs="CESI仿宋-GB2312"/>
          <w:sz w:val="32"/>
          <w:szCs w:val="32"/>
          <w:lang w:eastAsia="zh-CN"/>
        </w:rPr>
        <w:t>要加强政务公开队伍建设，配齐配强工作力量，推动业务工作与政务公开深度融合，定期听取政务公开工作汇报并研究解决重点难点问题。对需要多部门、多机构配合的公开任务，要加强协调，形成合力，确保各项工作落实到位。</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color w:val="000000" w:themeColor="text1"/>
          <w:sz w:val="32"/>
          <w:szCs w:val="32"/>
          <w:lang w:eastAsia="zh-CN"/>
        </w:rPr>
      </w:pPr>
      <w:r>
        <w:rPr>
          <w:rFonts w:hint="eastAsia" w:ascii="CESI楷体-GB2312" w:hAnsi="CESI楷体-GB2312" w:eastAsia="CESI楷体-GB2312" w:cs="CESI楷体-GB2312"/>
          <w:sz w:val="32"/>
          <w:szCs w:val="32"/>
          <w:lang w:eastAsia="zh-CN"/>
        </w:rPr>
        <w:t>（二）全面开展培训。</w:t>
      </w:r>
      <w:r>
        <w:rPr>
          <w:rFonts w:hint="eastAsia" w:ascii="CESI仿宋-GB2312" w:hAnsi="CESI仿宋-GB2312" w:eastAsia="CESI仿宋-GB2312" w:cs="CESI仿宋-GB2312"/>
          <w:color w:val="000000" w:themeColor="text1"/>
          <w:sz w:val="32"/>
          <w:szCs w:val="32"/>
          <w:lang w:eastAsia="zh-CN"/>
        </w:rPr>
        <w:t>推动把政务公开法规政策纳入各级领导干部学法、各类公务员培训内容，提升全体政府工作人员公开意识。各级各部门单位年内至少组织</w:t>
      </w:r>
      <w:r>
        <w:rPr>
          <w:rFonts w:hint="eastAsia" w:ascii="CESI仿宋-GB2312" w:hAnsi="CESI仿宋-GB2312" w:eastAsia="CESI仿宋-GB2312" w:cs="CESI仿宋-GB2312"/>
          <w:color w:val="000000" w:themeColor="text1"/>
          <w:sz w:val="32"/>
          <w:szCs w:val="32"/>
          <w:lang w:val="en-US" w:eastAsia="zh-CN"/>
        </w:rPr>
        <w:t>1</w:t>
      </w:r>
      <w:r>
        <w:rPr>
          <w:rFonts w:hint="eastAsia" w:ascii="CESI仿宋-GB2312" w:hAnsi="CESI仿宋-GB2312" w:eastAsia="CESI仿宋-GB2312" w:cs="CESI仿宋-GB2312"/>
          <w:color w:val="000000" w:themeColor="text1"/>
          <w:sz w:val="32"/>
          <w:szCs w:val="32"/>
          <w:lang w:eastAsia="zh-CN"/>
        </w:rPr>
        <w:t>次专门业务培训，推动持续提升公开能力。</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（三）广泛学习交流。</w:t>
      </w:r>
      <w:r>
        <w:rPr>
          <w:rFonts w:hint="eastAsia" w:ascii="CESI仿宋-GB2312" w:hAnsi="CESI仿宋-GB2312" w:eastAsia="CESI仿宋-GB2312" w:cs="CESI仿宋-GB2312"/>
          <w:color w:val="000000" w:themeColor="text1"/>
          <w:sz w:val="32"/>
          <w:szCs w:val="32"/>
          <w:lang w:eastAsia="zh-CN"/>
        </w:rPr>
        <w:t>各级各部门单位要</w:t>
      </w:r>
      <w:r>
        <w:rPr>
          <w:rFonts w:hint="eastAsia" w:ascii="CESI仿宋-GB2312" w:hAnsi="CESI仿宋-GB2312" w:eastAsia="CESI仿宋-GB2312" w:cs="CESI仿宋-GB2312"/>
          <w:sz w:val="32"/>
          <w:szCs w:val="32"/>
          <w:lang w:eastAsia="zh-CN"/>
        </w:rPr>
        <w:t>主动对标政务公开先进地区和先进单位，采取走出去、请进来、网上学等多种方式，积极借鉴目录编制、栏目设置、内容维护以及工作推进等方面的经验做法，切实提升政务公开工作水平。要注重总结提炼政务公开工作经验、典型案例，积极宣传推广，充分发挥示范引领作用，营造 “互学互鉴、比学赶超”的浓厚氛围。</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楷体-GB2312" w:hAnsi="CESI楷体-GB2312" w:eastAsia="CESI楷体-GB2312" w:cs="CESI楷体-GB2312"/>
          <w:sz w:val="32"/>
          <w:szCs w:val="32"/>
          <w:lang w:eastAsia="zh-CN"/>
        </w:rPr>
        <w:t>（四）强化监督指导。</w:t>
      </w:r>
      <w:r>
        <w:rPr>
          <w:rFonts w:hint="eastAsia" w:ascii="CESI仿宋-GB2312" w:hAnsi="CESI仿宋-GB2312" w:eastAsia="CESI仿宋-GB2312" w:cs="CESI仿宋-GB2312"/>
          <w:sz w:val="32"/>
          <w:szCs w:val="32"/>
          <w:lang w:eastAsia="zh-CN"/>
        </w:rPr>
        <w:t>加强日常监测反馈，</w:t>
      </w:r>
      <w:bookmarkStart w:id="0" w:name="_GoBack"/>
      <w:bookmarkEnd w:id="0"/>
      <w:r>
        <w:rPr>
          <w:rFonts w:hint="eastAsia" w:ascii="CESI仿宋-GB2312" w:hAnsi="CESI仿宋-GB2312" w:eastAsia="CESI仿宋-GB2312" w:cs="CESI仿宋-GB2312"/>
          <w:sz w:val="32"/>
          <w:szCs w:val="32"/>
          <w:lang w:eastAsia="zh-CN"/>
        </w:rPr>
        <w:t>增强各级各部门单位公开主动性，推动政务公开常态化开展。夯实“管业务就要管公开”工作机制，各级各部门单位在部署安排各项业务工作时，要指导、督促下级和同级相关部门同步做好相应公开工作。</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color w:val="000000" w:themeColor="text1"/>
          <w:sz w:val="32"/>
          <w:szCs w:val="32"/>
          <w:lang w:eastAsia="zh-CN"/>
        </w:rPr>
        <w:t>各级各部门单位要对</w:t>
      </w:r>
      <w:r>
        <w:rPr>
          <w:rFonts w:hint="eastAsia" w:ascii="CESI仿宋-GB2312" w:hAnsi="CESI仿宋-GB2312" w:eastAsia="CESI仿宋-GB2312" w:cs="CESI仿宋-GB2312"/>
          <w:sz w:val="32"/>
          <w:szCs w:val="32"/>
          <w:lang w:eastAsia="zh-CN"/>
        </w:rPr>
        <w:t>照本方案提出的重点任务，梳理形成工作配档表，实时跟进推动，并将落实情况纳入政府信息公开工作年度报告予以公开，接受社会监督。</w:t>
      </w:r>
    </w:p>
    <w:p>
      <w:pPr>
        <w:keepNext w:val="0"/>
        <w:keepLines w:val="0"/>
        <w:pageBreakBefore w:val="0"/>
        <w:widowControl w:val="0"/>
        <w:kinsoku/>
        <w:wordWrap/>
        <w:overflowPunct/>
        <w:topLinePunct w:val="0"/>
        <w:autoSpaceDE/>
        <w:bidi w:val="0"/>
        <w:adjustRightInd/>
        <w:snapToGrid/>
        <w:spacing w:line="560" w:lineRule="exact"/>
        <w:jc w:val="both"/>
        <w:textAlignment w:val="auto"/>
        <w:rPr>
          <w:rFonts w:hint="eastAsia" w:ascii="CESI仿宋-GB2312" w:hAnsi="CESI仿宋-GB2312" w:eastAsia="CESI仿宋-GB2312" w:cs="CESI仿宋-GB2312"/>
          <w:sz w:val="32"/>
          <w:szCs w:val="32"/>
          <w:lang w:eastAsia="zh-CN"/>
        </w:rPr>
      </w:pP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附件：</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2024年临淄区政务公开重点工作分解表</w:t>
      </w:r>
    </w:p>
    <w:p>
      <w:pPr>
        <w:keepNext w:val="0"/>
        <w:keepLines w:val="0"/>
        <w:pageBreakBefore w:val="0"/>
        <w:widowControl w:val="0"/>
        <w:kinsoku/>
        <w:wordWrap/>
        <w:overflowPunct/>
        <w:topLinePunct w:val="0"/>
        <w:autoSpaceDE/>
        <w:bidi w:val="0"/>
        <w:adjustRightInd/>
        <w:snapToGrid/>
        <w:spacing w:line="560" w:lineRule="exact"/>
        <w:ind w:firstLine="640" w:firstLineChars="200"/>
        <w:jc w:val="both"/>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2.政府开放活动计划安排报送表</w:t>
      </w:r>
    </w:p>
    <w:p>
      <w:pPr>
        <w:keepNext w:val="0"/>
        <w:keepLines w:val="0"/>
        <w:pageBreakBefore w:val="0"/>
        <w:widowControl w:val="0"/>
        <w:kinsoku/>
        <w:wordWrap/>
        <w:overflowPunct/>
        <w:topLinePunct w:val="0"/>
        <w:autoSpaceDE/>
        <w:bidi w:val="0"/>
        <w:adjustRightInd/>
        <w:snapToGrid/>
        <w:spacing w:line="560" w:lineRule="exact"/>
        <w:jc w:val="both"/>
        <w:textAlignment w:val="auto"/>
        <w:rPr>
          <w:rFonts w:ascii="黑体" w:hAnsi="黑体" w:eastAsia="黑体"/>
          <w:sz w:val="32"/>
          <w:szCs w:val="32"/>
          <w:lang w:eastAsia="zh-CN"/>
        </w:rPr>
      </w:pPr>
    </w:p>
    <w:p/>
    <w:p/>
    <w:p/>
    <w:p/>
    <w:p/>
    <w:p/>
    <w:p/>
    <w:p/>
    <w:p/>
    <w:p/>
    <w:p/>
    <w:p/>
    <w:p/>
    <w:p/>
    <w:p/>
    <w:p/>
    <w:p/>
    <w:p/>
    <w:p/>
    <w:p/>
    <w:p/>
    <w:p/>
    <w:p/>
    <w:p/>
    <w:p/>
    <w:p/>
    <w:p/>
    <w:p/>
    <w:p/>
    <w:p/>
    <w:p/>
    <w:p/>
    <w:p/>
    <w:p/>
    <w:p>
      <w:pPr>
        <w:sectPr>
          <w:footerReference r:id="rId3" w:type="default"/>
          <w:footerReference r:id="rId4" w:type="even"/>
          <w:pgSz w:w="11910" w:h="16840"/>
          <w:pgMar w:top="2098" w:right="1474" w:bottom="1984" w:left="1587" w:header="0" w:footer="1020" w:gutter="0"/>
          <w:pgNumType w:fmt="decimal" w:start="1"/>
          <w:cols w:space="720" w:num="1"/>
        </w:sect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2024年临淄区政务公开重点工作分解表</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pacing w:val="-20"/>
          <w:sz w:val="21"/>
          <w:szCs w:val="21"/>
          <w:highlight w:val="none"/>
          <w:lang w:val="en-US" w:eastAsia="zh-CN"/>
        </w:rPr>
      </w:pPr>
    </w:p>
    <w:tbl>
      <w:tblPr>
        <w:tblStyle w:val="7"/>
        <w:tblW w:w="14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631"/>
        <w:gridCol w:w="1286"/>
        <w:gridCol w:w="856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trPr>
        <w:tc>
          <w:tcPr>
            <w:tcW w:w="737" w:type="dxa"/>
            <w:noWrap w:val="0"/>
            <w:vAlign w:val="center"/>
          </w:tcPr>
          <w:p>
            <w:pPr>
              <w:jc w:val="center"/>
              <w:rPr>
                <w:rFonts w:hint="eastAsia" w:ascii="黑体" w:hAnsi="黑体" w:eastAsia="黑体" w:cs="黑体"/>
                <w:b/>
                <w:bCs/>
                <w:sz w:val="21"/>
                <w:szCs w:val="21"/>
                <w:highlight w:val="none"/>
                <w:vertAlign w:val="baseline"/>
                <w:lang w:val="en-US" w:eastAsia="zh-CN"/>
              </w:rPr>
            </w:pPr>
            <w:r>
              <w:rPr>
                <w:rFonts w:hint="eastAsia" w:ascii="黑体" w:hAnsi="黑体" w:eastAsia="黑体" w:cs="黑体"/>
                <w:b/>
                <w:bCs/>
                <w:sz w:val="21"/>
                <w:szCs w:val="21"/>
                <w:highlight w:val="none"/>
                <w:vertAlign w:val="baseline"/>
                <w:lang w:val="en-US" w:eastAsia="zh-CN"/>
              </w:rPr>
              <w:t>序号</w:t>
            </w:r>
          </w:p>
        </w:tc>
        <w:tc>
          <w:tcPr>
            <w:tcW w:w="1917" w:type="dxa"/>
            <w:gridSpan w:val="2"/>
            <w:noWrap w:val="0"/>
            <w:vAlign w:val="center"/>
          </w:tcPr>
          <w:p>
            <w:pPr>
              <w:jc w:val="center"/>
              <w:rPr>
                <w:rFonts w:hint="eastAsia" w:ascii="黑体" w:hAnsi="黑体" w:eastAsia="黑体" w:cs="黑体"/>
                <w:b/>
                <w:bCs/>
                <w:sz w:val="21"/>
                <w:szCs w:val="21"/>
                <w:highlight w:val="none"/>
                <w:vertAlign w:val="baseline"/>
                <w:lang w:val="en-US" w:eastAsia="zh-CN"/>
              </w:rPr>
            </w:pPr>
            <w:r>
              <w:rPr>
                <w:rFonts w:hint="eastAsia" w:ascii="黑体" w:hAnsi="黑体" w:eastAsia="黑体" w:cs="黑体"/>
                <w:b/>
                <w:bCs/>
                <w:sz w:val="21"/>
                <w:szCs w:val="21"/>
                <w:highlight w:val="none"/>
                <w:vertAlign w:val="baseline"/>
                <w:lang w:val="en-US" w:eastAsia="zh-CN"/>
              </w:rPr>
              <w:t>工作任务</w:t>
            </w:r>
          </w:p>
        </w:tc>
        <w:tc>
          <w:tcPr>
            <w:tcW w:w="8569" w:type="dxa"/>
            <w:noWrap w:val="0"/>
            <w:vAlign w:val="center"/>
          </w:tcPr>
          <w:p>
            <w:pPr>
              <w:jc w:val="center"/>
              <w:rPr>
                <w:rFonts w:hint="eastAsia" w:ascii="黑体" w:hAnsi="黑体" w:eastAsia="黑体" w:cs="黑体"/>
                <w:b/>
                <w:bCs/>
                <w:sz w:val="21"/>
                <w:szCs w:val="21"/>
                <w:highlight w:val="none"/>
                <w:vertAlign w:val="baseline"/>
                <w:lang w:val="en-US" w:eastAsia="zh-CN"/>
              </w:rPr>
            </w:pPr>
            <w:r>
              <w:rPr>
                <w:rFonts w:hint="eastAsia" w:ascii="黑体" w:hAnsi="黑体" w:eastAsia="黑体" w:cs="黑体"/>
                <w:b/>
                <w:bCs/>
                <w:sz w:val="21"/>
                <w:szCs w:val="21"/>
                <w:highlight w:val="none"/>
                <w:vertAlign w:val="baseline"/>
                <w:lang w:val="en-US" w:eastAsia="zh-CN"/>
              </w:rPr>
              <w:t>工作要求</w:t>
            </w:r>
          </w:p>
        </w:tc>
        <w:tc>
          <w:tcPr>
            <w:tcW w:w="2835" w:type="dxa"/>
            <w:noWrap w:val="0"/>
            <w:vAlign w:val="center"/>
          </w:tcPr>
          <w:p>
            <w:pPr>
              <w:jc w:val="center"/>
              <w:rPr>
                <w:rFonts w:hint="eastAsia" w:ascii="黑体" w:hAnsi="黑体" w:eastAsia="黑体" w:cs="黑体"/>
                <w:b/>
                <w:bCs/>
                <w:sz w:val="21"/>
                <w:szCs w:val="21"/>
                <w:highlight w:val="none"/>
                <w:vertAlign w:val="baseline"/>
                <w:lang w:val="en-US" w:eastAsia="zh-CN"/>
              </w:rPr>
            </w:pPr>
            <w:r>
              <w:rPr>
                <w:rFonts w:hint="eastAsia" w:ascii="黑体" w:hAnsi="黑体" w:eastAsia="黑体" w:cs="黑体"/>
                <w:b/>
                <w:bCs/>
                <w:sz w:val="21"/>
                <w:szCs w:val="21"/>
                <w:highlight w:val="none"/>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以政务公开助推重点工作落实</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以公开助推高水平开放、高质量招商引资</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集成式公开招商引资、招才引智、动能转换、重点产业、支持企业发展等方面政策文件并做好宣传解读</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政府有关部门单位，</w:t>
            </w:r>
            <w:r>
              <w:rPr>
                <w:rFonts w:hint="eastAsia" w:ascii="宋体" w:hAnsi="宋体" w:eastAsia="宋体" w:cs="宋体"/>
                <w:b w:val="0"/>
                <w:bCs w:val="0"/>
                <w:color w:val="000000"/>
                <w:sz w:val="21"/>
                <w:szCs w:val="21"/>
                <w:highlight w:val="none"/>
                <w:vertAlign w:val="baseline"/>
                <w:lang w:val="en-US" w:eastAsia="zh-CN"/>
              </w:rPr>
              <w:t>各</w:t>
            </w:r>
            <w:r>
              <w:rPr>
                <w:rFonts w:hint="eastAsia" w:ascii="宋体" w:hAnsi="宋体" w:cs="宋体"/>
                <w:b w:val="0"/>
                <w:bCs w:val="0"/>
                <w:color w:val="00000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通过召开促进民间投资现场会、印发典型经验案例等多种方式，推广各地促进民间投资的好经验好做法，为民间投资健康发展创造良好氛围</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区发改局</w:t>
            </w:r>
            <w:r>
              <w:rPr>
                <w:rFonts w:hint="eastAsia" w:ascii="宋体" w:hAnsi="宋体" w:eastAsia="宋体" w:cs="宋体"/>
                <w:b w:val="0"/>
                <w:bCs w:val="0"/>
                <w:sz w:val="21"/>
                <w:szCs w:val="21"/>
                <w:highlight w:val="none"/>
                <w:vertAlign w:val="baseline"/>
                <w:lang w:val="en-US" w:eastAsia="zh-CN"/>
              </w:rPr>
              <w:t>，</w:t>
            </w:r>
            <w:r>
              <w:rPr>
                <w:rFonts w:hint="eastAsia" w:ascii="宋体" w:hAnsi="宋体" w:eastAsia="宋体" w:cs="宋体"/>
                <w:b w:val="0"/>
                <w:bCs w:val="0"/>
                <w:color w:val="000000"/>
                <w:sz w:val="21"/>
                <w:szCs w:val="21"/>
                <w:highlight w:val="none"/>
                <w:vertAlign w:val="baseline"/>
                <w:lang w:val="en-US" w:eastAsia="zh-CN"/>
              </w:rPr>
              <w:t>各</w:t>
            </w:r>
            <w:r>
              <w:rPr>
                <w:rFonts w:hint="eastAsia" w:ascii="宋体" w:hAnsi="宋体" w:cs="宋体"/>
                <w:b w:val="0"/>
                <w:bCs w:val="0"/>
                <w:color w:val="00000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扎实做好省“促进经济巩固向好、加快绿色低碳高质量发展”系列政策的</w:t>
            </w:r>
            <w:r>
              <w:rPr>
                <w:rFonts w:hint="eastAsia" w:ascii="宋体" w:hAnsi="宋体" w:cs="宋体"/>
                <w:b w:val="0"/>
                <w:bCs w:val="0"/>
                <w:sz w:val="21"/>
                <w:szCs w:val="21"/>
                <w:highlight w:val="none"/>
                <w:vertAlign w:val="baseline"/>
                <w:lang w:val="en-US" w:eastAsia="zh-CN"/>
              </w:rPr>
              <w:t>宣传贯彻</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区发改局</w:t>
            </w:r>
            <w:r>
              <w:rPr>
                <w:rFonts w:hint="eastAsia" w:ascii="宋体" w:hAnsi="宋体" w:eastAsia="宋体" w:cs="宋体"/>
                <w:b w:val="0"/>
                <w:bCs w:val="0"/>
                <w:sz w:val="21"/>
                <w:szCs w:val="21"/>
                <w:highlight w:val="none"/>
                <w:vertAlign w:val="baseline"/>
                <w:lang w:val="en-US" w:eastAsia="zh-CN"/>
              </w:rPr>
              <w:t>、</w:t>
            </w:r>
            <w:r>
              <w:rPr>
                <w:rFonts w:hint="eastAsia" w:ascii="宋体" w:hAnsi="宋体" w:cs="宋体"/>
                <w:b w:val="0"/>
                <w:bCs w:val="0"/>
                <w:sz w:val="21"/>
                <w:szCs w:val="21"/>
                <w:highlight w:val="none"/>
                <w:vertAlign w:val="baseline"/>
                <w:lang w:val="en-US" w:eastAsia="zh-CN"/>
              </w:rPr>
              <w:t>区工信局等相关部门单位，各镇、街道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全力做好国家重大战略、基础设施、防灾减灾、产业升级、民生保障等领域重大建设项目批准和实施信息公开</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政府有关部门单位，各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5</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围绕新能源汽车、绿色智能家电、特色医疗、健康养老、体育赛事、文娱旅游、住房改善等领域消费支持政策，做好信息发布和舆论引导工作</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6</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以公开助推社会治理精细化</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做好城市更新及相关配套政策的发布和解读，及时回应群众关切，全面引导公众参与，支持城市更新工作</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区住建局</w:t>
            </w:r>
            <w:r>
              <w:rPr>
                <w:rFonts w:hint="eastAsia" w:ascii="宋体" w:hAnsi="宋体" w:eastAsia="宋体" w:cs="宋体"/>
                <w:b w:val="0"/>
                <w:bCs w:val="0"/>
                <w:color w:val="000000"/>
                <w:sz w:val="21"/>
                <w:szCs w:val="21"/>
                <w:highlight w:val="none"/>
                <w:vertAlign w:val="baseline"/>
                <w:lang w:val="en-US" w:eastAsia="zh-CN"/>
              </w:rPr>
              <w:t>，各</w:t>
            </w:r>
            <w:r>
              <w:rPr>
                <w:rFonts w:hint="eastAsia" w:ascii="宋体" w:hAnsi="宋体" w:cs="宋体"/>
                <w:b w:val="0"/>
                <w:bCs w:val="0"/>
                <w:color w:val="00000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7</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围绕发展现代农业、宜居宜业和美乡村建设、促进农民增收致富、</w:t>
            </w:r>
            <w:r>
              <w:rPr>
                <w:rFonts w:hint="eastAsia" w:ascii="宋体" w:hAnsi="宋体" w:cs="宋体"/>
                <w:b w:val="0"/>
                <w:bCs w:val="0"/>
                <w:sz w:val="21"/>
                <w:szCs w:val="21"/>
                <w:highlight w:val="none"/>
                <w:vertAlign w:val="baseline"/>
                <w:lang w:val="en-US" w:eastAsia="zh-CN"/>
              </w:rPr>
              <w:t>数字农业、</w:t>
            </w:r>
            <w:r>
              <w:rPr>
                <w:rFonts w:hint="eastAsia" w:ascii="宋体" w:hAnsi="宋体" w:eastAsia="宋体" w:cs="宋体"/>
                <w:b w:val="0"/>
                <w:bCs w:val="0"/>
                <w:sz w:val="21"/>
                <w:szCs w:val="21"/>
                <w:highlight w:val="none"/>
                <w:vertAlign w:val="baseline"/>
                <w:lang w:val="en-US" w:eastAsia="zh-CN"/>
              </w:rPr>
              <w:t>数字乡村等方面，做好乡村振兴信息公开</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农业农村局，各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8</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聚焦乡村产业、乡村建设、乡村治理等关键领域，持续做好重要政策宣传发布</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9</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以政务公开助推重点工作落实</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以公开助推社会治理精细化</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稳步推进重大项目环评审批信息全过程公开</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临淄</w:t>
            </w:r>
            <w:r>
              <w:rPr>
                <w:rFonts w:hint="eastAsia" w:ascii="宋体" w:hAnsi="宋体" w:eastAsia="宋体" w:cs="宋体"/>
                <w:b w:val="0"/>
                <w:bCs w:val="0"/>
                <w:sz w:val="21"/>
                <w:szCs w:val="21"/>
                <w:highlight w:val="none"/>
                <w:vertAlign w:val="baseline"/>
                <w:lang w:val="en-US" w:eastAsia="zh-CN"/>
              </w:rPr>
              <w:t>生态环境</w:t>
            </w:r>
            <w:r>
              <w:rPr>
                <w:rFonts w:hint="eastAsia" w:ascii="宋体" w:hAnsi="宋体" w:cs="宋体"/>
                <w:b w:val="0"/>
                <w:bCs w:val="0"/>
                <w:sz w:val="21"/>
                <w:szCs w:val="21"/>
                <w:highlight w:val="none"/>
                <w:vertAlign w:val="baseline"/>
                <w:lang w:val="en-US" w:eastAsia="zh-CN"/>
              </w:rPr>
              <w:t>分</w:t>
            </w:r>
            <w:r>
              <w:rPr>
                <w:rFonts w:hint="eastAsia" w:ascii="宋体" w:hAnsi="宋体" w:eastAsia="宋体" w:cs="宋体"/>
                <w:b w:val="0"/>
                <w:bCs w:val="0"/>
                <w:sz w:val="21"/>
                <w:szCs w:val="21"/>
                <w:highlight w:val="none"/>
                <w:vertAlign w:val="baseline"/>
                <w:lang w:val="en-US" w:eastAsia="zh-CN"/>
              </w:rPr>
              <w:t>局，各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10</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及时发布全域“无废城市”相关工作动态，做好政策宣传引导</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区“无废城市”建设工作领导小组，各镇、街道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11</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充分运用各类媒体平台，强化生活垃圾分类宣传，营造良好舆论氛围。持续开展生活垃圾分类进机关、进学校、进企业、进社区、进市场、进乡村等宣传活动，推进垃圾分类宣传教育基地向社会公众开放，提高生活垃圾分类全民知晓率、参与率</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区综合行政执法</w:t>
            </w:r>
            <w:r>
              <w:rPr>
                <w:rFonts w:hint="eastAsia" w:ascii="宋体" w:hAnsi="宋体" w:eastAsia="宋体" w:cs="宋体"/>
                <w:b w:val="0"/>
                <w:bCs w:val="0"/>
                <w:sz w:val="21"/>
                <w:szCs w:val="21"/>
                <w:highlight w:val="none"/>
                <w:vertAlign w:val="baseline"/>
                <w:lang w:val="en-US" w:eastAsia="zh-CN"/>
              </w:rPr>
              <w:t>局，各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12</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围绕惠农资金补助发放等事项，通过分配结果公示与存档备查相结合的方式，加强对小微权力运行的监督</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农业农村局，各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13</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以公开助推人民群众生活品质提高</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围绕稳就业促增收，及时更新发布本地区就业创业政策清单，分类梳理面向高校毕业生、困难人员、退役军人等不同群体以及各类经营主体的政策举措</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人社局、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财政局</w:t>
            </w:r>
            <w:r>
              <w:rPr>
                <w:rFonts w:hint="eastAsia" w:ascii="宋体" w:hAnsi="宋体" w:cs="宋体"/>
                <w:b w:val="0"/>
                <w:bCs w:val="0"/>
                <w:sz w:val="21"/>
                <w:szCs w:val="21"/>
                <w:highlight w:val="none"/>
                <w:vertAlign w:val="baseline"/>
                <w:lang w:val="en-US" w:eastAsia="zh-CN"/>
              </w:rPr>
              <w:t>、区退役军人事务局，各镇、街道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14</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围绕推动大规模设备更新和消费品以旧换新，做好相关政策的宣传引导</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商务局</w:t>
            </w:r>
            <w:r>
              <w:rPr>
                <w:rFonts w:hint="eastAsia" w:ascii="宋体" w:hAnsi="宋体" w:cs="宋体"/>
                <w:b w:val="0"/>
                <w:bCs w:val="0"/>
                <w:sz w:val="21"/>
                <w:szCs w:val="21"/>
                <w:highlight w:val="none"/>
                <w:vertAlign w:val="baseline"/>
                <w:lang w:val="en-US" w:eastAsia="zh-CN"/>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15</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加大医疗卫生服务能力提升、乡村卫生服务体系建设、重大疾病和传染病防控、中医药传承创新发展等领域信息公开力度</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卫健</w:t>
            </w:r>
            <w:r>
              <w:rPr>
                <w:rFonts w:hint="eastAsia" w:ascii="宋体" w:hAnsi="宋体" w:cs="宋体"/>
                <w:b w:val="0"/>
                <w:bCs w:val="0"/>
                <w:sz w:val="21"/>
                <w:szCs w:val="21"/>
                <w:highlight w:val="none"/>
                <w:vertAlign w:val="baseline"/>
                <w:lang w:val="en-US" w:eastAsia="zh-CN"/>
              </w:rPr>
              <w:t>局，各镇、街道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16</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围绕满足居民刚性和改善性住房需求，做好“认房不认贷”“带押过户”“降低首付”“青年优居计划”等政策措施的宣传普及</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住建局</w:t>
            </w:r>
            <w:r>
              <w:rPr>
                <w:rFonts w:hint="eastAsia" w:ascii="宋体" w:hAnsi="宋体" w:cs="宋体"/>
                <w:b w:val="0"/>
                <w:bCs w:val="0"/>
                <w:sz w:val="21"/>
                <w:szCs w:val="21"/>
                <w:highlight w:val="none"/>
                <w:vertAlign w:val="baseline"/>
                <w:lang w:val="en-US" w:eastAsia="zh-CN"/>
              </w:rPr>
              <w:t>，各镇、街道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17</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持续推进义务教育、学前教育、特殊教育、职业教育、高等教育等方面的信息公开</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教</w:t>
            </w:r>
            <w:r>
              <w:rPr>
                <w:rFonts w:hint="eastAsia" w:ascii="宋体" w:hAnsi="宋体" w:cs="宋体"/>
                <w:b w:val="0"/>
                <w:bCs w:val="0"/>
                <w:sz w:val="21"/>
                <w:szCs w:val="21"/>
                <w:highlight w:val="none"/>
                <w:vertAlign w:val="baseline"/>
                <w:lang w:val="en-US" w:eastAsia="zh-CN"/>
              </w:rPr>
              <w:t>体</w:t>
            </w:r>
            <w:r>
              <w:rPr>
                <w:rFonts w:hint="eastAsia" w:ascii="宋体" w:hAnsi="宋体" w:eastAsia="宋体" w:cs="宋体"/>
                <w:b w:val="0"/>
                <w:bCs w:val="0"/>
                <w:sz w:val="21"/>
                <w:szCs w:val="21"/>
                <w:highlight w:val="none"/>
                <w:vertAlign w:val="baseline"/>
                <w:lang w:val="en-US" w:eastAsia="zh-CN"/>
              </w:rPr>
              <w:t>局，各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18</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加强“一老一小”服务保障有关政策推送，重点推送银发经济、养老服务机构建设运营、居民长期护理保险、托育服务供给、孤儿助学工程、“护佑健康”项目等支持政策和措施</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民政局、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教</w:t>
            </w:r>
            <w:r>
              <w:rPr>
                <w:rFonts w:hint="eastAsia" w:ascii="宋体" w:hAnsi="宋体" w:cs="宋体"/>
                <w:b w:val="0"/>
                <w:bCs w:val="0"/>
                <w:sz w:val="21"/>
                <w:szCs w:val="21"/>
                <w:highlight w:val="none"/>
                <w:vertAlign w:val="baseline"/>
                <w:lang w:val="en-US" w:eastAsia="zh-CN"/>
              </w:rPr>
              <w:t>体</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卫健</w:t>
            </w:r>
            <w:r>
              <w:rPr>
                <w:rFonts w:hint="eastAsia" w:ascii="宋体" w:hAnsi="宋体" w:cs="宋体"/>
                <w:b w:val="0"/>
                <w:bCs w:val="0"/>
                <w:sz w:val="21"/>
                <w:szCs w:val="21"/>
                <w:highlight w:val="none"/>
                <w:vertAlign w:val="baseline"/>
                <w:lang w:val="en-US" w:eastAsia="zh-CN"/>
              </w:rPr>
              <w:t>局、临淄医保分局，</w:t>
            </w:r>
            <w:r>
              <w:rPr>
                <w:rFonts w:hint="eastAsia" w:ascii="宋体" w:hAnsi="宋体" w:eastAsia="宋体" w:cs="宋体"/>
                <w:b w:val="0"/>
                <w:bCs w:val="0"/>
                <w:sz w:val="21"/>
                <w:szCs w:val="21"/>
                <w:highlight w:val="none"/>
                <w:vertAlign w:val="baseline"/>
                <w:lang w:val="en-US" w:eastAsia="zh-CN"/>
              </w:rPr>
              <w:t>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19</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动态调整并公开社会救助标准</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20</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加大物业、环卫、家政等从业群体社会保障信息公开力度，持续推动外卖骑手、网约车司机等新就业形态职业伤害保障试点工作进展情况公开</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政府有关部门单位，各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21</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以政务公开助推重点工作落实</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以公开助推监管效能提升</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加强行政机关权力配置信息公开，结合政府机构改革和职能优化，做好政府部门权责清单和机构职能信息的调整公开工作</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政府有关部门单位，各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22</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严格落实行政执法公示制度</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司法局牵头，各行政执法主体和各</w:t>
            </w:r>
            <w:r>
              <w:rPr>
                <w:rFonts w:hint="eastAsia" w:ascii="宋体" w:hAnsi="宋体" w:cs="宋体"/>
                <w:b w:val="0"/>
                <w:bCs w:val="0"/>
                <w:sz w:val="21"/>
                <w:szCs w:val="21"/>
                <w:highlight w:val="none"/>
                <w:vertAlign w:val="baseline"/>
                <w:lang w:val="en-US" w:eastAsia="zh-CN"/>
              </w:rPr>
              <w:t>镇、街道</w:t>
            </w:r>
            <w:r>
              <w:rPr>
                <w:rFonts w:hint="eastAsia" w:ascii="宋体" w:hAnsi="宋体" w:eastAsia="宋体" w:cs="宋体"/>
                <w:b w:val="0"/>
                <w:bCs w:val="0"/>
                <w:sz w:val="21"/>
                <w:szCs w:val="21"/>
                <w:highlight w:val="none"/>
                <w:vertAlign w:val="baseline"/>
                <w:lang w:val="en-US" w:eastAsia="zh-CN"/>
              </w:rPr>
              <w:t>具体落实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23</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规范公开行政事业性收费和政府性基金目录</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24</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规范公开招投标、公共资源配置等领域政府信息</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政府有关部门单位，各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25</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加强市场监管制度规则和标准的更新发布</w:t>
            </w:r>
            <w:r>
              <w:rPr>
                <w:rFonts w:hint="eastAsia" w:ascii="宋体" w:hAnsi="宋体" w:cs="宋体"/>
                <w:b w:val="0"/>
                <w:bCs w:val="0"/>
                <w:sz w:val="21"/>
                <w:szCs w:val="21"/>
                <w:highlight w:val="none"/>
                <w:vertAlign w:val="baseline"/>
                <w:lang w:val="en-US" w:eastAsia="zh-CN"/>
              </w:rPr>
              <w:t>与</w:t>
            </w:r>
            <w:r>
              <w:rPr>
                <w:rFonts w:hint="eastAsia" w:ascii="宋体" w:hAnsi="宋体" w:eastAsia="宋体" w:cs="宋体"/>
                <w:b w:val="0"/>
                <w:bCs w:val="0"/>
                <w:sz w:val="21"/>
                <w:szCs w:val="21"/>
                <w:highlight w:val="none"/>
                <w:vertAlign w:val="baseline"/>
                <w:lang w:val="en-US" w:eastAsia="zh-CN"/>
              </w:rPr>
              <w:t>解读，提高监管透明度</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市场监管局，各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26</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加强各级行业主管部门对公共企事业单位的监管，推进信息公开与业务工作深度融合</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教</w:t>
            </w:r>
            <w:r>
              <w:rPr>
                <w:rFonts w:hint="eastAsia" w:ascii="宋体" w:hAnsi="宋体" w:cs="宋体"/>
                <w:b w:val="0"/>
                <w:bCs w:val="0"/>
                <w:sz w:val="21"/>
                <w:szCs w:val="21"/>
                <w:highlight w:val="none"/>
                <w:vertAlign w:val="baseline"/>
                <w:lang w:val="en-US" w:eastAsia="zh-CN"/>
              </w:rPr>
              <w:t>体</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住建局、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水利局、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卫健</w:t>
            </w:r>
            <w:r>
              <w:rPr>
                <w:rFonts w:hint="eastAsia" w:ascii="宋体" w:hAnsi="宋体" w:cs="宋体"/>
                <w:b w:val="0"/>
                <w:bCs w:val="0"/>
                <w:sz w:val="21"/>
                <w:szCs w:val="21"/>
                <w:highlight w:val="none"/>
                <w:vertAlign w:val="baseli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27</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pacing w:val="-11"/>
                <w:sz w:val="21"/>
                <w:szCs w:val="21"/>
                <w:highlight w:val="none"/>
                <w:vertAlign w:val="baseline"/>
                <w:lang w:val="en-US" w:eastAsia="zh-CN"/>
              </w:rPr>
              <w:t>针对各领域公共企事业单位线上线下公开平台的不同特点，分别探索制定公开平台建设指南或规范</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28</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逐步扩大公共企事业单位信息公开适用领域，探索建立各领域统一的行业性信息公开平台和咨询窗口，科学合理确定公开内容</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29</w:t>
            </w:r>
          </w:p>
        </w:tc>
        <w:tc>
          <w:tcPr>
            <w:tcW w:w="6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做好政策公开与解读回应</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提升政策集中发布质效</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强化政策集成供给，选取部分企业群众关注度高、办事需求大、政策体量大的领域，实施跨层级、跨部门的政策集成式发布和一站式公开，最大限度利企便民</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w:t>
            </w:r>
            <w:r>
              <w:rPr>
                <w:rFonts w:hint="eastAsia" w:ascii="宋体" w:hAnsi="宋体" w:cs="宋体"/>
                <w:b w:val="0"/>
                <w:bCs w:val="0"/>
                <w:sz w:val="21"/>
                <w:szCs w:val="21"/>
                <w:highlight w:val="none"/>
                <w:vertAlign w:val="baseline"/>
                <w:lang w:val="en-US" w:eastAsia="zh-CN"/>
              </w:rPr>
              <w:t>各</w:t>
            </w:r>
            <w:r>
              <w:rPr>
                <w:rFonts w:hint="eastAsia" w:ascii="宋体" w:hAnsi="宋体" w:eastAsia="宋体" w:cs="宋体"/>
                <w:b w:val="0"/>
                <w:bCs w:val="0"/>
                <w:sz w:val="21"/>
                <w:szCs w:val="21"/>
                <w:highlight w:val="none"/>
                <w:vertAlign w:val="baseline"/>
                <w:lang w:val="en-US" w:eastAsia="zh-CN"/>
              </w:rPr>
              <w:t>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30</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探索运用大数据、人工智能等信息技术优化政策</w:t>
            </w:r>
            <w:r>
              <w:rPr>
                <w:rFonts w:hint="eastAsia" w:ascii="宋体" w:hAnsi="宋体" w:cs="宋体"/>
                <w:b w:val="0"/>
                <w:bCs w:val="0"/>
                <w:sz w:val="21"/>
                <w:szCs w:val="21"/>
                <w:highlight w:val="none"/>
                <w:vertAlign w:val="baseline"/>
                <w:lang w:val="en-US" w:eastAsia="zh-CN"/>
              </w:rPr>
              <w:t>“</w:t>
            </w:r>
            <w:r>
              <w:rPr>
                <w:rFonts w:hint="eastAsia" w:ascii="宋体" w:hAnsi="宋体" w:eastAsia="宋体" w:cs="宋体"/>
                <w:b w:val="0"/>
                <w:bCs w:val="0"/>
                <w:sz w:val="21"/>
                <w:szCs w:val="21"/>
                <w:highlight w:val="none"/>
                <w:vertAlign w:val="baseline"/>
                <w:lang w:val="en-US" w:eastAsia="zh-CN"/>
              </w:rPr>
              <w:t>点对点</w:t>
            </w:r>
            <w:r>
              <w:rPr>
                <w:rFonts w:hint="eastAsia" w:ascii="宋体" w:hAnsi="宋体" w:cs="宋体"/>
                <w:b w:val="0"/>
                <w:bCs w:val="0"/>
                <w:sz w:val="21"/>
                <w:szCs w:val="21"/>
                <w:highlight w:val="none"/>
                <w:vertAlign w:val="baseline"/>
                <w:lang w:val="en-US" w:eastAsia="zh-CN"/>
              </w:rPr>
              <w:t>”</w:t>
            </w:r>
            <w:r>
              <w:rPr>
                <w:rFonts w:hint="eastAsia" w:ascii="宋体" w:hAnsi="宋体" w:eastAsia="宋体" w:cs="宋体"/>
                <w:b w:val="0"/>
                <w:bCs w:val="0"/>
                <w:sz w:val="21"/>
                <w:szCs w:val="21"/>
                <w:highlight w:val="none"/>
                <w:vertAlign w:val="baseline"/>
                <w:lang w:val="en-US" w:eastAsia="zh-CN"/>
              </w:rPr>
              <w:t>推送，实现政策场景化展示和精准化、个性化推送，确保政策直达基层、直达企业、直达群众</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31</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pacing w:val="-11"/>
                <w:sz w:val="21"/>
                <w:szCs w:val="21"/>
                <w:highlight w:val="none"/>
                <w:vertAlign w:val="baseline"/>
                <w:lang w:val="en-US" w:eastAsia="zh-CN"/>
              </w:rPr>
              <w:t>统筹推进各级政策集中发布窗口建设，强化政府网站政策数据同源管理，提升政策公开质量和效率</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政府办公室，各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32</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以行政规范性文件为重点，加强已公开政策的信息管理，根据立改废情况动态更新，以公开的准确性保障执行的准确性</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w:t>
            </w:r>
            <w:r>
              <w:rPr>
                <w:rFonts w:hint="eastAsia" w:ascii="宋体" w:hAnsi="宋体" w:cs="宋体"/>
                <w:b w:val="0"/>
                <w:bCs w:val="0"/>
                <w:sz w:val="21"/>
                <w:szCs w:val="21"/>
                <w:highlight w:val="none"/>
                <w:vertAlign w:val="baseline"/>
                <w:lang w:val="en-US" w:eastAsia="zh-CN"/>
              </w:rPr>
              <w:t>各</w:t>
            </w:r>
            <w:r>
              <w:rPr>
                <w:rFonts w:hint="eastAsia" w:ascii="宋体" w:hAnsi="宋体" w:eastAsia="宋体" w:cs="宋体"/>
                <w:b w:val="0"/>
                <w:bCs w:val="0"/>
                <w:sz w:val="21"/>
                <w:szCs w:val="21"/>
                <w:highlight w:val="none"/>
                <w:vertAlign w:val="baseline"/>
                <w:lang w:val="en-US" w:eastAsia="zh-CN"/>
              </w:rPr>
              <w:t>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color w:val="000000"/>
                <w:kern w:val="0"/>
                <w:sz w:val="21"/>
                <w:szCs w:val="21"/>
                <w:highlight w:val="none"/>
                <w:u w:val="none"/>
                <w:lang w:val="en-US" w:eastAsia="zh-CN" w:bidi="ar"/>
              </w:rPr>
              <w:t>33</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加快推进政府公报数字化转型，稳步扩大网络版政府公报适用范围</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34</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做好政策公开与解读回应</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持续加大政策解读力度</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准确把握政策解读工作重点，聚焦扩大有效需求、培育和发展新质生产力、数字经济发展、重点领域改革、高水平开放、高质量招商引资、乡村振兴、新型城镇化建设、降碳减污扩绿、保障改善民生等方面政策，开展深入解读，加速释放政策红利</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w:t>
            </w:r>
            <w:r>
              <w:rPr>
                <w:rFonts w:hint="eastAsia" w:ascii="宋体" w:hAnsi="宋体" w:cs="宋体"/>
                <w:b w:val="0"/>
                <w:bCs w:val="0"/>
                <w:sz w:val="21"/>
                <w:szCs w:val="21"/>
                <w:highlight w:val="none"/>
                <w:vertAlign w:val="baseline"/>
                <w:lang w:val="en-US" w:eastAsia="zh-CN"/>
              </w:rPr>
              <w:t>各</w:t>
            </w:r>
            <w:r>
              <w:rPr>
                <w:rFonts w:hint="eastAsia" w:ascii="宋体" w:hAnsi="宋体" w:eastAsia="宋体" w:cs="宋体"/>
                <w:b w:val="0"/>
                <w:bCs w:val="0"/>
                <w:color w:val="000000"/>
                <w:sz w:val="21"/>
                <w:szCs w:val="21"/>
                <w:highlight w:val="none"/>
                <w:vertAlign w:val="baseline"/>
                <w:lang w:val="en-US" w:eastAsia="zh-CN"/>
              </w:rPr>
              <w:t>部门单位</w:t>
            </w:r>
            <w:r>
              <w:rPr>
                <w:rFonts w:hint="eastAsia" w:ascii="宋体" w:hAnsi="宋体" w:eastAsia="宋体" w:cs="宋体"/>
                <w:b w:val="0"/>
                <w:bCs w:val="0"/>
                <w:sz w:val="21"/>
                <w:szCs w:val="21"/>
                <w:highlight w:val="none"/>
                <w:vertAlign w:val="baseline"/>
                <w:lang w:val="en-US" w:eastAsia="zh-CN"/>
              </w:rPr>
              <w:t>，各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35</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充分收集政府网站、政务服务大厅、12345政务服务便民热线等渠道反映的企业群众诉求，对政策中与企业群众生产生活密切相关的具体条款和事项，进行要点拆分、深度解读和综合指引，不断丰富解读内容，提高解读质量</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36</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涉及办事服务的政策性文件，要确保政策解读内容与实际办事要求一致</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37</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充分发挥部门主要负责人、政策参与制定者和熟悉有关业务</w:t>
            </w:r>
            <w:r>
              <w:rPr>
                <w:rFonts w:hint="eastAsia" w:ascii="宋体" w:hAnsi="宋体" w:cs="宋体"/>
                <w:b w:val="0"/>
                <w:bCs w:val="0"/>
                <w:sz w:val="21"/>
                <w:szCs w:val="21"/>
                <w:highlight w:val="none"/>
                <w:vertAlign w:val="baseline"/>
                <w:lang w:val="en-US" w:eastAsia="zh-CN"/>
              </w:rPr>
              <w:t>的</w:t>
            </w:r>
            <w:r>
              <w:rPr>
                <w:rFonts w:hint="eastAsia" w:ascii="宋体" w:hAnsi="宋体" w:eastAsia="宋体" w:cs="宋体"/>
                <w:b w:val="0"/>
                <w:bCs w:val="0"/>
                <w:sz w:val="21"/>
                <w:szCs w:val="21"/>
                <w:highlight w:val="none"/>
                <w:vertAlign w:val="baseline"/>
                <w:lang w:val="en-US" w:eastAsia="zh-CN"/>
              </w:rPr>
              <w:t>专家学者、专业机构从业人员、新闻评论员、媒体记者等作用，综合运用政策吹风会或新闻发布会、媒体互动直播、现场集中宣讲、撰写评论文章等方式多角度全方位开展解读</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38</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深化政民互动与公众参与</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深化重大决策公众参与</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深入落实重大决策公众参与程序，进一步完善意见征集、采纳、反馈等工作机制</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39</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制定涉及重大公共利益的政策，除依法应当保密外，应通过征求意见、听证座谈、实地走访、民意调查等方式扩大公众参与</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40</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制定涉企政策要主动听取相关企业、行业协会商会的意见</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41</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探索建立政务公开监督员制度，聘请专家学者、公众代表、企业法人、律师、教师、人大代表、政协委员、民主党派人士等作为监督员，积极向政务公开工作机构反馈企业群众的意见建议</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42</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继续推进邀请利益相关方、公众代表、</w:t>
            </w:r>
            <w:r>
              <w:rPr>
                <w:rFonts w:hint="eastAsia" w:ascii="宋体" w:hAnsi="宋体" w:eastAsia="宋体" w:cs="宋体"/>
                <w:b w:val="0"/>
                <w:bCs w:val="0"/>
                <w:sz w:val="21"/>
                <w:szCs w:val="21"/>
                <w:highlight w:val="none"/>
                <w:vertAlign w:val="baseline"/>
                <w:lang w:val="en" w:eastAsia="zh-CN"/>
              </w:rPr>
              <w:t>专家、媒体</w:t>
            </w:r>
            <w:r>
              <w:rPr>
                <w:rFonts w:hint="eastAsia" w:ascii="宋体" w:hAnsi="宋体" w:eastAsia="宋体" w:cs="宋体"/>
                <w:b w:val="0"/>
                <w:bCs w:val="0"/>
                <w:sz w:val="21"/>
                <w:szCs w:val="21"/>
                <w:highlight w:val="none"/>
                <w:vertAlign w:val="baseline"/>
                <w:lang w:val="en-US" w:eastAsia="zh-CN"/>
              </w:rPr>
              <w:t>等列席政府有关会议工作，列席代表的意见发表和采纳情况要向社会公开</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43</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深化政民互动与公众参与</w:t>
            </w:r>
          </w:p>
        </w:tc>
        <w:tc>
          <w:tcPr>
            <w:tcW w:w="1286" w:type="dxa"/>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深化重大决策公众参与</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常态化开展政策评价，选取本单位重点政策，进行实施效果评价，全面掌握政策落实情况，制定政策性文件的部门原则上每年至少开展2次专题性政策评价工作。要深入分析政策评价结果，适时转化为调整政策制定的措施，年底前将评价结果和运用情况向社会公开</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w:t>
            </w:r>
            <w:r>
              <w:rPr>
                <w:rFonts w:hint="eastAsia" w:ascii="宋体" w:hAnsi="宋体" w:cs="宋体"/>
                <w:b w:val="0"/>
                <w:bCs w:val="0"/>
                <w:sz w:val="21"/>
                <w:szCs w:val="21"/>
                <w:highlight w:val="none"/>
                <w:vertAlign w:val="baseline"/>
                <w:lang w:val="en-US" w:eastAsia="zh-CN"/>
              </w:rPr>
              <w:t>各</w:t>
            </w:r>
            <w:r>
              <w:rPr>
                <w:rFonts w:hint="eastAsia" w:ascii="宋体" w:hAnsi="宋体" w:eastAsia="宋体" w:cs="宋体"/>
                <w:b w:val="0"/>
                <w:bCs w:val="0"/>
                <w:sz w:val="21"/>
                <w:szCs w:val="21"/>
                <w:highlight w:val="none"/>
                <w:vertAlign w:val="baseline"/>
                <w:lang w:val="en-US" w:eastAsia="zh-CN"/>
              </w:rPr>
              <w:t>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44</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增强政民互动交流实效</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各部门单位要通过多种形式常态化开展政府开放活动，让公众了解政府工作，反映意见诉求。鼓励以公开征集意见的方式确定活动主题和场次，推动政府开放活动常态化</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政府各部门单位</w:t>
            </w:r>
            <w:r>
              <w:rPr>
                <w:rFonts w:hint="eastAsia" w:ascii="宋体" w:hAnsi="宋体" w:cs="宋体"/>
                <w:b w:val="0"/>
                <w:bCs w:val="0"/>
                <w:sz w:val="21"/>
                <w:szCs w:val="21"/>
                <w:highlight w:val="none"/>
                <w:vertAlign w:val="baseline"/>
                <w:lang w:val="en-US" w:eastAsia="zh-CN"/>
              </w:rPr>
              <w:t>，</w:t>
            </w:r>
            <w:r>
              <w:rPr>
                <w:rFonts w:hint="eastAsia" w:ascii="宋体" w:hAnsi="宋体" w:eastAsia="宋体" w:cs="宋体"/>
                <w:b w:val="0"/>
                <w:bCs w:val="0"/>
                <w:sz w:val="21"/>
                <w:szCs w:val="21"/>
                <w:highlight w:val="none"/>
                <w:vertAlign w:val="baseline"/>
                <w:lang w:val="en-US" w:eastAsia="zh-CN"/>
              </w:rPr>
              <w:t>特别是与宏观经济和民生关系密切的</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直部门（</w:t>
            </w:r>
            <w:r>
              <w:rPr>
                <w:rFonts w:hint="eastAsia" w:ascii="宋体" w:hAnsi="宋体" w:cs="宋体"/>
                <w:b w:val="0"/>
                <w:bCs w:val="0"/>
                <w:sz w:val="21"/>
                <w:szCs w:val="21"/>
                <w:highlight w:val="none"/>
                <w:vertAlign w:val="baseline"/>
                <w:lang w:val="en-US" w:eastAsia="zh-CN"/>
              </w:rPr>
              <w:t>区发改局</w:t>
            </w:r>
            <w:r>
              <w:rPr>
                <w:rFonts w:hint="eastAsia" w:ascii="宋体" w:hAnsi="宋体" w:eastAsia="宋体" w:cs="宋体"/>
                <w:b w:val="0"/>
                <w:bCs w:val="0"/>
                <w:sz w:val="21"/>
                <w:szCs w:val="21"/>
                <w:highlight w:val="none"/>
                <w:vertAlign w:val="baseline"/>
                <w:lang w:val="en-US" w:eastAsia="zh-CN"/>
              </w:rPr>
              <w:t>、</w:t>
            </w:r>
            <w:r>
              <w:rPr>
                <w:rFonts w:hint="eastAsia" w:ascii="宋体" w:hAnsi="宋体" w:cs="宋体"/>
                <w:b w:val="0"/>
                <w:bCs w:val="0"/>
                <w:sz w:val="21"/>
                <w:szCs w:val="21"/>
                <w:highlight w:val="none"/>
                <w:vertAlign w:val="baseline"/>
                <w:lang w:val="en-US" w:eastAsia="zh-CN"/>
              </w:rPr>
              <w:t>区教体</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科技局、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工信局、</w:t>
            </w:r>
            <w:r>
              <w:rPr>
                <w:rFonts w:hint="eastAsia" w:ascii="宋体" w:hAnsi="宋体" w:cs="宋体"/>
                <w:b w:val="0"/>
                <w:bCs w:val="0"/>
                <w:sz w:val="21"/>
                <w:szCs w:val="21"/>
                <w:highlight w:val="none"/>
                <w:vertAlign w:val="baseline"/>
                <w:lang w:val="en-US" w:eastAsia="zh-CN"/>
              </w:rPr>
              <w:t>临淄</w:t>
            </w:r>
            <w:r>
              <w:rPr>
                <w:rFonts w:hint="eastAsia" w:ascii="宋体" w:hAnsi="宋体" w:eastAsia="宋体" w:cs="宋体"/>
                <w:b w:val="0"/>
                <w:bCs w:val="0"/>
                <w:sz w:val="21"/>
                <w:szCs w:val="21"/>
                <w:highlight w:val="none"/>
                <w:vertAlign w:val="baseline"/>
                <w:lang w:val="en-US" w:eastAsia="zh-CN"/>
              </w:rPr>
              <w:t>公安</w:t>
            </w:r>
            <w:r>
              <w:rPr>
                <w:rFonts w:hint="eastAsia" w:ascii="宋体" w:hAnsi="宋体" w:cs="宋体"/>
                <w:b w:val="0"/>
                <w:bCs w:val="0"/>
                <w:sz w:val="21"/>
                <w:szCs w:val="21"/>
                <w:highlight w:val="none"/>
                <w:vertAlign w:val="baseline"/>
                <w:lang w:val="en-US" w:eastAsia="zh-CN"/>
              </w:rPr>
              <w:t>分</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民政局、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财政局、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人社</w:t>
            </w:r>
            <w:r>
              <w:rPr>
                <w:rFonts w:hint="eastAsia" w:ascii="宋体" w:hAnsi="宋体" w:cs="宋体"/>
                <w:b w:val="0"/>
                <w:bCs w:val="0"/>
                <w:sz w:val="21"/>
                <w:szCs w:val="21"/>
                <w:highlight w:val="none"/>
                <w:vertAlign w:val="baseline"/>
                <w:lang w:val="en-US" w:eastAsia="zh-CN"/>
              </w:rPr>
              <w:t>局</w:t>
            </w:r>
            <w:r>
              <w:rPr>
                <w:rFonts w:hint="eastAsia" w:ascii="宋体" w:hAnsi="宋体" w:eastAsia="宋体" w:cs="宋体"/>
                <w:b w:val="0"/>
                <w:bCs w:val="0"/>
                <w:sz w:val="21"/>
                <w:szCs w:val="21"/>
                <w:highlight w:val="none"/>
                <w:vertAlign w:val="baseline"/>
                <w:lang w:val="en-US" w:eastAsia="zh-CN"/>
              </w:rPr>
              <w:t>、</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自然资源局、</w:t>
            </w:r>
            <w:r>
              <w:rPr>
                <w:rFonts w:hint="eastAsia" w:ascii="宋体" w:hAnsi="宋体" w:cs="宋体"/>
                <w:b w:val="0"/>
                <w:bCs w:val="0"/>
                <w:sz w:val="21"/>
                <w:szCs w:val="21"/>
                <w:highlight w:val="none"/>
                <w:vertAlign w:val="baseline"/>
                <w:lang w:val="en-US" w:eastAsia="zh-CN"/>
              </w:rPr>
              <w:t>临淄</w:t>
            </w:r>
            <w:r>
              <w:rPr>
                <w:rFonts w:hint="eastAsia" w:ascii="宋体" w:hAnsi="宋体" w:eastAsia="宋体" w:cs="宋体"/>
                <w:b w:val="0"/>
                <w:bCs w:val="0"/>
                <w:sz w:val="21"/>
                <w:szCs w:val="21"/>
                <w:highlight w:val="none"/>
                <w:vertAlign w:val="baseline"/>
                <w:lang w:val="en-US" w:eastAsia="zh-CN"/>
              </w:rPr>
              <w:t>生态环境</w:t>
            </w:r>
            <w:r>
              <w:rPr>
                <w:rFonts w:hint="eastAsia" w:ascii="宋体" w:hAnsi="宋体" w:cs="宋体"/>
                <w:b w:val="0"/>
                <w:bCs w:val="0"/>
                <w:sz w:val="21"/>
                <w:szCs w:val="21"/>
                <w:highlight w:val="none"/>
                <w:vertAlign w:val="baseline"/>
                <w:lang w:val="en-US" w:eastAsia="zh-CN"/>
              </w:rPr>
              <w:t>分</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住建局、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交通运输局、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水利局、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农业农村局、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商务局、</w:t>
            </w:r>
            <w:r>
              <w:rPr>
                <w:rFonts w:hint="eastAsia" w:ascii="宋体" w:hAnsi="宋体" w:cs="宋体"/>
                <w:b w:val="0"/>
                <w:bCs w:val="0"/>
                <w:sz w:val="21"/>
                <w:szCs w:val="21"/>
                <w:highlight w:val="none"/>
                <w:vertAlign w:val="baseline"/>
                <w:lang w:val="en-US" w:eastAsia="zh-CN"/>
              </w:rPr>
              <w:t>区文化和旅游</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卫健</w:t>
            </w:r>
            <w:r>
              <w:rPr>
                <w:rFonts w:hint="eastAsia" w:ascii="宋体" w:hAnsi="宋体" w:cs="宋体"/>
                <w:b w:val="0"/>
                <w:bCs w:val="0"/>
                <w:sz w:val="21"/>
                <w:szCs w:val="21"/>
                <w:highlight w:val="none"/>
                <w:vertAlign w:val="baseline"/>
                <w:lang w:val="en-US" w:eastAsia="zh-CN"/>
              </w:rPr>
              <w:t>局</w:t>
            </w:r>
            <w:r>
              <w:rPr>
                <w:rFonts w:hint="eastAsia" w:ascii="宋体" w:hAnsi="宋体" w:eastAsia="宋体" w:cs="宋体"/>
                <w:b w:val="0"/>
                <w:bCs w:val="0"/>
                <w:sz w:val="21"/>
                <w:szCs w:val="21"/>
                <w:highlight w:val="none"/>
                <w:vertAlign w:val="baseline"/>
                <w:lang w:val="en-US" w:eastAsia="zh-CN"/>
              </w:rPr>
              <w:t>、</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应急</w:t>
            </w:r>
            <w:r>
              <w:rPr>
                <w:rFonts w:hint="eastAsia" w:ascii="宋体" w:hAnsi="宋体" w:cs="宋体"/>
                <w:b w:val="0"/>
                <w:bCs w:val="0"/>
                <w:sz w:val="21"/>
                <w:szCs w:val="21"/>
                <w:highlight w:val="none"/>
                <w:vertAlign w:val="baseline"/>
                <w:lang w:val="en-US" w:eastAsia="zh-CN"/>
              </w:rPr>
              <w:t>管理</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行政审批局、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市场监管局、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统计局、</w:t>
            </w:r>
            <w:r>
              <w:rPr>
                <w:rFonts w:hint="eastAsia" w:ascii="宋体" w:hAnsi="宋体" w:cs="宋体"/>
                <w:b w:val="0"/>
                <w:bCs w:val="0"/>
                <w:sz w:val="21"/>
                <w:szCs w:val="21"/>
                <w:highlight w:val="none"/>
                <w:vertAlign w:val="baseline"/>
                <w:lang w:val="en-US" w:eastAsia="zh-CN"/>
              </w:rPr>
              <w:t>临淄</w:t>
            </w:r>
            <w:r>
              <w:rPr>
                <w:rFonts w:hint="eastAsia" w:ascii="宋体" w:hAnsi="宋体" w:eastAsia="宋体" w:cs="宋体"/>
                <w:b w:val="0"/>
                <w:bCs w:val="0"/>
                <w:sz w:val="21"/>
                <w:szCs w:val="21"/>
                <w:highlight w:val="none"/>
                <w:vertAlign w:val="baseline"/>
                <w:lang w:val="en-US" w:eastAsia="zh-CN"/>
              </w:rPr>
              <w:t>医保</w:t>
            </w:r>
            <w:r>
              <w:rPr>
                <w:rFonts w:hint="eastAsia" w:ascii="宋体" w:hAnsi="宋体" w:cs="宋体"/>
                <w:b w:val="0"/>
                <w:bCs w:val="0"/>
                <w:sz w:val="21"/>
                <w:szCs w:val="21"/>
                <w:highlight w:val="none"/>
                <w:vertAlign w:val="baseline"/>
                <w:lang w:val="en-US" w:eastAsia="zh-CN"/>
              </w:rPr>
              <w:t>分</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区综合行政执法</w:t>
            </w:r>
            <w:r>
              <w:rPr>
                <w:rFonts w:hint="eastAsia" w:ascii="宋体" w:hAnsi="宋体" w:eastAsia="宋体" w:cs="宋体"/>
                <w:b w:val="0"/>
                <w:bCs w:val="0"/>
                <w:sz w:val="21"/>
                <w:szCs w:val="21"/>
                <w:highlight w:val="none"/>
                <w:vertAlign w:val="baseline"/>
                <w:lang w:val="en-US" w:eastAsia="zh-CN"/>
              </w:rPr>
              <w:t>局），各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45</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区政府</w:t>
            </w:r>
            <w:r>
              <w:rPr>
                <w:rFonts w:hint="eastAsia" w:ascii="宋体" w:hAnsi="宋体" w:eastAsia="宋体" w:cs="宋体"/>
                <w:b w:val="0"/>
                <w:bCs w:val="0"/>
                <w:sz w:val="21"/>
                <w:szCs w:val="21"/>
                <w:highlight w:val="none"/>
                <w:vertAlign w:val="baseline"/>
                <w:lang w:val="en-US" w:eastAsia="zh-CN"/>
              </w:rPr>
              <w:t>各部门单位政府开放活动计划安排</w:t>
            </w:r>
            <w:r>
              <w:rPr>
                <w:rFonts w:hint="eastAsia" w:ascii="宋体" w:hAnsi="宋体" w:cs="宋体"/>
                <w:b w:val="0"/>
                <w:bCs w:val="0"/>
                <w:sz w:val="21"/>
                <w:szCs w:val="21"/>
                <w:highlight w:val="none"/>
                <w:vertAlign w:val="baseline"/>
                <w:lang w:val="en-US" w:eastAsia="zh-CN"/>
              </w:rPr>
              <w:t>按附件2要求</w:t>
            </w:r>
            <w:r>
              <w:rPr>
                <w:rFonts w:hint="eastAsia" w:ascii="宋体" w:hAnsi="宋体" w:eastAsia="宋体" w:cs="宋体"/>
                <w:b w:val="0"/>
                <w:bCs w:val="0"/>
                <w:sz w:val="21"/>
                <w:szCs w:val="21"/>
                <w:highlight w:val="none"/>
                <w:vertAlign w:val="baseline"/>
                <w:lang w:val="en-US" w:eastAsia="zh-CN"/>
              </w:rPr>
              <w:t>于6月</w:t>
            </w:r>
            <w:r>
              <w:rPr>
                <w:rFonts w:hint="eastAsia" w:ascii="宋体" w:hAnsi="宋体" w:cs="宋体"/>
                <w:b w:val="0"/>
                <w:bCs w:val="0"/>
                <w:sz w:val="21"/>
                <w:szCs w:val="21"/>
                <w:highlight w:val="none"/>
                <w:vertAlign w:val="baseline"/>
                <w:lang w:val="en-US" w:eastAsia="zh-CN"/>
              </w:rPr>
              <w:t>28</w:t>
            </w:r>
            <w:r>
              <w:rPr>
                <w:rFonts w:hint="eastAsia" w:ascii="宋体" w:hAnsi="宋体" w:eastAsia="宋体" w:cs="宋体"/>
                <w:b w:val="0"/>
                <w:bCs w:val="0"/>
                <w:sz w:val="21"/>
                <w:szCs w:val="21"/>
                <w:highlight w:val="none"/>
                <w:vertAlign w:val="baseline"/>
                <w:lang w:val="en-US" w:eastAsia="zh-CN"/>
              </w:rPr>
              <w:t>日前报</w:t>
            </w:r>
            <w:r>
              <w:rPr>
                <w:rFonts w:hint="eastAsia" w:ascii="宋体" w:hAnsi="宋体" w:cs="宋体"/>
                <w:b w:val="0"/>
                <w:bCs w:val="0"/>
                <w:sz w:val="21"/>
                <w:szCs w:val="21"/>
                <w:highlight w:val="none"/>
                <w:vertAlign w:val="baseline"/>
                <w:lang w:val="en-US" w:eastAsia="zh-CN"/>
              </w:rPr>
              <w:t>区政府政务公开办备案（本年度已开展政府开放活动的，仅报送活动开展情况）</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46</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各部门单位政府开放活动开展情况于活动开展后5个工作日内报本级政务公开主管部门备案</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w:t>
            </w:r>
            <w:r>
              <w:rPr>
                <w:rFonts w:hint="eastAsia" w:ascii="宋体" w:hAnsi="宋体" w:cs="宋体"/>
                <w:i w:val="0"/>
                <w:color w:val="000000"/>
                <w:kern w:val="0"/>
                <w:sz w:val="21"/>
                <w:szCs w:val="21"/>
                <w:highlight w:val="none"/>
                <w:u w:val="none"/>
                <w:lang w:val="en-US" w:eastAsia="zh-CN" w:bidi="ar"/>
              </w:rPr>
              <w:t>7</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深化政民互动与公众参与</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增强政民互动交流实效</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加强对收集意见建议的分析研究，在作出公开决策时予以考虑，并将吸收采纳情况向社会公开</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政府各部门单位，各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color w:val="000000"/>
                <w:kern w:val="0"/>
                <w:sz w:val="21"/>
                <w:szCs w:val="21"/>
                <w:highlight w:val="none"/>
                <w:u w:val="none"/>
                <w:lang w:val="en-US" w:eastAsia="zh-CN" w:bidi="ar"/>
              </w:rPr>
              <w:t>4</w:t>
            </w:r>
            <w:r>
              <w:rPr>
                <w:rFonts w:hint="eastAsia" w:ascii="宋体" w:hAnsi="宋体" w:cs="宋体"/>
                <w:i w:val="0"/>
                <w:color w:val="000000"/>
                <w:kern w:val="0"/>
                <w:sz w:val="21"/>
                <w:szCs w:val="21"/>
                <w:highlight w:val="none"/>
                <w:u w:val="none"/>
                <w:lang w:val="en-US" w:eastAsia="zh-CN" w:bidi="ar"/>
              </w:rPr>
              <w:t>8</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加强领导信箱、在线访谈、网友留言、意见征集、建言献策等互动平台建设，严格落实各渠道办理时限，及时公开公众意见建议采纳情况</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1"/>
                <w:szCs w:val="21"/>
                <w:highlight w:val="none"/>
                <w:vertAlign w:val="baseline"/>
                <w:lang w:val="en-US" w:eastAsia="zh-CN" w:bidi="ar-SA"/>
              </w:rPr>
            </w:pPr>
            <w:r>
              <w:rPr>
                <w:rFonts w:hint="eastAsia" w:ascii="宋体" w:hAnsi="宋体" w:cs="宋体"/>
                <w:b w:val="0"/>
                <w:bCs w:val="0"/>
                <w:kern w:val="2"/>
                <w:sz w:val="21"/>
                <w:szCs w:val="21"/>
                <w:highlight w:val="none"/>
                <w:vertAlign w:val="baseline"/>
                <w:lang w:val="en-US" w:eastAsia="zh-CN" w:bidi="ar-SA"/>
              </w:rPr>
              <w:t>49</w:t>
            </w:r>
          </w:p>
        </w:tc>
        <w:tc>
          <w:tcPr>
            <w:tcW w:w="1917" w:type="dxa"/>
            <w:gridSpan w:val="2"/>
            <w:vMerge w:val="restart"/>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提升依申请公开办理质效</w:t>
            </w: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围绕征地拆迁、国土空间规划、社会保障等企业群众高度关注领域，开展专题调研，深入研究分析，推动申请较为集中的政府信息向主动公开转化</w:t>
            </w:r>
          </w:p>
        </w:tc>
        <w:tc>
          <w:tcPr>
            <w:tcW w:w="2835" w:type="dxa"/>
            <w:vMerge w:val="restart"/>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w:t>
            </w:r>
            <w:r>
              <w:rPr>
                <w:rFonts w:hint="eastAsia" w:ascii="宋体" w:hAnsi="宋体" w:cs="宋体"/>
                <w:b w:val="0"/>
                <w:bCs w:val="0"/>
                <w:sz w:val="21"/>
                <w:szCs w:val="21"/>
                <w:highlight w:val="none"/>
                <w:vertAlign w:val="baseline"/>
                <w:lang w:val="en-US" w:eastAsia="zh-CN"/>
              </w:rPr>
              <w:t>有关</w:t>
            </w:r>
            <w:r>
              <w:rPr>
                <w:rFonts w:hint="eastAsia" w:ascii="宋体" w:hAnsi="宋体" w:eastAsia="宋体" w:cs="宋体"/>
                <w:b w:val="0"/>
                <w:bCs w:val="0"/>
                <w:sz w:val="21"/>
                <w:szCs w:val="21"/>
                <w:highlight w:val="none"/>
                <w:vertAlign w:val="baseline"/>
                <w:lang w:val="en-US" w:eastAsia="zh-CN"/>
              </w:rPr>
              <w:t>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0</w:t>
            </w:r>
          </w:p>
        </w:tc>
        <w:tc>
          <w:tcPr>
            <w:tcW w:w="1917" w:type="dxa"/>
            <w:gridSpan w:val="2"/>
            <w:vMerge w:val="continue"/>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强化温情服务，主动与申请人沟通，做好便民解答、指引和服务，推动申请人合理诉求的实质性解决</w:t>
            </w:r>
          </w:p>
        </w:tc>
        <w:tc>
          <w:tcPr>
            <w:tcW w:w="2835" w:type="dxa"/>
            <w:vMerge w:val="continue"/>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1</w:t>
            </w:r>
          </w:p>
        </w:tc>
        <w:tc>
          <w:tcPr>
            <w:tcW w:w="1917" w:type="dxa"/>
            <w:gridSpan w:val="2"/>
            <w:vMerge w:val="continue"/>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对依申请公开工作中发现的申请人权利滥用和行政机关未依法行政等问题，加强与有关部门的协调联动，研究制定相关约束转办机制</w:t>
            </w:r>
          </w:p>
        </w:tc>
        <w:tc>
          <w:tcPr>
            <w:tcW w:w="2835" w:type="dxa"/>
            <w:vMerge w:val="continue"/>
            <w:noWrap w:val="0"/>
            <w:vAlign w:val="top"/>
          </w:tcPr>
          <w:p>
            <w:pPr>
              <w:jc w:val="both"/>
              <w:rPr>
                <w:rFonts w:hint="eastAsia" w:ascii="宋体" w:hAnsi="宋体" w:eastAsia="宋体" w:cs="宋体"/>
                <w:b w:val="0"/>
                <w:bCs w:val="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2</w:t>
            </w:r>
          </w:p>
        </w:tc>
        <w:tc>
          <w:tcPr>
            <w:tcW w:w="1917" w:type="dxa"/>
            <w:gridSpan w:val="2"/>
            <w:vMerge w:val="continue"/>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妥善处理依申请公开疑难复杂案件，加强会商，对影响面广、敏感度高的申请，做到早了解、早研究</w:t>
            </w:r>
          </w:p>
        </w:tc>
        <w:tc>
          <w:tcPr>
            <w:tcW w:w="2835" w:type="dxa"/>
            <w:vMerge w:val="continue"/>
            <w:noWrap w:val="0"/>
            <w:vAlign w:val="top"/>
          </w:tcPr>
          <w:p>
            <w:pPr>
              <w:jc w:val="both"/>
              <w:rPr>
                <w:rFonts w:hint="eastAsia" w:ascii="宋体" w:hAnsi="宋体" w:eastAsia="宋体" w:cs="宋体"/>
                <w:b w:val="0"/>
                <w:bCs w:val="0"/>
                <w:kern w:val="2"/>
                <w:sz w:val="21"/>
                <w:szCs w:val="21"/>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3</w:t>
            </w:r>
          </w:p>
        </w:tc>
        <w:tc>
          <w:tcPr>
            <w:tcW w:w="1917" w:type="dxa"/>
            <w:gridSpan w:val="2"/>
            <w:vMerge w:val="continue"/>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加强对依申请公开工作的暗访检查，规范受理、答复行为，对存在的问题进行点评反馈，不断提升政府信息依申请公开水平</w:t>
            </w:r>
          </w:p>
        </w:tc>
        <w:tc>
          <w:tcPr>
            <w:tcW w:w="2835"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4</w:t>
            </w:r>
          </w:p>
        </w:tc>
        <w:tc>
          <w:tcPr>
            <w:tcW w:w="1917" w:type="dxa"/>
            <w:gridSpan w:val="2"/>
            <w:vMerge w:val="continue"/>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加强对信息公开申请复议、诉讼案件特别是败诉案件的分析，掌握成案及败诉原因，采取针对性措施加以改进</w:t>
            </w:r>
          </w:p>
        </w:tc>
        <w:tc>
          <w:tcPr>
            <w:tcW w:w="2835"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政府各部门单位，各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5</w:t>
            </w:r>
          </w:p>
        </w:tc>
        <w:tc>
          <w:tcPr>
            <w:tcW w:w="1917" w:type="dxa"/>
            <w:gridSpan w:val="2"/>
            <w:vMerge w:val="restart"/>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完善主动公开事项目录体系</w:t>
            </w: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以正在执行的主动公开基本目录和各领域基层政务公开事项标准目录为基础，全面梳理法律、法规、规章中关于主动公开信息的规定，逐项明确公开主体、内容、时限、方式、渠道、责任等要素，编制各级政府及政府部门的主动公开事项目录，做到法定公开事项公开到位，其他事项审慎主动公开</w:t>
            </w:r>
          </w:p>
        </w:tc>
        <w:tc>
          <w:tcPr>
            <w:tcW w:w="2835" w:type="dxa"/>
            <w:vMerge w:val="restart"/>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政府各部门单位，各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6</w:t>
            </w:r>
          </w:p>
        </w:tc>
        <w:tc>
          <w:tcPr>
            <w:tcW w:w="1917" w:type="dxa"/>
            <w:gridSpan w:val="2"/>
            <w:vMerge w:val="continue"/>
            <w:noWrap w:val="0"/>
            <w:vAlign w:val="center"/>
          </w:tcPr>
          <w:p>
            <w:pPr>
              <w:jc w:val="center"/>
              <w:rPr>
                <w:rFonts w:hint="eastAsia" w:ascii="宋体" w:hAnsi="宋体" w:eastAsia="宋体" w:cs="宋体"/>
                <w:b w:val="0"/>
                <w:bCs w:val="0"/>
                <w:kern w:val="2"/>
                <w:sz w:val="21"/>
                <w:szCs w:val="21"/>
                <w:highlight w:val="none"/>
                <w:vertAlign w:val="baseline"/>
                <w:lang w:val="en-US" w:eastAsia="zh-CN" w:bidi="ar-SA"/>
              </w:rPr>
            </w:pPr>
          </w:p>
        </w:tc>
        <w:tc>
          <w:tcPr>
            <w:tcW w:w="8569" w:type="dxa"/>
            <w:noWrap w:val="0"/>
            <w:vAlign w:val="center"/>
          </w:tcPr>
          <w:p>
            <w:pPr>
              <w:jc w:val="both"/>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全力抓好主动公开事项目录落实，同步调整政府网站栏目，完善其他公开渠道，确保事项目录要求与实际公开内容一致</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7</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拓展优化公开平台</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持续优化政府网站功能</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提升政府门户网站站内检索功能，完善错别字自动纠正、关键词推荐、拼音转化搜索和通俗语言搜索等功能</w:t>
            </w:r>
          </w:p>
        </w:tc>
        <w:tc>
          <w:tcPr>
            <w:tcW w:w="2835" w:type="dxa"/>
            <w:vMerge w:val="restart"/>
            <w:noWrap w:val="0"/>
            <w:vAlign w:val="center"/>
          </w:tcPr>
          <w:p>
            <w:pPr>
              <w:jc w:val="both"/>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区</w:t>
            </w:r>
            <w:r>
              <w:rPr>
                <w:rFonts w:hint="eastAsia" w:ascii="宋体" w:hAnsi="宋体" w:eastAsia="宋体" w:cs="宋体"/>
                <w:b w:val="0"/>
                <w:bCs w:val="0"/>
                <w:color w:val="000000"/>
                <w:sz w:val="21"/>
                <w:szCs w:val="21"/>
                <w:highlight w:val="none"/>
                <w:vertAlign w:val="baseline"/>
                <w:lang w:val="en-US" w:eastAsia="zh-CN"/>
              </w:rPr>
              <w:t>大数据</w:t>
            </w:r>
            <w:r>
              <w:rPr>
                <w:rFonts w:hint="eastAsia" w:ascii="宋体" w:hAnsi="宋体" w:cs="宋体"/>
                <w:b w:val="0"/>
                <w:bCs w:val="0"/>
                <w:color w:val="000000"/>
                <w:sz w:val="21"/>
                <w:szCs w:val="21"/>
                <w:highlight w:val="none"/>
                <w:vertAlign w:val="baseline"/>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5</w:t>
            </w:r>
            <w:r>
              <w:rPr>
                <w:rFonts w:hint="eastAsia" w:ascii="宋体" w:hAnsi="宋体" w:cs="宋体"/>
                <w:i w:val="0"/>
                <w:color w:val="000000"/>
                <w:kern w:val="0"/>
                <w:sz w:val="21"/>
                <w:szCs w:val="21"/>
                <w:highlight w:val="none"/>
                <w:u w:val="none"/>
                <w:lang w:val="en-US" w:eastAsia="zh-CN" w:bidi="ar"/>
              </w:rPr>
              <w:t>8</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对搜索结果提供多维度分类展现，聚合相关信息和服务，实现“搜索即服务”</w:t>
            </w:r>
          </w:p>
        </w:tc>
        <w:tc>
          <w:tcPr>
            <w:tcW w:w="2835" w:type="dxa"/>
            <w:vMerge w:val="continue"/>
            <w:noWrap w:val="0"/>
            <w:vAlign w:val="center"/>
          </w:tcPr>
          <w:p>
            <w:pPr>
              <w:jc w:val="both"/>
              <w:rPr>
                <w:rFonts w:hint="eastAsia" w:ascii="宋体" w:hAnsi="宋体" w:eastAsia="宋体" w:cs="宋体"/>
                <w:b w:val="0"/>
                <w:bCs w:val="0"/>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7"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i w:val="0"/>
                <w:color w:val="000000"/>
                <w:kern w:val="0"/>
                <w:sz w:val="21"/>
                <w:szCs w:val="21"/>
                <w:highlight w:val="none"/>
                <w:u w:val="none"/>
                <w:lang w:val="en-US" w:eastAsia="zh-CN" w:bidi="ar"/>
              </w:rPr>
              <w:t>59</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完善政策问答平台运行机制，围绕高频政策咨询事项组建知识库，形成各级、各部门协同联动、对接共享的政策问答体系</w:t>
            </w:r>
          </w:p>
        </w:tc>
        <w:tc>
          <w:tcPr>
            <w:tcW w:w="2835" w:type="dxa"/>
            <w:vMerge w:val="restart"/>
            <w:noWrap w:val="0"/>
            <w:vAlign w:val="center"/>
          </w:tcPr>
          <w:p>
            <w:pPr>
              <w:jc w:val="both"/>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区</w:t>
            </w:r>
            <w:r>
              <w:rPr>
                <w:rFonts w:hint="eastAsia" w:ascii="宋体" w:hAnsi="宋体" w:eastAsia="宋体" w:cs="宋体"/>
                <w:b w:val="0"/>
                <w:bCs w:val="0"/>
                <w:color w:val="000000"/>
                <w:sz w:val="21"/>
                <w:szCs w:val="21"/>
                <w:highlight w:val="none"/>
                <w:vertAlign w:val="baseline"/>
                <w:lang w:val="en-US" w:eastAsia="zh-CN"/>
              </w:rPr>
              <w:t>政府办公室，各</w:t>
            </w:r>
            <w:r>
              <w:rPr>
                <w:rFonts w:hint="eastAsia" w:ascii="宋体" w:hAnsi="宋体" w:cs="宋体"/>
                <w:b w:val="0"/>
                <w:bCs w:val="0"/>
                <w:color w:val="00000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0</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推动12345政务服务便民热线与政务服务平台、政府网站互动交流系统、政务新媒体等互联互通、共享共用政策业务咨询问答知识库</w:t>
            </w:r>
          </w:p>
        </w:tc>
        <w:tc>
          <w:tcPr>
            <w:tcW w:w="2835" w:type="dxa"/>
            <w:vMerge w:val="continue"/>
            <w:noWrap w:val="0"/>
            <w:vAlign w:val="center"/>
          </w:tcPr>
          <w:p>
            <w:pPr>
              <w:jc w:val="both"/>
              <w:rPr>
                <w:rFonts w:hint="eastAsia" w:ascii="宋体" w:hAnsi="宋体" w:eastAsia="宋体" w:cs="宋体"/>
                <w:b w:val="0"/>
                <w:bCs w:val="0"/>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1</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切实强化政府网站和政务新媒体管理</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按要求做好全国政府网站和政务新媒体信息报送系统的信息更新维护工作，健全完善备案管理、开设关停、检查通报等全链条工作制度</w:t>
            </w:r>
          </w:p>
        </w:tc>
        <w:tc>
          <w:tcPr>
            <w:tcW w:w="2835" w:type="dxa"/>
            <w:vMerge w:val="restart"/>
            <w:noWrap w:val="0"/>
            <w:vAlign w:val="center"/>
          </w:tcPr>
          <w:p>
            <w:pPr>
              <w:jc w:val="both"/>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cs="宋体"/>
                <w:b w:val="0"/>
                <w:bCs w:val="0"/>
                <w:color w:val="000000"/>
                <w:sz w:val="21"/>
                <w:szCs w:val="21"/>
                <w:highlight w:val="none"/>
                <w:vertAlign w:val="baseline"/>
                <w:lang w:val="en-US" w:eastAsia="zh-CN"/>
              </w:rPr>
              <w:t>区</w:t>
            </w:r>
            <w:r>
              <w:rPr>
                <w:rFonts w:hint="eastAsia" w:ascii="宋体" w:hAnsi="宋体" w:eastAsia="宋体" w:cs="宋体"/>
                <w:b w:val="0"/>
                <w:bCs w:val="0"/>
                <w:color w:val="000000"/>
                <w:sz w:val="21"/>
                <w:szCs w:val="21"/>
                <w:highlight w:val="none"/>
                <w:vertAlign w:val="baseline"/>
                <w:lang w:val="en-US" w:eastAsia="zh-CN"/>
              </w:rPr>
              <w:t>大数据</w:t>
            </w:r>
            <w:r>
              <w:rPr>
                <w:rFonts w:hint="eastAsia" w:ascii="宋体" w:hAnsi="宋体" w:cs="宋体"/>
                <w:b w:val="0"/>
                <w:bCs w:val="0"/>
                <w:color w:val="000000"/>
                <w:sz w:val="21"/>
                <w:szCs w:val="21"/>
                <w:highlight w:val="none"/>
                <w:vertAlign w:val="baseline"/>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2</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有序推进政府网站IPv6改造任务，持续做好“我为政府网站找错”平台留言办理工作</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3</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加强政务新媒体“瘦身提质”，突出做大做强主账号，积极培育优质精品账号，强化政务新媒体矩阵体系建设，及时大范围转载重要信息</w:t>
            </w:r>
          </w:p>
        </w:tc>
        <w:tc>
          <w:tcPr>
            <w:tcW w:w="2835" w:type="dxa"/>
            <w:vMerge w:val="continue"/>
            <w:noWrap w:val="0"/>
            <w:vAlign w:val="center"/>
          </w:tcPr>
          <w:p>
            <w:pPr>
              <w:jc w:val="both"/>
              <w:rPr>
                <w:rFonts w:hint="eastAsia" w:ascii="宋体" w:hAnsi="宋体" w:eastAsia="宋体" w:cs="宋体"/>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4</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在公开前明确各类信息的公开时限</w:t>
            </w:r>
            <w:r>
              <w:rPr>
                <w:rFonts w:hint="eastAsia" w:ascii="宋体" w:hAnsi="宋体" w:eastAsia="宋体" w:cs="宋体"/>
                <w:b w:val="0"/>
                <w:bCs w:val="0"/>
                <w:sz w:val="21"/>
                <w:szCs w:val="21"/>
                <w:highlight w:val="none"/>
                <w:vertAlign w:val="baseline"/>
                <w:lang w:val="en" w:eastAsia="zh-CN"/>
              </w:rPr>
              <w:t>，</w:t>
            </w:r>
            <w:r>
              <w:rPr>
                <w:rFonts w:hint="eastAsia" w:ascii="宋体" w:hAnsi="宋体" w:eastAsia="宋体" w:cs="宋体"/>
                <w:b w:val="0"/>
                <w:bCs w:val="0"/>
                <w:sz w:val="21"/>
                <w:szCs w:val="21"/>
                <w:highlight w:val="none"/>
                <w:vertAlign w:val="baseline"/>
                <w:lang w:val="en-US" w:eastAsia="zh-CN"/>
              </w:rPr>
              <w:t>建立健全</w:t>
            </w:r>
            <w:r>
              <w:rPr>
                <w:rFonts w:hint="eastAsia" w:ascii="宋体" w:hAnsi="宋体" w:eastAsia="宋体" w:cs="宋体"/>
                <w:b w:val="0"/>
                <w:bCs w:val="0"/>
                <w:sz w:val="21"/>
                <w:szCs w:val="21"/>
                <w:highlight w:val="none"/>
                <w:vertAlign w:val="baseline"/>
                <w:lang w:val="en" w:eastAsia="zh-CN"/>
              </w:rPr>
              <w:t>对</w:t>
            </w:r>
            <w:r>
              <w:rPr>
                <w:rFonts w:hint="eastAsia" w:ascii="宋体" w:hAnsi="宋体" w:eastAsia="宋体" w:cs="宋体"/>
                <w:b w:val="0"/>
                <w:bCs w:val="0"/>
                <w:sz w:val="21"/>
                <w:szCs w:val="21"/>
                <w:highlight w:val="none"/>
                <w:vertAlign w:val="baseline"/>
                <w:lang w:val="en-US" w:eastAsia="zh-CN"/>
              </w:rPr>
              <w:t>已公开信息</w:t>
            </w:r>
            <w:r>
              <w:rPr>
                <w:rFonts w:hint="eastAsia" w:ascii="宋体" w:hAnsi="宋体" w:eastAsia="宋体" w:cs="宋体"/>
                <w:b w:val="0"/>
                <w:bCs w:val="0"/>
                <w:sz w:val="21"/>
                <w:szCs w:val="21"/>
                <w:highlight w:val="none"/>
                <w:vertAlign w:val="baseline"/>
                <w:lang w:val="en" w:eastAsia="zh-CN"/>
              </w:rPr>
              <w:t>的</w:t>
            </w:r>
            <w:r>
              <w:rPr>
                <w:rFonts w:hint="eastAsia" w:ascii="宋体" w:hAnsi="宋体" w:eastAsia="宋体" w:cs="宋体"/>
                <w:b w:val="0"/>
                <w:bCs w:val="0"/>
                <w:sz w:val="21"/>
                <w:szCs w:val="21"/>
                <w:highlight w:val="none"/>
                <w:vertAlign w:val="baseline"/>
                <w:lang w:val="en-US" w:eastAsia="zh-CN"/>
              </w:rPr>
              <w:t>管理制度。更好统筹政务公开和安全保密。依法对拟公开信息进行保密审查，防止国家秘密、工作秘密和敏感信息泄露</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政府各部门单位，各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5</w:t>
            </w:r>
          </w:p>
        </w:tc>
        <w:tc>
          <w:tcPr>
            <w:tcW w:w="631"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拓展优化公开平台</w:t>
            </w:r>
          </w:p>
        </w:tc>
        <w:tc>
          <w:tcPr>
            <w:tcW w:w="1286" w:type="dxa"/>
            <w:vMerge w:val="restart"/>
            <w:noWrap w:val="0"/>
            <w:vAlign w:val="center"/>
          </w:tcPr>
          <w:p>
            <w:pPr>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务实推进政务公开专区特色化建设</w:t>
            </w: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加强政务公开专区建设，以场地建设标准、功能建设需求为重点，以提升为民服务效能为目的，对全</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现有政务公开专区建设进行规范升级，做强政府信息查询、信息公开申请、办事咨询答复等服务，探索实现专区查询服务系统与政府信息公开专栏、政府文件库等互联互通</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行政审批局，</w:t>
            </w:r>
            <w:r>
              <w:rPr>
                <w:rFonts w:hint="eastAsia" w:ascii="宋体" w:hAnsi="宋体" w:eastAsia="宋体" w:cs="宋体"/>
                <w:b w:val="0"/>
                <w:bCs w:val="0"/>
                <w:color w:val="000000"/>
                <w:sz w:val="21"/>
                <w:szCs w:val="21"/>
                <w:highlight w:val="none"/>
                <w:vertAlign w:val="baseline"/>
                <w:lang w:val="en-US" w:eastAsia="zh-CN"/>
              </w:rPr>
              <w:t>各</w:t>
            </w:r>
            <w:r>
              <w:rPr>
                <w:rFonts w:hint="eastAsia" w:ascii="宋体" w:hAnsi="宋体" w:cs="宋体"/>
                <w:b w:val="0"/>
                <w:bCs w:val="0"/>
                <w:color w:val="00000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6</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在各级政务服务大厅、重点公共企事业单位等便民服务场所，筛选打造一批有特色有亮点的品牌专区</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行政审批局、</w:t>
            </w:r>
            <w:r>
              <w:rPr>
                <w:rFonts w:hint="eastAsia" w:ascii="宋体" w:hAnsi="宋体" w:cs="宋体"/>
                <w:b w:val="0"/>
                <w:bCs w:val="0"/>
                <w:sz w:val="21"/>
                <w:szCs w:val="21"/>
                <w:highlight w:val="none"/>
                <w:vertAlign w:val="baseline"/>
                <w:lang w:val="en-US" w:eastAsia="zh-CN"/>
              </w:rPr>
              <w:t>区教体</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临淄</w:t>
            </w:r>
            <w:r>
              <w:rPr>
                <w:rFonts w:hint="eastAsia" w:ascii="宋体" w:hAnsi="宋体" w:eastAsia="宋体" w:cs="宋体"/>
                <w:b w:val="0"/>
                <w:bCs w:val="0"/>
                <w:sz w:val="21"/>
                <w:szCs w:val="21"/>
                <w:highlight w:val="none"/>
                <w:vertAlign w:val="baseline"/>
                <w:lang w:val="en-US" w:eastAsia="zh-CN"/>
              </w:rPr>
              <w:t>生态环境</w:t>
            </w:r>
            <w:r>
              <w:rPr>
                <w:rFonts w:hint="eastAsia" w:ascii="宋体" w:hAnsi="宋体" w:cs="宋体"/>
                <w:b w:val="0"/>
                <w:bCs w:val="0"/>
                <w:sz w:val="21"/>
                <w:szCs w:val="21"/>
                <w:highlight w:val="none"/>
                <w:vertAlign w:val="baseline"/>
                <w:lang w:val="en-US" w:eastAsia="zh-CN"/>
              </w:rPr>
              <w:t>分</w:t>
            </w:r>
            <w:r>
              <w:rPr>
                <w:rFonts w:hint="eastAsia" w:ascii="宋体" w:hAnsi="宋体" w:eastAsia="宋体" w:cs="宋体"/>
                <w:b w:val="0"/>
                <w:bCs w:val="0"/>
                <w:sz w:val="21"/>
                <w:szCs w:val="21"/>
                <w:highlight w:val="none"/>
                <w:vertAlign w:val="baseline"/>
                <w:lang w:val="en-US" w:eastAsia="zh-CN"/>
              </w:rPr>
              <w:t>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住建局、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交通运输局、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水利局、</w:t>
            </w: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卫健</w:t>
            </w:r>
            <w:r>
              <w:rPr>
                <w:rFonts w:hint="eastAsia" w:ascii="宋体" w:hAnsi="宋体" w:cs="宋体"/>
                <w:b w:val="0"/>
                <w:bCs w:val="0"/>
                <w:sz w:val="21"/>
                <w:szCs w:val="21"/>
                <w:highlight w:val="none"/>
                <w:vertAlign w:val="baseline"/>
                <w:lang w:val="en-US" w:eastAsia="zh-CN"/>
              </w:rPr>
              <w:t>局</w:t>
            </w:r>
            <w:r>
              <w:rPr>
                <w:rFonts w:hint="eastAsia" w:ascii="宋体" w:hAnsi="宋体" w:eastAsia="宋体" w:cs="宋体"/>
                <w:b w:val="0"/>
                <w:bCs w:val="0"/>
                <w:sz w:val="21"/>
                <w:szCs w:val="21"/>
                <w:highlight w:val="none"/>
                <w:vertAlign w:val="baseline"/>
                <w:lang w:val="en-US" w:eastAsia="zh-CN"/>
              </w:rPr>
              <w:t>，各</w:t>
            </w:r>
            <w:r>
              <w:rPr>
                <w:rFonts w:hint="eastAsia" w:ascii="宋体" w:hAnsi="宋体" w:cs="宋体"/>
                <w:b w:val="0"/>
                <w:bCs w:val="0"/>
                <w:sz w:val="21"/>
                <w:szCs w:val="21"/>
                <w:highlight w:val="none"/>
                <w:vertAlign w:val="baseline"/>
                <w:lang w:val="en-US" w:eastAsia="zh-CN"/>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7"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w:t>
            </w:r>
            <w:r>
              <w:rPr>
                <w:rFonts w:hint="eastAsia" w:ascii="宋体" w:hAnsi="宋体" w:cs="宋体"/>
                <w:i w:val="0"/>
                <w:color w:val="000000"/>
                <w:kern w:val="0"/>
                <w:sz w:val="21"/>
                <w:szCs w:val="21"/>
                <w:highlight w:val="none"/>
                <w:u w:val="none"/>
                <w:lang w:val="en-US" w:eastAsia="zh-CN" w:bidi="ar"/>
              </w:rPr>
              <w:t>7</w:t>
            </w:r>
          </w:p>
        </w:tc>
        <w:tc>
          <w:tcPr>
            <w:tcW w:w="631"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1286" w:type="dxa"/>
            <w:vMerge w:val="continue"/>
            <w:noWrap w:val="0"/>
            <w:vAlign w:val="center"/>
          </w:tcPr>
          <w:p>
            <w:pPr>
              <w:jc w:val="center"/>
              <w:rPr>
                <w:rFonts w:hint="eastAsia" w:ascii="宋体" w:hAnsi="宋体" w:eastAsia="宋体" w:cs="宋体"/>
                <w:b w:val="0"/>
                <w:bCs w:val="0"/>
                <w:sz w:val="21"/>
                <w:szCs w:val="21"/>
                <w:highlight w:val="none"/>
                <w:vertAlign w:val="baseline"/>
                <w:lang w:val="en-US" w:eastAsia="zh-CN"/>
              </w:rPr>
            </w:pPr>
          </w:p>
        </w:tc>
        <w:tc>
          <w:tcPr>
            <w:tcW w:w="8569"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积极拓展政务公开专区功能，有序开展重要政策现场解读、综合政策咨询、办事流程场景展示等活动，推动公开与服务深度融合</w:t>
            </w:r>
          </w:p>
        </w:tc>
        <w:tc>
          <w:tcPr>
            <w:tcW w:w="2835" w:type="dxa"/>
            <w:noWrap w:val="0"/>
            <w:vAlign w:val="center"/>
          </w:tcPr>
          <w:p>
            <w:pPr>
              <w:jc w:val="both"/>
              <w:rPr>
                <w:rFonts w:hint="eastAsia" w:ascii="宋体" w:hAnsi="宋体" w:eastAsia="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区</w:t>
            </w:r>
            <w:r>
              <w:rPr>
                <w:rFonts w:hint="eastAsia" w:ascii="宋体" w:hAnsi="宋体" w:eastAsia="宋体" w:cs="宋体"/>
                <w:b w:val="0"/>
                <w:bCs w:val="0"/>
                <w:sz w:val="21"/>
                <w:szCs w:val="21"/>
                <w:highlight w:val="none"/>
                <w:vertAlign w:val="baseline"/>
                <w:lang w:val="en-US" w:eastAsia="zh-CN"/>
              </w:rPr>
              <w:t>行政审批局，各</w:t>
            </w:r>
            <w:r>
              <w:rPr>
                <w:rFonts w:hint="eastAsia" w:ascii="宋体" w:hAnsi="宋体" w:cs="宋体"/>
                <w:b w:val="0"/>
                <w:bCs w:val="0"/>
                <w:sz w:val="21"/>
                <w:szCs w:val="21"/>
                <w:highlight w:val="none"/>
                <w:vertAlign w:val="baseline"/>
                <w:lang w:val="en-US" w:eastAsia="zh-CN"/>
              </w:rPr>
              <w:t>镇、街道</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K" w:hAnsi="方正仿宋_GBK" w:eastAsia="方正仿宋_GBK" w:cs="方正仿宋_GBK"/>
          <w:sz w:val="32"/>
          <w:szCs w:val="32"/>
          <w:lang w:val="en-US" w:eastAsia="zh-CN"/>
        </w:rPr>
      </w:pPr>
    </w:p>
    <w:p/>
    <w:p/>
    <w:p/>
    <w:p/>
    <w:p/>
    <w:p/>
    <w:p/>
    <w:p/>
    <w:p/>
    <w:p/>
    <w:p/>
    <w:p/>
    <w:p/>
    <w:p/>
    <w:p>
      <w:pPr>
        <w:sectPr>
          <w:pgSz w:w="16840" w:h="11910" w:orient="landscape"/>
          <w:pgMar w:top="1587" w:right="2098" w:bottom="1474" w:left="1984" w:header="0" w:footer="1020" w:gutter="0"/>
          <w:pgNumType w:fmt="decimal"/>
          <w:cols w:space="720" w:num="1"/>
        </w:sectPr>
      </w:pPr>
    </w:p>
    <w:p>
      <w:pPr>
        <w:spacing w:beforeLines="0" w:afterLines="0" w:line="596" w:lineRule="exact"/>
        <w:jc w:val="left"/>
        <w:rPr>
          <w:rFonts w:hint="eastAsia" w:ascii="黑体" w:hAnsi="黑体" w:eastAsia="黑体" w:cs="黑体"/>
          <w:color w:val="000000"/>
          <w:spacing w:val="-6"/>
          <w:kern w:val="0"/>
          <w:sz w:val="32"/>
          <w:szCs w:val="24"/>
        </w:rPr>
      </w:pPr>
      <w:r>
        <w:rPr>
          <w:rFonts w:hint="eastAsia" w:ascii="黑体" w:hAnsi="黑体" w:eastAsia="黑体" w:cs="黑体"/>
          <w:color w:val="000000"/>
          <w:spacing w:val="-6"/>
          <w:kern w:val="0"/>
          <w:sz w:val="32"/>
          <w:szCs w:val="24"/>
        </w:rPr>
        <w:t>附件2</w:t>
      </w:r>
    </w:p>
    <w:p>
      <w:pPr>
        <w:spacing w:beforeLines="0" w:afterLines="0" w:line="486" w:lineRule="exact"/>
        <w:jc w:val="left"/>
        <w:rPr>
          <w:rFonts w:hint="eastAsia" w:ascii="宋体" w:hAnsi="宋体"/>
          <w:color w:val="000000"/>
          <w:spacing w:val="-6"/>
          <w:kern w:val="0"/>
          <w:sz w:val="21"/>
          <w:szCs w:val="24"/>
        </w:rPr>
      </w:pPr>
    </w:p>
    <w:p>
      <w:pPr>
        <w:jc w:val="center"/>
        <w:rPr>
          <w:rFonts w:hint="eastAsia" w:ascii="方正小标宋简体" w:hAnsi="方正小标宋简体" w:eastAsia="方正小标宋简体" w:cs="方正小标宋简体"/>
          <w:color w:val="000000"/>
          <w:spacing w:val="-6"/>
          <w:kern w:val="0"/>
          <w:sz w:val="44"/>
          <w:szCs w:val="24"/>
        </w:rPr>
      </w:pPr>
      <w:r>
        <w:rPr>
          <w:rFonts w:hint="eastAsia" w:ascii="方正小标宋简体" w:hAnsi="方正小标宋简体" w:eastAsia="方正小标宋简体" w:cs="方正小标宋简体"/>
          <w:color w:val="000000"/>
          <w:spacing w:val="-6"/>
          <w:kern w:val="0"/>
          <w:sz w:val="44"/>
          <w:szCs w:val="24"/>
        </w:rPr>
        <w:t>政府开放活动计划安排报送表</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olor w:val="000000"/>
          <w:spacing w:val="-6"/>
          <w:sz w:val="25"/>
          <w:szCs w:val="24"/>
          <w:u w:val="single" w:color="000000"/>
        </w:rPr>
      </w:pPr>
      <w:r>
        <w:rPr>
          <w:rFonts w:hint="eastAsia" w:ascii="宋体" w:hAnsi="宋体" w:eastAsia="宋体"/>
          <w:color w:val="000000"/>
          <w:spacing w:val="-6"/>
          <w:sz w:val="25"/>
          <w:szCs w:val="24"/>
        </w:rPr>
        <w:t>单位名称：</w:t>
      </w:r>
      <w:r>
        <w:rPr>
          <w:rFonts w:hint="eastAsia" w:ascii="宋体" w:hAnsi="宋体" w:eastAsia="宋体"/>
          <w:color w:val="000000"/>
          <w:spacing w:val="-6"/>
          <w:sz w:val="25"/>
          <w:szCs w:val="24"/>
          <w:u w:val="single" w:color="000000"/>
        </w:rPr>
        <w:t xml:space="preserve">                                        </w:t>
      </w:r>
    </w:p>
    <w:tbl>
      <w:tblPr>
        <w:tblStyle w:val="6"/>
        <w:tblpPr w:vertAnchor="page" w:horzAnchor="page" w:tblpX="2034" w:tblpY="412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07"/>
        <w:gridCol w:w="3127"/>
        <w:gridCol w:w="1376"/>
        <w:gridCol w:w="2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6" w:hRule="exact"/>
        </w:trPr>
        <w:tc>
          <w:tcPr>
            <w:tcW w:w="140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黑体" w:hAnsi="黑体" w:eastAsia="黑体" w:cs="黑体"/>
                <w:color w:val="000000"/>
                <w:spacing w:val="-6"/>
                <w:kern w:val="0"/>
                <w:sz w:val="21"/>
                <w:szCs w:val="24"/>
              </w:rPr>
            </w:pPr>
            <w:r>
              <w:rPr>
                <w:rFonts w:hint="eastAsia" w:ascii="黑体" w:hAnsi="黑体" w:eastAsia="黑体" w:cs="黑体"/>
                <w:color w:val="000000"/>
                <w:spacing w:val="-6"/>
                <w:kern w:val="0"/>
                <w:sz w:val="21"/>
                <w:szCs w:val="24"/>
              </w:rPr>
              <w:t>活动主题</w:t>
            </w:r>
          </w:p>
        </w:tc>
        <w:tc>
          <w:tcPr>
            <w:tcW w:w="6932"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spacing w:beforeLines="0" w:afterLines="0" w:line="285" w:lineRule="exact"/>
              <w:jc w:val="center"/>
              <w:rPr>
                <w:rFonts w:hint="eastAsia" w:ascii="宋体" w:hAnsi="宋体"/>
                <w:color w:val="000000"/>
                <w:spacing w:val="-6"/>
                <w:kern w:val="0"/>
                <w:sz w:val="21"/>
                <w:szCs w:val="24"/>
              </w:rPr>
            </w:pPr>
            <w:r>
              <w:rPr>
                <w:rFonts w:hint="eastAsia" w:ascii="宋体" w:hAnsi="宋体"/>
                <w:color w:val="000000"/>
                <w:spacing w:val="-6"/>
                <w:kern w:val="0"/>
                <w:sz w:val="21"/>
                <w:szCs w:val="24"/>
              </w:rPr>
              <w:t>（如“外籍人士看</w:t>
            </w:r>
            <w:r>
              <w:rPr>
                <w:rFonts w:hint="eastAsia" w:ascii="宋体" w:hAnsi="宋体"/>
                <w:color w:val="000000"/>
                <w:spacing w:val="-6"/>
                <w:kern w:val="0"/>
                <w:sz w:val="21"/>
                <w:szCs w:val="24"/>
                <w:lang w:eastAsia="zh-CN"/>
              </w:rPr>
              <w:t>临淄</w:t>
            </w:r>
            <w:r>
              <w:rPr>
                <w:rFonts w:hint="eastAsia" w:ascii="宋体" w:hAnsi="宋体"/>
                <w:color w:val="000000"/>
                <w:spacing w:val="-6"/>
                <w:kern w:val="0"/>
                <w:sz w:val="21"/>
                <w:szCs w:val="24"/>
              </w:rPr>
              <w:t>”“走进科技 你我同行”）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6" w:hRule="exact"/>
        </w:trPr>
        <w:tc>
          <w:tcPr>
            <w:tcW w:w="140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黑体" w:hAnsi="黑体" w:eastAsia="黑体" w:cs="黑体"/>
                <w:color w:val="000000"/>
                <w:spacing w:val="-6"/>
                <w:kern w:val="0"/>
                <w:sz w:val="21"/>
                <w:szCs w:val="24"/>
              </w:rPr>
            </w:pPr>
            <w:r>
              <w:rPr>
                <w:rFonts w:hint="eastAsia" w:ascii="黑体" w:hAnsi="黑体" w:eastAsia="黑体" w:cs="黑体"/>
                <w:color w:val="000000"/>
                <w:spacing w:val="-6"/>
                <w:kern w:val="0"/>
                <w:sz w:val="21"/>
                <w:szCs w:val="24"/>
              </w:rPr>
              <w:t>开展时间</w:t>
            </w:r>
          </w:p>
        </w:tc>
        <w:tc>
          <w:tcPr>
            <w:tcW w:w="312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spacing w:beforeLines="0" w:afterLines="0" w:line="285" w:lineRule="exact"/>
              <w:jc w:val="center"/>
              <w:rPr>
                <w:rFonts w:hint="eastAsia" w:ascii="宋体" w:hAnsi="宋体"/>
                <w:color w:val="000000"/>
                <w:spacing w:val="-6"/>
                <w:kern w:val="0"/>
                <w:sz w:val="21"/>
                <w:szCs w:val="24"/>
              </w:rPr>
            </w:pPr>
            <w:r>
              <w:rPr>
                <w:rFonts w:hint="eastAsia" w:ascii="宋体" w:hAnsi="宋体"/>
                <w:color w:val="000000"/>
                <w:spacing w:val="-6"/>
                <w:kern w:val="0"/>
                <w:sz w:val="21"/>
                <w:szCs w:val="24"/>
              </w:rPr>
              <w:t>（必须明确月份，可具体到日，也可填写某月上旬、中旬、下旬）</w:t>
            </w:r>
          </w:p>
        </w:tc>
        <w:tc>
          <w:tcPr>
            <w:tcW w:w="1376"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宋体" w:hAnsi="宋体"/>
                <w:color w:val="000000"/>
                <w:spacing w:val="-6"/>
                <w:kern w:val="0"/>
                <w:sz w:val="21"/>
                <w:szCs w:val="24"/>
              </w:rPr>
            </w:pPr>
            <w:r>
              <w:rPr>
                <w:rFonts w:hint="eastAsia" w:ascii="黑体" w:hAnsi="黑体" w:eastAsia="黑体" w:cs="黑体"/>
                <w:color w:val="000000"/>
                <w:spacing w:val="-6"/>
                <w:kern w:val="0"/>
                <w:sz w:val="21"/>
                <w:szCs w:val="24"/>
              </w:rPr>
              <w:t>开展地点</w:t>
            </w:r>
          </w:p>
        </w:tc>
        <w:tc>
          <w:tcPr>
            <w:tcW w:w="2429"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spacing w:beforeLines="0" w:afterLines="0" w:line="285" w:lineRule="exact"/>
              <w:jc w:val="center"/>
              <w:rPr>
                <w:rFonts w:hint="eastAsia" w:ascii="宋体" w:hAnsi="宋体"/>
                <w:color w:val="000000"/>
                <w:spacing w:val="-6"/>
                <w:kern w:val="0"/>
                <w:sz w:val="21"/>
                <w:szCs w:val="24"/>
              </w:rPr>
            </w:pPr>
            <w:r>
              <w:rPr>
                <w:rFonts w:hint="eastAsia" w:ascii="宋体" w:hAnsi="宋体"/>
                <w:color w:val="000000"/>
                <w:spacing w:val="-6"/>
                <w:kern w:val="0"/>
                <w:sz w:val="21"/>
                <w:szCs w:val="24"/>
              </w:rPr>
              <w:t>（如</w:t>
            </w:r>
            <w:r>
              <w:rPr>
                <w:rFonts w:hint="eastAsia" w:ascii="宋体" w:hAnsi="宋体"/>
                <w:color w:val="000000"/>
                <w:spacing w:val="-6"/>
                <w:kern w:val="0"/>
                <w:sz w:val="21"/>
                <w:szCs w:val="24"/>
                <w:lang w:eastAsia="zh-CN"/>
              </w:rPr>
              <w:t>临淄区政务服务中心、</w:t>
            </w:r>
            <w:r>
              <w:rPr>
                <w:rFonts w:hint="eastAsia" w:ascii="宋体" w:hAnsi="宋体"/>
                <w:color w:val="000000"/>
                <w:spacing w:val="-6"/>
                <w:kern w:val="0"/>
                <w:sz w:val="21"/>
                <w:szCs w:val="24"/>
              </w:rPr>
              <w:t>图书馆，不用写具体门牌号）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6" w:hRule="exact"/>
        </w:trPr>
        <w:tc>
          <w:tcPr>
            <w:tcW w:w="140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黑体" w:hAnsi="黑体" w:eastAsia="黑体" w:cs="黑体"/>
                <w:color w:val="000000"/>
                <w:spacing w:val="-6"/>
                <w:kern w:val="0"/>
                <w:sz w:val="21"/>
                <w:szCs w:val="24"/>
              </w:rPr>
            </w:pPr>
            <w:r>
              <w:rPr>
                <w:rFonts w:hint="eastAsia" w:ascii="黑体" w:hAnsi="黑体" w:eastAsia="黑体" w:cs="黑体"/>
                <w:color w:val="000000"/>
                <w:spacing w:val="-6"/>
                <w:kern w:val="0"/>
                <w:sz w:val="21"/>
                <w:szCs w:val="24"/>
              </w:rPr>
              <w:t>活动内容</w:t>
            </w:r>
          </w:p>
        </w:tc>
        <w:tc>
          <w:tcPr>
            <w:tcW w:w="6932"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spacing w:beforeLines="0" w:afterLines="0" w:line="285" w:lineRule="exact"/>
              <w:jc w:val="center"/>
              <w:rPr>
                <w:rFonts w:hint="eastAsia" w:ascii="宋体" w:hAnsi="宋体"/>
                <w:color w:val="000000"/>
                <w:spacing w:val="-6"/>
                <w:kern w:val="0"/>
                <w:sz w:val="21"/>
                <w:szCs w:val="24"/>
              </w:rPr>
            </w:pPr>
            <w:r>
              <w:rPr>
                <w:rFonts w:hint="eastAsia" w:ascii="宋体" w:hAnsi="宋体"/>
                <w:color w:val="000000"/>
                <w:spacing w:val="-6"/>
                <w:kern w:val="0"/>
                <w:sz w:val="21"/>
                <w:szCs w:val="24"/>
              </w:rPr>
              <w:t>（如“邀请外籍在淄人事体验涉外审批流程并开展座谈交流、问卷调查”）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6" w:hRule="exact"/>
        </w:trPr>
        <w:tc>
          <w:tcPr>
            <w:tcW w:w="140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黑体" w:hAnsi="黑体" w:eastAsia="黑体" w:cs="黑体"/>
                <w:color w:val="000000"/>
                <w:spacing w:val="-6"/>
                <w:kern w:val="0"/>
                <w:sz w:val="21"/>
                <w:szCs w:val="24"/>
              </w:rPr>
            </w:pPr>
            <w:r>
              <w:rPr>
                <w:rFonts w:hint="eastAsia" w:ascii="黑体" w:hAnsi="黑体" w:eastAsia="黑体" w:cs="黑体"/>
                <w:color w:val="000000"/>
                <w:spacing w:val="-6"/>
                <w:kern w:val="0"/>
                <w:sz w:val="21"/>
                <w:szCs w:val="24"/>
              </w:rPr>
              <w:t>活动对象</w:t>
            </w:r>
          </w:p>
        </w:tc>
        <w:tc>
          <w:tcPr>
            <w:tcW w:w="6932"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spacing w:beforeLines="0" w:afterLines="0" w:line="285" w:lineRule="exact"/>
              <w:jc w:val="center"/>
              <w:rPr>
                <w:rFonts w:hint="eastAsia" w:ascii="宋体" w:hAnsi="宋体"/>
                <w:color w:val="000000"/>
                <w:spacing w:val="-6"/>
                <w:kern w:val="0"/>
                <w:sz w:val="21"/>
                <w:szCs w:val="24"/>
              </w:rPr>
            </w:pPr>
            <w:r>
              <w:rPr>
                <w:rFonts w:hint="eastAsia" w:ascii="宋体" w:hAnsi="宋体"/>
                <w:color w:val="000000"/>
                <w:spacing w:val="-6"/>
                <w:kern w:val="0"/>
                <w:sz w:val="21"/>
                <w:szCs w:val="24"/>
              </w:rPr>
              <w:t>（如“在淄外籍人士20人”“企业代表10人”）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6" w:hRule="exact"/>
        </w:trPr>
        <w:tc>
          <w:tcPr>
            <w:tcW w:w="140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黑体" w:hAnsi="黑体" w:eastAsia="黑体" w:cs="黑体"/>
                <w:color w:val="000000"/>
                <w:spacing w:val="-6"/>
                <w:kern w:val="0"/>
                <w:sz w:val="21"/>
                <w:szCs w:val="24"/>
              </w:rPr>
            </w:pPr>
            <w:r>
              <w:rPr>
                <w:rFonts w:hint="eastAsia" w:ascii="黑体" w:hAnsi="黑体" w:eastAsia="黑体" w:cs="黑体"/>
                <w:color w:val="000000"/>
                <w:spacing w:val="-6"/>
                <w:kern w:val="0"/>
                <w:sz w:val="21"/>
                <w:szCs w:val="24"/>
              </w:rPr>
              <w:t>活动报名方式</w:t>
            </w:r>
          </w:p>
        </w:tc>
        <w:tc>
          <w:tcPr>
            <w:tcW w:w="6932" w:type="dxa"/>
            <w:gridSpan w:val="3"/>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37" w:type="dxa"/>
              <w:left w:w="108" w:type="dxa"/>
              <w:bottom w:w="37" w:type="dxa"/>
              <w:right w:w="85" w:type="dxa"/>
            </w:tcMar>
            <w:vAlign w:val="center"/>
          </w:tcPr>
          <w:p>
            <w:pPr>
              <w:spacing w:beforeLines="0" w:afterLines="0" w:line="285" w:lineRule="exact"/>
              <w:jc w:val="center"/>
              <w:rPr>
                <w:rFonts w:hint="eastAsia" w:ascii="宋体" w:hAnsi="宋体"/>
                <w:color w:val="000000"/>
                <w:spacing w:val="-6"/>
                <w:kern w:val="0"/>
                <w:sz w:val="21"/>
                <w:szCs w:val="24"/>
              </w:rPr>
            </w:pPr>
            <w:r>
              <w:rPr>
                <w:rFonts w:hint="eastAsia" w:ascii="宋体" w:hAnsi="宋体"/>
                <w:color w:val="000000"/>
                <w:spacing w:val="-6"/>
                <w:kern w:val="0"/>
                <w:sz w:val="21"/>
                <w:szCs w:val="24"/>
              </w:rPr>
              <w:t>（可填写报名邮箱、二维码等，若无需通过公开报名方式确定活动参加人员，此项可不予填写）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9" w:hRule="exact"/>
        </w:trPr>
        <w:tc>
          <w:tcPr>
            <w:tcW w:w="140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黑体" w:hAnsi="黑体" w:eastAsia="黑体" w:cs="黑体"/>
                <w:color w:val="000000"/>
                <w:spacing w:val="-6"/>
                <w:kern w:val="0"/>
                <w:sz w:val="21"/>
                <w:szCs w:val="24"/>
              </w:rPr>
            </w:pPr>
            <w:r>
              <w:rPr>
                <w:rFonts w:hint="eastAsia" w:ascii="黑体" w:hAnsi="黑体" w:eastAsia="黑体" w:cs="黑体"/>
                <w:color w:val="000000"/>
                <w:spacing w:val="-6"/>
                <w:kern w:val="0"/>
                <w:sz w:val="21"/>
                <w:szCs w:val="24"/>
              </w:rPr>
              <w:t>联系人</w:t>
            </w:r>
          </w:p>
        </w:tc>
        <w:tc>
          <w:tcPr>
            <w:tcW w:w="3127"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宋体" w:hAnsi="宋体"/>
                <w:color w:val="000000"/>
                <w:spacing w:val="-6"/>
                <w:kern w:val="0"/>
                <w:sz w:val="21"/>
                <w:szCs w:val="24"/>
              </w:rPr>
            </w:pPr>
          </w:p>
        </w:tc>
        <w:tc>
          <w:tcPr>
            <w:tcW w:w="1376"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宋体" w:hAnsi="宋体"/>
                <w:color w:val="000000"/>
                <w:spacing w:val="-6"/>
                <w:kern w:val="0"/>
                <w:sz w:val="21"/>
                <w:szCs w:val="24"/>
              </w:rPr>
            </w:pPr>
            <w:r>
              <w:rPr>
                <w:rFonts w:hint="eastAsia" w:ascii="黑体" w:hAnsi="黑体" w:eastAsia="黑体" w:cs="黑体"/>
                <w:color w:val="000000"/>
                <w:spacing w:val="-6"/>
                <w:kern w:val="0"/>
                <w:sz w:val="21"/>
                <w:szCs w:val="24"/>
              </w:rPr>
              <w:t>联系方式</w:t>
            </w:r>
          </w:p>
        </w:tc>
        <w:tc>
          <w:tcPr>
            <w:tcW w:w="2429" w:type="dxa"/>
            <w:tcBorders>
              <w:top w:val="single" w:color="000000" w:sz="4" w:space="0"/>
              <w:left w:val="single" w:color="000000" w:sz="4" w:space="0"/>
              <w:bottom w:val="single" w:color="000000" w:sz="4" w:space="0"/>
              <w:right w:val="single" w:color="000000" w:sz="4" w:space="0"/>
              <w:tl2br w:val="nil"/>
              <w:tr2bl w:val="nil"/>
            </w:tcBorders>
            <w:shd w:val="clear" w:color="000000" w:fill="FFFFFF"/>
            <w:noWrap w:val="0"/>
            <w:tcMar>
              <w:top w:w="50" w:type="dxa"/>
              <w:left w:w="108" w:type="dxa"/>
              <w:bottom w:w="50" w:type="dxa"/>
              <w:right w:w="85" w:type="dxa"/>
            </w:tcMar>
            <w:vAlign w:val="center"/>
          </w:tcPr>
          <w:p>
            <w:pPr>
              <w:spacing w:beforeLines="0" w:afterLines="0" w:line="310" w:lineRule="exact"/>
              <w:jc w:val="center"/>
              <w:rPr>
                <w:rFonts w:hint="eastAsia" w:ascii="宋体" w:hAnsi="宋体"/>
                <w:color w:val="000000"/>
                <w:spacing w:val="-6"/>
                <w:kern w:val="0"/>
                <w:sz w:val="21"/>
                <w:szCs w:val="24"/>
              </w:rPr>
            </w:pPr>
          </w:p>
        </w:tc>
      </w:tr>
    </w:tbl>
    <w:p>
      <w:pPr>
        <w:keepNext w:val="0"/>
        <w:keepLines w:val="0"/>
        <w:pageBreakBefore w:val="0"/>
        <w:widowControl/>
        <w:kinsoku/>
        <w:wordWrap/>
        <w:overflowPunct/>
        <w:topLinePunct w:val="0"/>
        <w:autoSpaceDE/>
        <w:autoSpaceDN/>
        <w:bidi w:val="0"/>
        <w:adjustRightInd w:val="0"/>
        <w:snapToGrid w:val="0"/>
        <w:spacing w:line="20" w:lineRule="exact"/>
        <w:textAlignment w:val="auto"/>
        <w:rPr>
          <w:rFonts w:hint="eastAsia" w:ascii="宋体" w:hAnsi="宋体" w:eastAsia="宋体"/>
          <w:color w:val="000000"/>
          <w:spacing w:val="-6"/>
          <w:sz w:val="25"/>
          <w:szCs w:val="24"/>
          <w:u w:val="single" w:color="000000"/>
        </w:rPr>
      </w:pPr>
    </w:p>
    <w:p/>
    <w:sectPr>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r>
      <w:rPr>
        <w:sz w:val="2"/>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w:r>
  </w:p>
  <w:p>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p>
    <w:pPr>
      <w:spacing w:line="14" w:lineRule="auto"/>
      <w:rPr>
        <w:sz w:val="2"/>
        <w:szCs w:val="2"/>
      </w:rPr>
    </w:pPr>
  </w:p>
  <w:p>
    <w:pPr>
      <w:spacing w:line="14" w:lineRule="auto"/>
      <w:rPr>
        <w:sz w:val="2"/>
        <w:szCs w:val="2"/>
      </w:rPr>
    </w:pPr>
  </w:p>
  <w:p>
    <w:pPr>
      <w:spacing w:line="14" w:lineRule="auto"/>
      <w:rPr>
        <w:sz w:val="2"/>
        <w:szCs w:val="2"/>
      </w:rPr>
    </w:pPr>
    <w:r>
      <w:rPr>
        <w:sz w:val="2"/>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evenAndOddHeaders w:val="true"/>
  <w:drawingGridHorizontalSpacing w:val="110"/>
  <w:displayHorizontalDrawingGridEvery w:val="1"/>
  <w:displayVerticalDrawingGridEvery w:val="1"/>
  <w:noPunctuationKerning w:val="true"/>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A44AE2"/>
    <w:rsid w:val="0008314B"/>
    <w:rsid w:val="0008633F"/>
    <w:rsid w:val="000B495B"/>
    <w:rsid w:val="000E31D9"/>
    <w:rsid w:val="000E77CA"/>
    <w:rsid w:val="00121CE8"/>
    <w:rsid w:val="00125402"/>
    <w:rsid w:val="00190ED8"/>
    <w:rsid w:val="00222B53"/>
    <w:rsid w:val="00275FF1"/>
    <w:rsid w:val="003147DF"/>
    <w:rsid w:val="003546F1"/>
    <w:rsid w:val="00371D40"/>
    <w:rsid w:val="003C0BE6"/>
    <w:rsid w:val="003C3296"/>
    <w:rsid w:val="003D6360"/>
    <w:rsid w:val="00432116"/>
    <w:rsid w:val="00442B81"/>
    <w:rsid w:val="00443121"/>
    <w:rsid w:val="00481035"/>
    <w:rsid w:val="00482961"/>
    <w:rsid w:val="00495171"/>
    <w:rsid w:val="004D21C2"/>
    <w:rsid w:val="004E434A"/>
    <w:rsid w:val="00507588"/>
    <w:rsid w:val="005238B2"/>
    <w:rsid w:val="00531337"/>
    <w:rsid w:val="005B34F1"/>
    <w:rsid w:val="005B56CA"/>
    <w:rsid w:val="005F37EF"/>
    <w:rsid w:val="005F7B92"/>
    <w:rsid w:val="00613014"/>
    <w:rsid w:val="00633D4D"/>
    <w:rsid w:val="0067545E"/>
    <w:rsid w:val="00790D2B"/>
    <w:rsid w:val="007B1FFA"/>
    <w:rsid w:val="007B2C32"/>
    <w:rsid w:val="007D64C3"/>
    <w:rsid w:val="008110E5"/>
    <w:rsid w:val="00820BAD"/>
    <w:rsid w:val="00825CE3"/>
    <w:rsid w:val="00831865"/>
    <w:rsid w:val="00886B4F"/>
    <w:rsid w:val="008A4FC4"/>
    <w:rsid w:val="008B47D6"/>
    <w:rsid w:val="00903BC1"/>
    <w:rsid w:val="009515AD"/>
    <w:rsid w:val="009D29AD"/>
    <w:rsid w:val="00A23E8F"/>
    <w:rsid w:val="00A44AE2"/>
    <w:rsid w:val="00A5375F"/>
    <w:rsid w:val="00A84440"/>
    <w:rsid w:val="00A93214"/>
    <w:rsid w:val="00A978EF"/>
    <w:rsid w:val="00B079A0"/>
    <w:rsid w:val="00B20C4E"/>
    <w:rsid w:val="00B417A1"/>
    <w:rsid w:val="00B4285C"/>
    <w:rsid w:val="00B43543"/>
    <w:rsid w:val="00BA428B"/>
    <w:rsid w:val="00C2222C"/>
    <w:rsid w:val="00C52169"/>
    <w:rsid w:val="00C6136F"/>
    <w:rsid w:val="00C84F21"/>
    <w:rsid w:val="00C93547"/>
    <w:rsid w:val="00CF632F"/>
    <w:rsid w:val="00D12864"/>
    <w:rsid w:val="00D25EFE"/>
    <w:rsid w:val="00D479BD"/>
    <w:rsid w:val="00D6200D"/>
    <w:rsid w:val="00D77ADE"/>
    <w:rsid w:val="00DB47B7"/>
    <w:rsid w:val="00DC6BFD"/>
    <w:rsid w:val="00DD32C4"/>
    <w:rsid w:val="00E003CB"/>
    <w:rsid w:val="00E10903"/>
    <w:rsid w:val="00E1172A"/>
    <w:rsid w:val="00E42827"/>
    <w:rsid w:val="00E66BB6"/>
    <w:rsid w:val="00E708FA"/>
    <w:rsid w:val="00EA3F12"/>
    <w:rsid w:val="00EA6A84"/>
    <w:rsid w:val="00FF07C2"/>
    <w:rsid w:val="3AFECB9D"/>
    <w:rsid w:val="3BFFE52D"/>
    <w:rsid w:val="3CFEA74D"/>
    <w:rsid w:val="3E5BF9E0"/>
    <w:rsid w:val="3F371B1D"/>
    <w:rsid w:val="3FFFB118"/>
    <w:rsid w:val="4FF3AAAD"/>
    <w:rsid w:val="5FB7FC89"/>
    <w:rsid w:val="5FE72236"/>
    <w:rsid w:val="63FF6162"/>
    <w:rsid w:val="6CFBC813"/>
    <w:rsid w:val="6EDD4531"/>
    <w:rsid w:val="73FC5001"/>
    <w:rsid w:val="768CF3DD"/>
    <w:rsid w:val="76FFFDE8"/>
    <w:rsid w:val="7FB59BEE"/>
    <w:rsid w:val="97F11F2C"/>
    <w:rsid w:val="BF7D9017"/>
    <w:rsid w:val="C7F563F8"/>
    <w:rsid w:val="D73E0EAA"/>
    <w:rsid w:val="D7CA260F"/>
    <w:rsid w:val="DFF7D18A"/>
    <w:rsid w:val="EDFF691C"/>
    <w:rsid w:val="EF779D13"/>
    <w:rsid w:val="F97FD997"/>
    <w:rsid w:val="FF365EDD"/>
    <w:rsid w:val="FFBF62A1"/>
    <w:rsid w:val="FFD72E81"/>
    <w:rsid w:val="FFDF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ind w:left="170"/>
      <w:outlineLvl w:val="0"/>
    </w:pPr>
    <w:rPr>
      <w:rFonts w:ascii="方正小标宋简体" w:hAnsi="方正小标宋简体" w:eastAsia="方正小标宋简体"/>
      <w:sz w:val="39"/>
      <w:szCs w:val="39"/>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18"/>
    </w:pPr>
    <w:rPr>
      <w:rFonts w:ascii="宋体" w:hAnsi="宋体" w:eastAsia="宋体"/>
      <w:sz w:val="29"/>
      <w:szCs w:val="29"/>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Char Char Char Char Char Char"/>
    <w:basedOn w:val="1"/>
    <w:qFormat/>
    <w:uiPriority w:val="0"/>
    <w:pPr>
      <w:widowControl/>
      <w:spacing w:after="160" w:line="240" w:lineRule="exact"/>
    </w:pPr>
    <w:rPr>
      <w:rFonts w:ascii="Times New Roman" w:hAnsi="Times New Roman" w:eastAsia="宋体" w:cs="Times New Roman"/>
      <w:kern w:val="2"/>
      <w:sz w:val="21"/>
      <w:szCs w:val="24"/>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1087</Words>
  <Characters>6200</Characters>
  <Lines>51</Lines>
  <Paragraphs>14</Paragraphs>
  <TotalTime>12</TotalTime>
  <ScaleCrop>false</ScaleCrop>
  <LinksUpToDate>false</LinksUpToDate>
  <CharactersWithSpaces>7273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2023-07-11T00:36:00Z</dcterms:created>
  <dc:creator>administrator</dc:creator>
  <cp:lastModifiedBy>administrator</cp:lastModifiedBy>
  <dcterms:modified xsi:type="dcterms:W3CDTF">2024-06-17T10:20:09Z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LastSaved">
    <vt:filetime>2023-07-05T00:00:00Z</vt:filetime>
  </property>
  <property fmtid="{D5CDD505-2E9C-101B-9397-08002B2CF9AE}" pid="4" name="KSOProductBuildVer">
    <vt:lpwstr>2052-11.8.2.9958</vt:lpwstr>
  </property>
</Properties>
</file>