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2F31F1">
      <w:pPr>
        <w:rPr>
          <w:rFonts w:hint="default" w:ascii="Times New Roman" w:hAnsi="Times New Roman" w:eastAsia="仿宋_GB2312" w:cs="Times New Roman"/>
          <w:sz w:val="36"/>
          <w:szCs w:val="36"/>
          <w:highlight w:val="none"/>
        </w:rPr>
      </w:pPr>
    </w:p>
    <w:p w14:paraId="799BB960">
      <w:pPr>
        <w:pStyle w:val="45"/>
        <w:ind w:firstLine="720"/>
        <w:rPr>
          <w:rFonts w:hint="default" w:ascii="Times New Roman" w:hAnsi="Times New Roman" w:eastAsia="仿宋_GB2312" w:cs="Times New Roman"/>
          <w:sz w:val="36"/>
          <w:szCs w:val="36"/>
          <w:highlight w:val="none"/>
        </w:rPr>
      </w:pPr>
    </w:p>
    <w:p w14:paraId="66238079">
      <w:pPr>
        <w:rPr>
          <w:rFonts w:hint="default" w:ascii="Times New Roman" w:hAnsi="Times New Roman" w:eastAsia="仿宋_GB2312" w:cs="Times New Roman"/>
          <w:sz w:val="36"/>
          <w:szCs w:val="36"/>
          <w:highlight w:val="none"/>
        </w:rPr>
      </w:pPr>
    </w:p>
    <w:p w14:paraId="7B0491AC">
      <w:pPr>
        <w:pStyle w:val="45"/>
        <w:ind w:firstLine="720"/>
        <w:rPr>
          <w:rFonts w:hint="default" w:ascii="Times New Roman" w:hAnsi="Times New Roman" w:eastAsia="仿宋_GB2312" w:cs="Times New Roman"/>
          <w:sz w:val="36"/>
          <w:szCs w:val="36"/>
          <w:highlight w:val="none"/>
        </w:rPr>
      </w:pPr>
    </w:p>
    <w:p w14:paraId="79556D04">
      <w:pPr>
        <w:widowControl/>
        <w:spacing w:before="100" w:beforeAutospacing="1" w:after="100" w:afterAutospacing="1"/>
        <w:jc w:val="center"/>
        <w:rPr>
          <w:rFonts w:hint="default" w:ascii="Times New Roman" w:hAnsi="Times New Roman" w:eastAsia="方正小标宋_GBK" w:cs="Times New Roman"/>
          <w:bCs/>
          <w:sz w:val="72"/>
          <w:szCs w:val="72"/>
          <w:highlight w:val="none"/>
        </w:rPr>
      </w:pPr>
      <w:r>
        <w:rPr>
          <w:rFonts w:hint="default" w:ascii="Times New Roman" w:hAnsi="Times New Roman" w:eastAsia="方正小标宋_GBK" w:cs="Times New Roman"/>
          <w:bCs/>
          <w:sz w:val="72"/>
          <w:szCs w:val="72"/>
          <w:highlight w:val="none"/>
        </w:rPr>
        <w:t>建设项目环境影响报告表</w:t>
      </w:r>
    </w:p>
    <w:p w14:paraId="5D442445">
      <w:pPr>
        <w:adjustRightInd w:val="0"/>
        <w:snapToGrid w:val="0"/>
        <w:spacing w:before="192" w:beforeLines="80"/>
        <w:jc w:val="center"/>
        <w:rPr>
          <w:rFonts w:hint="default" w:ascii="Times New Roman" w:hAnsi="Times New Roman" w:eastAsia="楷体_GB2312" w:cs="Times New Roman"/>
          <w:bCs/>
          <w:sz w:val="48"/>
          <w:szCs w:val="48"/>
          <w:highlight w:val="none"/>
        </w:rPr>
      </w:pPr>
      <w:r>
        <w:rPr>
          <w:rFonts w:hint="default" w:ascii="Times New Roman" w:hAnsi="Times New Roman" w:eastAsia="楷体_GB2312" w:cs="Times New Roman"/>
          <w:bCs/>
          <w:sz w:val="48"/>
          <w:szCs w:val="48"/>
          <w:highlight w:val="none"/>
        </w:rPr>
        <w:t>（污染影响类）</w:t>
      </w:r>
    </w:p>
    <w:p w14:paraId="1A30419C">
      <w:pPr>
        <w:jc w:val="center"/>
        <w:rPr>
          <w:rFonts w:hint="default" w:ascii="Times New Roman" w:hAnsi="Times New Roman" w:eastAsia="仿宋" w:cs="Times New Roman"/>
          <w:sz w:val="52"/>
          <w:szCs w:val="52"/>
          <w:highlight w:val="none"/>
        </w:rPr>
      </w:pPr>
    </w:p>
    <w:p w14:paraId="4851CFA5">
      <w:pPr>
        <w:ind w:firstLine="1040"/>
        <w:rPr>
          <w:rFonts w:hint="default" w:ascii="Times New Roman" w:hAnsi="Times New Roman" w:eastAsia="仿宋" w:cs="Times New Roman"/>
          <w:sz w:val="44"/>
          <w:szCs w:val="44"/>
          <w:highlight w:val="none"/>
        </w:rPr>
      </w:pPr>
    </w:p>
    <w:p w14:paraId="0597BBD8">
      <w:pPr>
        <w:ind w:firstLine="1040"/>
        <w:rPr>
          <w:rFonts w:hint="default" w:ascii="Times New Roman" w:hAnsi="Times New Roman" w:eastAsia="仿宋" w:cs="Times New Roman"/>
          <w:sz w:val="44"/>
          <w:szCs w:val="44"/>
          <w:highlight w:val="none"/>
        </w:rPr>
      </w:pPr>
    </w:p>
    <w:p w14:paraId="290E0B36">
      <w:pPr>
        <w:pStyle w:val="45"/>
        <w:rPr>
          <w:rFonts w:hint="default" w:ascii="Times New Roman" w:hAnsi="Times New Roman" w:cs="Times New Roman"/>
          <w:highlight w:val="none"/>
        </w:rPr>
      </w:pPr>
    </w:p>
    <w:p w14:paraId="1AD0E3DF">
      <w:pPr>
        <w:spacing w:line="560" w:lineRule="exact"/>
        <w:ind w:firstLine="1920" w:firstLineChars="600"/>
        <w:rPr>
          <w:rFonts w:hint="default" w:ascii="Times New Roman" w:hAnsi="Times New Roman" w:eastAsia="仿宋_GB2312" w:cs="Times New Roman"/>
          <w:highlight w:val="none"/>
        </w:rPr>
      </w:pPr>
      <w:r>
        <w:rPr>
          <w:rFonts w:hint="default" w:ascii="Times New Roman" w:hAnsi="Times New Roman" w:eastAsia="仿宋_GB2312" w:cs="Times New Roman"/>
          <w:sz w:val="32"/>
          <w:szCs w:val="32"/>
          <w:highlight w:val="none"/>
        </w:rPr>
        <w:t>项目名称：</w:t>
      </w:r>
      <w:r>
        <w:rPr>
          <w:rFonts w:hint="default" w:ascii="Times New Roman" w:hAnsi="Times New Roman" w:eastAsia="仿宋_GB2312" w:cs="Times New Roman"/>
          <w:sz w:val="32"/>
          <w:szCs w:val="32"/>
          <w:highlight w:val="none"/>
          <w:u w:val="single"/>
        </w:rPr>
        <w:t>10万吨/年净水剂药剂生产项目</w:t>
      </w:r>
    </w:p>
    <w:p w14:paraId="5AC29FE7">
      <w:pPr>
        <w:adjustRightInd w:val="0"/>
        <w:snapToGrid w:val="0"/>
        <w:spacing w:line="288" w:lineRule="auto"/>
        <w:ind w:firstLine="1920" w:firstLineChars="600"/>
        <w:rPr>
          <w:rFonts w:hint="default" w:ascii="Times New Roman" w:hAnsi="Times New Roman" w:eastAsia="仿宋_GB2312" w:cs="Times New Roman"/>
          <w:sz w:val="32"/>
          <w:szCs w:val="32"/>
          <w:highlight w:val="none"/>
        </w:rPr>
      </w:pPr>
    </w:p>
    <w:p w14:paraId="777D3C1A">
      <w:pPr>
        <w:adjustRightInd w:val="0"/>
        <w:snapToGrid w:val="0"/>
        <w:spacing w:line="288" w:lineRule="auto"/>
        <w:ind w:firstLine="1920" w:firstLineChars="600"/>
        <w:rPr>
          <w:rFonts w:hint="default" w:ascii="Times New Roman" w:hAnsi="Times New Roman" w:eastAsia="仿宋_GB2312" w:cs="Times New Roman"/>
          <w:sz w:val="32"/>
          <w:szCs w:val="32"/>
          <w:highlight w:val="none"/>
          <w:u w:val="single"/>
        </w:rPr>
      </w:pPr>
      <w:r>
        <w:rPr>
          <w:rFonts w:hint="default" w:ascii="Times New Roman" w:hAnsi="Times New Roman" w:eastAsia="仿宋_GB2312" w:cs="Times New Roman"/>
          <w:sz w:val="32"/>
          <w:szCs w:val="32"/>
          <w:highlight w:val="none"/>
        </w:rPr>
        <w:t>建设单位：</w:t>
      </w:r>
      <w:r>
        <w:rPr>
          <w:rFonts w:hint="default" w:ascii="Times New Roman" w:hAnsi="Times New Roman" w:eastAsia="仿宋_GB2312" w:cs="Times New Roman"/>
          <w:sz w:val="32"/>
          <w:szCs w:val="32"/>
          <w:highlight w:val="none"/>
          <w:u w:val="single"/>
        </w:rPr>
        <w:t>山东瑞海金山化学有限公司</w:t>
      </w:r>
    </w:p>
    <w:p w14:paraId="1A77B3D3">
      <w:pPr>
        <w:pStyle w:val="45"/>
        <w:rPr>
          <w:rFonts w:hint="default" w:ascii="Times New Roman" w:hAnsi="Times New Roman" w:cs="Times New Roman"/>
          <w:highlight w:val="none"/>
        </w:rPr>
      </w:pPr>
    </w:p>
    <w:p w14:paraId="7D3A5B39">
      <w:pPr>
        <w:adjustRightInd w:val="0"/>
        <w:snapToGrid w:val="0"/>
        <w:spacing w:line="288" w:lineRule="auto"/>
        <w:ind w:firstLine="1920" w:firstLineChars="600"/>
        <w:jc w:val="left"/>
        <w:rPr>
          <w:rFonts w:hint="default" w:ascii="Times New Roman" w:hAnsi="Times New Roman" w:eastAsia="仿宋_GB2312" w:cs="Times New Roman"/>
          <w:sz w:val="32"/>
          <w:szCs w:val="32"/>
          <w:highlight w:val="none"/>
          <w:u w:val="single"/>
        </w:rPr>
      </w:pPr>
      <w:r>
        <w:rPr>
          <w:rFonts w:hint="default" w:ascii="Times New Roman" w:hAnsi="Times New Roman" w:eastAsia="仿宋_GB2312" w:cs="Times New Roman"/>
          <w:sz w:val="32"/>
          <w:szCs w:val="32"/>
          <w:highlight w:val="none"/>
        </w:rPr>
        <w:t>编制日期：</w:t>
      </w:r>
      <w:r>
        <w:rPr>
          <w:rFonts w:hint="default" w:ascii="Times New Roman" w:hAnsi="Times New Roman" w:eastAsia="仿宋_GB2312" w:cs="Times New Roman"/>
          <w:sz w:val="32"/>
          <w:szCs w:val="32"/>
          <w:highlight w:val="none"/>
          <w:u w:val="single"/>
        </w:rPr>
        <w:t xml:space="preserve">      2026年3月</w:t>
      </w:r>
      <w:bookmarkStart w:id="0" w:name="_Hlk57884087"/>
      <w:r>
        <w:rPr>
          <w:rFonts w:hint="default" w:ascii="Times New Roman" w:hAnsi="Times New Roman" w:eastAsia="仿宋_GB2312" w:cs="Times New Roman"/>
          <w:sz w:val="32"/>
          <w:szCs w:val="32"/>
          <w:highlight w:val="none"/>
          <w:u w:val="single"/>
        </w:rPr>
        <w:t xml:space="preserve">          </w:t>
      </w:r>
    </w:p>
    <w:p w14:paraId="42CA950A">
      <w:pPr>
        <w:adjustRightInd w:val="0"/>
        <w:snapToGrid w:val="0"/>
        <w:spacing w:line="288" w:lineRule="auto"/>
        <w:ind w:firstLine="1040"/>
        <w:rPr>
          <w:rFonts w:hint="default" w:ascii="Times New Roman" w:hAnsi="Times New Roman" w:eastAsia="仿宋_GB2312" w:cs="Times New Roman"/>
          <w:sz w:val="36"/>
          <w:szCs w:val="36"/>
          <w:highlight w:val="none"/>
        </w:rPr>
      </w:pPr>
    </w:p>
    <w:p w14:paraId="70C479DF">
      <w:pPr>
        <w:adjustRightInd w:val="0"/>
        <w:snapToGrid w:val="0"/>
        <w:spacing w:line="288" w:lineRule="auto"/>
        <w:ind w:firstLine="1040"/>
        <w:rPr>
          <w:rFonts w:hint="default" w:ascii="Times New Roman" w:hAnsi="Times New Roman" w:eastAsia="仿宋_GB2312" w:cs="Times New Roman"/>
          <w:sz w:val="36"/>
          <w:szCs w:val="36"/>
          <w:highlight w:val="none"/>
        </w:rPr>
      </w:pPr>
    </w:p>
    <w:p w14:paraId="3C8446AA">
      <w:pPr>
        <w:adjustRightInd w:val="0"/>
        <w:snapToGrid w:val="0"/>
        <w:spacing w:line="288" w:lineRule="auto"/>
        <w:ind w:firstLine="1040"/>
        <w:rPr>
          <w:rFonts w:hint="default" w:ascii="Times New Roman" w:hAnsi="Times New Roman" w:eastAsia="仿宋_GB2312" w:cs="Times New Roman"/>
          <w:sz w:val="36"/>
          <w:szCs w:val="36"/>
          <w:highlight w:val="none"/>
        </w:rPr>
      </w:pPr>
    </w:p>
    <w:p w14:paraId="3997BBE7">
      <w:pPr>
        <w:pStyle w:val="45"/>
        <w:ind w:firstLine="720"/>
        <w:rPr>
          <w:rFonts w:hint="default" w:ascii="Times New Roman" w:hAnsi="Times New Roman" w:eastAsia="仿宋_GB2312" w:cs="Times New Roman"/>
          <w:sz w:val="36"/>
          <w:szCs w:val="36"/>
          <w:highlight w:val="none"/>
        </w:rPr>
      </w:pPr>
    </w:p>
    <w:p w14:paraId="0D106616">
      <w:pPr>
        <w:rPr>
          <w:rFonts w:hint="default" w:ascii="Times New Roman" w:hAnsi="Times New Roman" w:eastAsia="仿宋_GB2312" w:cs="Times New Roman"/>
          <w:sz w:val="36"/>
          <w:szCs w:val="36"/>
          <w:highlight w:val="none"/>
        </w:rPr>
      </w:pPr>
    </w:p>
    <w:p w14:paraId="49291350">
      <w:pPr>
        <w:pStyle w:val="45"/>
        <w:rPr>
          <w:rFonts w:hint="default" w:ascii="Times New Roman" w:hAnsi="Times New Roman" w:cs="Times New Roman"/>
          <w:highlight w:val="none"/>
        </w:rPr>
      </w:pPr>
    </w:p>
    <w:bookmarkEnd w:id="0"/>
    <w:p w14:paraId="47D6BC2E">
      <w:pPr>
        <w:adjustRightInd w:val="0"/>
        <w:snapToGrid w:val="0"/>
        <w:spacing w:line="288" w:lineRule="auto"/>
        <w:jc w:val="center"/>
        <w:rPr>
          <w:rFonts w:hint="default" w:ascii="Times New Roman" w:hAnsi="Times New Roman" w:eastAsia="楷体_GB2312" w:cs="Times New Roman"/>
          <w:sz w:val="36"/>
          <w:szCs w:val="36"/>
          <w:highlight w:val="none"/>
        </w:rPr>
      </w:pPr>
      <w:r>
        <w:rPr>
          <w:rFonts w:hint="default" w:ascii="Times New Roman" w:hAnsi="Times New Roman" w:eastAsia="楷体_GB2312" w:cs="Times New Roman"/>
          <w:sz w:val="36"/>
          <w:szCs w:val="36"/>
          <w:highlight w:val="none"/>
        </w:rPr>
        <w:t>中华人民共和国生态环境部制</w:t>
      </w:r>
    </w:p>
    <w:p w14:paraId="13FDFB91">
      <w:pPr>
        <w:adjustRightInd w:val="0"/>
        <w:snapToGrid w:val="0"/>
        <w:spacing w:line="288" w:lineRule="auto"/>
        <w:ind w:firstLine="1040"/>
        <w:rPr>
          <w:rFonts w:hint="default" w:ascii="Times New Roman" w:hAnsi="Times New Roman" w:eastAsia="仿宋_GB2312" w:cs="Times New Roman"/>
          <w:sz w:val="36"/>
          <w:szCs w:val="36"/>
          <w:highlight w:val="none"/>
        </w:rPr>
        <w:sectPr>
          <w:headerReference r:id="rId3" w:type="default"/>
          <w:headerReference r:id="rId4" w:type="even"/>
          <w:footerReference r:id="rId5" w:type="even"/>
          <w:type w:val="continuous"/>
          <w:pgSz w:w="11906" w:h="16838"/>
          <w:pgMar w:top="1440" w:right="1080" w:bottom="1440" w:left="1080" w:header="851" w:footer="1077" w:gutter="0"/>
          <w:pgNumType w:start="3"/>
          <w:cols w:space="720" w:num="1"/>
          <w:docGrid w:linePitch="312" w:charSpace="0"/>
        </w:sectPr>
      </w:pPr>
    </w:p>
    <w:p w14:paraId="11A8AEC3">
      <w:pPr>
        <w:pStyle w:val="42"/>
        <w:spacing w:before="0" w:beforeAutospacing="0" w:after="0" w:afterAutospacing="0" w:line="360" w:lineRule="auto"/>
        <w:jc w:val="center"/>
        <w:outlineLvl w:val="0"/>
        <w:rPr>
          <w:rFonts w:hint="default" w:ascii="Times New Roman" w:hAnsi="Times New Roman" w:eastAsia="黑体" w:cs="Times New Roman"/>
          <w:snapToGrid w:val="0"/>
          <w:sz w:val="32"/>
          <w:szCs w:val="32"/>
          <w:highlight w:val="none"/>
        </w:rPr>
      </w:pPr>
      <w:r>
        <w:rPr>
          <w:rFonts w:hint="default" w:ascii="Times New Roman" w:hAnsi="Times New Roman" w:eastAsia="黑体" w:cs="Times New Roman"/>
          <w:snapToGrid w:val="0"/>
          <w:sz w:val="32"/>
          <w:szCs w:val="32"/>
          <w:highlight w:val="none"/>
        </w:rPr>
        <w:t>一、建设项目基本情况</w:t>
      </w:r>
    </w:p>
    <w:tbl>
      <w:tblPr>
        <w:tblStyle w:val="46"/>
        <w:tblW w:w="49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543"/>
        <w:gridCol w:w="834"/>
        <w:gridCol w:w="2856"/>
        <w:gridCol w:w="2439"/>
        <w:gridCol w:w="3077"/>
      </w:tblGrid>
      <w:tr w14:paraId="4B7165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05" w:type="pct"/>
            <w:gridSpan w:val="2"/>
            <w:tcMar>
              <w:top w:w="16" w:type="dxa"/>
              <w:left w:w="16" w:type="dxa"/>
              <w:right w:w="16" w:type="dxa"/>
            </w:tcMar>
            <w:vAlign w:val="center"/>
          </w:tcPr>
          <w:p w14:paraId="0F453474">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建设项目名称</w:t>
            </w:r>
          </w:p>
        </w:tc>
        <w:tc>
          <w:tcPr>
            <w:tcW w:w="4294" w:type="pct"/>
            <w:gridSpan w:val="3"/>
            <w:vAlign w:val="center"/>
          </w:tcPr>
          <w:p w14:paraId="6CF9EFCC">
            <w:pPr>
              <w:spacing w:line="360" w:lineRule="auto"/>
              <w:jc w:val="center"/>
              <w:rPr>
                <w:rFonts w:hint="default" w:ascii="Times New Roman" w:hAnsi="Times New Roman" w:cs="Times New Roman"/>
                <w:sz w:val="24"/>
                <w:highlight w:val="none"/>
              </w:rPr>
            </w:pPr>
            <w:r>
              <w:rPr>
                <w:rFonts w:hint="default" w:ascii="Times New Roman" w:hAnsi="Times New Roman" w:cs="Times New Roman"/>
                <w:sz w:val="24"/>
                <w:highlight w:val="none"/>
              </w:rPr>
              <w:t>10万吨/年净水剂药剂生产项目</w:t>
            </w:r>
          </w:p>
        </w:tc>
      </w:tr>
      <w:tr w14:paraId="088FDF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5" w:hRule="atLeast"/>
          <w:jc w:val="center"/>
        </w:trPr>
        <w:tc>
          <w:tcPr>
            <w:tcW w:w="705" w:type="pct"/>
            <w:gridSpan w:val="2"/>
            <w:tcMar>
              <w:top w:w="16" w:type="dxa"/>
              <w:left w:w="16" w:type="dxa"/>
              <w:right w:w="16" w:type="dxa"/>
            </w:tcMar>
            <w:vAlign w:val="center"/>
          </w:tcPr>
          <w:p w14:paraId="583D0053">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项目代码</w:t>
            </w:r>
          </w:p>
        </w:tc>
        <w:tc>
          <w:tcPr>
            <w:tcW w:w="4294" w:type="pct"/>
            <w:gridSpan w:val="3"/>
            <w:vAlign w:val="center"/>
          </w:tcPr>
          <w:p w14:paraId="374260FF">
            <w:pPr>
              <w:spacing w:line="360" w:lineRule="exact"/>
              <w:jc w:val="center"/>
              <w:rPr>
                <w:rFonts w:hint="default" w:ascii="Times New Roman" w:hAnsi="Times New Roman" w:cs="Times New Roman"/>
                <w:kern w:val="0"/>
                <w:sz w:val="24"/>
                <w:highlight w:val="none"/>
              </w:rPr>
            </w:pPr>
            <w:r>
              <w:rPr>
                <w:rFonts w:hint="default" w:ascii="Times New Roman" w:hAnsi="Times New Roman" w:cs="Times New Roman"/>
                <w:sz w:val="24"/>
                <w:highlight w:val="none"/>
              </w:rPr>
              <w:t>2601-370305-89-01-125276</w:t>
            </w:r>
          </w:p>
        </w:tc>
      </w:tr>
      <w:tr w14:paraId="604311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05" w:type="pct"/>
            <w:gridSpan w:val="2"/>
            <w:tcMar>
              <w:top w:w="16" w:type="dxa"/>
              <w:left w:w="16" w:type="dxa"/>
              <w:right w:w="16" w:type="dxa"/>
            </w:tcMar>
            <w:vAlign w:val="center"/>
          </w:tcPr>
          <w:p w14:paraId="127427BD">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建设单位联系人</w:t>
            </w:r>
          </w:p>
        </w:tc>
        <w:tc>
          <w:tcPr>
            <w:tcW w:w="1465" w:type="pct"/>
            <w:vAlign w:val="center"/>
          </w:tcPr>
          <w:p w14:paraId="0D254BD0">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辛文</w:t>
            </w:r>
          </w:p>
        </w:tc>
        <w:tc>
          <w:tcPr>
            <w:tcW w:w="1251" w:type="pct"/>
            <w:vAlign w:val="center"/>
          </w:tcPr>
          <w:p w14:paraId="6ADA2F58">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联系方式</w:t>
            </w:r>
          </w:p>
        </w:tc>
        <w:tc>
          <w:tcPr>
            <w:tcW w:w="1578" w:type="pct"/>
            <w:vAlign w:val="center"/>
          </w:tcPr>
          <w:p w14:paraId="4F57396E">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15753376397</w:t>
            </w:r>
          </w:p>
        </w:tc>
      </w:tr>
      <w:tr w14:paraId="43B7CB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05" w:type="pct"/>
            <w:gridSpan w:val="2"/>
            <w:tcMar>
              <w:top w:w="16" w:type="dxa"/>
              <w:left w:w="16" w:type="dxa"/>
              <w:right w:w="16" w:type="dxa"/>
            </w:tcMar>
            <w:vAlign w:val="center"/>
          </w:tcPr>
          <w:p w14:paraId="0804E082">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建设地点</w:t>
            </w:r>
          </w:p>
        </w:tc>
        <w:tc>
          <w:tcPr>
            <w:tcW w:w="4294" w:type="pct"/>
            <w:gridSpan w:val="3"/>
            <w:shd w:val="clear" w:color="auto" w:fill="auto"/>
            <w:vAlign w:val="center"/>
          </w:tcPr>
          <w:p w14:paraId="3E259AFE">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临淄区齐鲁化学工业园山东瑞海金山化学有限公司现有厂区内</w:t>
            </w:r>
          </w:p>
        </w:tc>
      </w:tr>
      <w:tr w14:paraId="48F234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705" w:type="pct"/>
            <w:gridSpan w:val="2"/>
            <w:tcMar>
              <w:top w:w="16" w:type="dxa"/>
              <w:left w:w="16" w:type="dxa"/>
              <w:right w:w="16" w:type="dxa"/>
            </w:tcMar>
            <w:vAlign w:val="center"/>
          </w:tcPr>
          <w:p w14:paraId="7D145244">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地理坐标</w:t>
            </w:r>
          </w:p>
        </w:tc>
        <w:tc>
          <w:tcPr>
            <w:tcW w:w="4294" w:type="pct"/>
            <w:gridSpan w:val="3"/>
            <w:shd w:val="clear" w:color="auto" w:fill="auto"/>
            <w:vAlign w:val="center"/>
          </w:tcPr>
          <w:p w14:paraId="0FA5065F">
            <w:pPr>
              <w:jc w:val="center"/>
              <w:rPr>
                <w:rFonts w:hint="default" w:ascii="Times New Roman" w:hAnsi="Times New Roman" w:cs="Times New Roman"/>
                <w:sz w:val="24"/>
                <w:highlight w:val="none"/>
              </w:rPr>
            </w:pPr>
            <w:r>
              <w:rPr>
                <w:rFonts w:hint="default" w:ascii="Times New Roman" w:hAnsi="Times New Roman" w:cs="Times New Roman"/>
                <w:sz w:val="24"/>
                <w:highlight w:val="none"/>
              </w:rPr>
              <w:t>（</w:t>
            </w:r>
            <w:r>
              <w:rPr>
                <w:rFonts w:hint="default" w:ascii="Times New Roman" w:hAnsi="Times New Roman" w:cs="Times New Roman"/>
                <w:sz w:val="24"/>
                <w:highlight w:val="none"/>
                <w:u w:val="single"/>
              </w:rPr>
              <w:t xml:space="preserve"> 118 </w:t>
            </w:r>
            <w:r>
              <w:rPr>
                <w:rFonts w:hint="default" w:ascii="Times New Roman" w:hAnsi="Times New Roman" w:cs="Times New Roman"/>
                <w:sz w:val="24"/>
                <w:highlight w:val="none"/>
              </w:rPr>
              <w:t>度</w:t>
            </w:r>
            <w:r>
              <w:rPr>
                <w:rFonts w:hint="default" w:ascii="Times New Roman" w:hAnsi="Times New Roman" w:cs="Times New Roman"/>
                <w:sz w:val="24"/>
                <w:highlight w:val="none"/>
                <w:u w:val="single"/>
              </w:rPr>
              <w:t xml:space="preserve"> 9 </w:t>
            </w:r>
            <w:r>
              <w:rPr>
                <w:rFonts w:hint="default" w:ascii="Times New Roman" w:hAnsi="Times New Roman" w:cs="Times New Roman"/>
                <w:sz w:val="24"/>
                <w:highlight w:val="none"/>
              </w:rPr>
              <w:t>分</w:t>
            </w:r>
            <w:r>
              <w:rPr>
                <w:rFonts w:hint="default" w:ascii="Times New Roman" w:hAnsi="Times New Roman" w:cs="Times New Roman"/>
                <w:sz w:val="24"/>
                <w:highlight w:val="none"/>
                <w:u w:val="single"/>
              </w:rPr>
              <w:t xml:space="preserve"> 55.852</w:t>
            </w:r>
            <w:r>
              <w:rPr>
                <w:rFonts w:hint="default" w:ascii="Times New Roman" w:hAnsi="Times New Roman" w:cs="Times New Roman"/>
                <w:sz w:val="24"/>
                <w:highlight w:val="none"/>
              </w:rPr>
              <w:t>秒，</w:t>
            </w:r>
            <w:r>
              <w:rPr>
                <w:rFonts w:hint="default" w:ascii="Times New Roman" w:hAnsi="Times New Roman" w:cs="Times New Roman"/>
                <w:sz w:val="24"/>
                <w:highlight w:val="none"/>
                <w:u w:val="single"/>
              </w:rPr>
              <w:t xml:space="preserve"> 36 </w:t>
            </w:r>
            <w:r>
              <w:rPr>
                <w:rFonts w:hint="default" w:ascii="Times New Roman" w:hAnsi="Times New Roman" w:cs="Times New Roman"/>
                <w:sz w:val="24"/>
                <w:highlight w:val="none"/>
              </w:rPr>
              <w:t>度</w:t>
            </w:r>
            <w:r>
              <w:rPr>
                <w:rFonts w:hint="default" w:ascii="Times New Roman" w:hAnsi="Times New Roman" w:cs="Times New Roman"/>
                <w:sz w:val="24"/>
                <w:highlight w:val="none"/>
                <w:u w:val="single"/>
              </w:rPr>
              <w:t xml:space="preserve"> 44 </w:t>
            </w:r>
            <w:r>
              <w:rPr>
                <w:rFonts w:hint="default" w:ascii="Times New Roman" w:hAnsi="Times New Roman" w:cs="Times New Roman"/>
                <w:sz w:val="24"/>
                <w:highlight w:val="none"/>
              </w:rPr>
              <w:t>分</w:t>
            </w:r>
            <w:r>
              <w:rPr>
                <w:rFonts w:hint="default" w:ascii="Times New Roman" w:hAnsi="Times New Roman" w:cs="Times New Roman"/>
                <w:sz w:val="24"/>
                <w:highlight w:val="none"/>
                <w:u w:val="single"/>
              </w:rPr>
              <w:t xml:space="preserve"> 17.788 </w:t>
            </w:r>
            <w:r>
              <w:rPr>
                <w:rFonts w:hint="default" w:ascii="Times New Roman" w:hAnsi="Times New Roman" w:cs="Times New Roman"/>
                <w:sz w:val="24"/>
                <w:highlight w:val="none"/>
              </w:rPr>
              <w:t>秒）</w:t>
            </w:r>
          </w:p>
        </w:tc>
      </w:tr>
      <w:tr w14:paraId="5AADA7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31" w:hRule="atLeast"/>
          <w:jc w:val="center"/>
        </w:trPr>
        <w:tc>
          <w:tcPr>
            <w:tcW w:w="705" w:type="pct"/>
            <w:gridSpan w:val="2"/>
            <w:tcMar>
              <w:top w:w="16" w:type="dxa"/>
              <w:left w:w="16" w:type="dxa"/>
              <w:right w:w="16" w:type="dxa"/>
            </w:tcMar>
            <w:vAlign w:val="center"/>
          </w:tcPr>
          <w:p w14:paraId="0EC81E4E">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国民经济</w:t>
            </w:r>
          </w:p>
          <w:p w14:paraId="2E3F5128">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行业类别</w:t>
            </w:r>
          </w:p>
        </w:tc>
        <w:tc>
          <w:tcPr>
            <w:tcW w:w="1465" w:type="pct"/>
            <w:shd w:val="clear" w:color="auto" w:fill="auto"/>
            <w:vAlign w:val="center"/>
          </w:tcPr>
          <w:p w14:paraId="4E19358F">
            <w:pPr>
              <w:jc w:val="left"/>
              <w:rPr>
                <w:rFonts w:hint="default" w:ascii="Times New Roman" w:hAnsi="Times New Roman" w:cs="Times New Roman"/>
                <w:sz w:val="24"/>
                <w:highlight w:val="none"/>
              </w:rPr>
            </w:pPr>
            <w:r>
              <w:rPr>
                <w:rFonts w:hint="default" w:ascii="Times New Roman" w:hAnsi="Times New Roman" w:cs="Times New Roman"/>
                <w:sz w:val="24"/>
                <w:highlight w:val="none"/>
              </w:rPr>
              <w:t>C2666环境污染处理专用药剂材料制造</w:t>
            </w:r>
          </w:p>
        </w:tc>
        <w:tc>
          <w:tcPr>
            <w:tcW w:w="1251" w:type="pct"/>
            <w:shd w:val="clear" w:color="auto" w:fill="auto"/>
            <w:vAlign w:val="center"/>
          </w:tcPr>
          <w:p w14:paraId="38289A79">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建设项目</w:t>
            </w:r>
          </w:p>
          <w:p w14:paraId="08BAE08A">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行业类别</w:t>
            </w:r>
          </w:p>
        </w:tc>
        <w:tc>
          <w:tcPr>
            <w:tcW w:w="1578" w:type="pct"/>
            <w:shd w:val="clear" w:color="auto" w:fill="auto"/>
            <w:vAlign w:val="center"/>
          </w:tcPr>
          <w:p w14:paraId="0444B3AD">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二十三、化学原料和化学制品制造业 专用化学产品制造 266 单纯物理分离、物理提纯、混合、分装的（不产生废水或挥发性有机物的除外）</w:t>
            </w:r>
          </w:p>
        </w:tc>
      </w:tr>
      <w:tr w14:paraId="775F3B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705" w:type="pct"/>
            <w:gridSpan w:val="2"/>
            <w:tcMar>
              <w:top w:w="16" w:type="dxa"/>
              <w:left w:w="16" w:type="dxa"/>
              <w:right w:w="16" w:type="dxa"/>
            </w:tcMar>
            <w:vAlign w:val="center"/>
          </w:tcPr>
          <w:p w14:paraId="52FBCCB2">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建设性质</w:t>
            </w:r>
          </w:p>
        </w:tc>
        <w:tc>
          <w:tcPr>
            <w:tcW w:w="1465" w:type="pct"/>
            <w:vAlign w:val="center"/>
          </w:tcPr>
          <w:p w14:paraId="20E89DEF">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t>☑新建（迁建）</w:t>
            </w:r>
          </w:p>
          <w:p w14:paraId="16FFA86D">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t>□改、扩建</w:t>
            </w:r>
          </w:p>
          <w:p w14:paraId="68ED25D4">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t>□技改</w:t>
            </w:r>
          </w:p>
        </w:tc>
        <w:tc>
          <w:tcPr>
            <w:tcW w:w="1251" w:type="pct"/>
            <w:vAlign w:val="center"/>
          </w:tcPr>
          <w:p w14:paraId="6CD113C0">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建设项目</w:t>
            </w:r>
          </w:p>
          <w:p w14:paraId="2BEF8F82">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申报情形</w:t>
            </w:r>
          </w:p>
        </w:tc>
        <w:tc>
          <w:tcPr>
            <w:tcW w:w="1578" w:type="pct"/>
            <w:vAlign w:val="center"/>
          </w:tcPr>
          <w:p w14:paraId="2061314A">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52"/>
            </w:r>
            <w:r>
              <w:rPr>
                <w:rFonts w:hint="default" w:ascii="Times New Roman" w:hAnsi="Times New Roman" w:cs="Times New Roman"/>
                <w:sz w:val="24"/>
                <w:highlight w:val="none"/>
              </w:rPr>
              <w:t>首次申报项目</w:t>
            </w:r>
          </w:p>
          <w:p w14:paraId="4BACAD2A">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A3"/>
            </w:r>
            <w:r>
              <w:rPr>
                <w:rFonts w:hint="default" w:ascii="Times New Roman" w:hAnsi="Times New Roman" w:cs="Times New Roman"/>
                <w:sz w:val="24"/>
                <w:highlight w:val="none"/>
              </w:rPr>
              <w:t>不予批准后再次申报项目</w:t>
            </w:r>
          </w:p>
          <w:p w14:paraId="3A7BF076">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A3"/>
            </w:r>
            <w:r>
              <w:rPr>
                <w:rFonts w:hint="default" w:ascii="Times New Roman" w:hAnsi="Times New Roman" w:cs="Times New Roman"/>
                <w:sz w:val="24"/>
                <w:highlight w:val="none"/>
              </w:rPr>
              <w:t>超五年重新审核项目</w:t>
            </w:r>
          </w:p>
          <w:p w14:paraId="3FC4AE4B">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t>□重大变动重新报批项目</w:t>
            </w:r>
          </w:p>
        </w:tc>
      </w:tr>
      <w:tr w14:paraId="6D51F9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705" w:type="pct"/>
            <w:gridSpan w:val="2"/>
            <w:tcMar>
              <w:top w:w="16" w:type="dxa"/>
              <w:left w:w="16" w:type="dxa"/>
              <w:right w:w="16" w:type="dxa"/>
            </w:tcMar>
            <w:vAlign w:val="center"/>
          </w:tcPr>
          <w:p w14:paraId="1B76B530">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项目审批（核准/备案）部门（选填）</w:t>
            </w:r>
          </w:p>
        </w:tc>
        <w:tc>
          <w:tcPr>
            <w:tcW w:w="1465" w:type="pct"/>
            <w:vAlign w:val="center"/>
          </w:tcPr>
          <w:p w14:paraId="3411B31A">
            <w:pPr>
              <w:contextualSpacing/>
              <w:jc w:val="center"/>
              <w:rPr>
                <w:rFonts w:hint="default" w:ascii="Times New Roman" w:hAnsi="Times New Roman" w:cs="Times New Roman"/>
                <w:sz w:val="24"/>
                <w:highlight w:val="none"/>
              </w:rPr>
            </w:pPr>
            <w:r>
              <w:rPr>
                <w:rFonts w:hint="default" w:ascii="Times New Roman" w:hAnsi="Times New Roman" w:cs="Times New Roman"/>
                <w:sz w:val="24"/>
                <w:highlight w:val="none"/>
              </w:rPr>
              <w:t>临淄区审批服务局</w:t>
            </w:r>
          </w:p>
        </w:tc>
        <w:tc>
          <w:tcPr>
            <w:tcW w:w="1251" w:type="pct"/>
            <w:vAlign w:val="center"/>
          </w:tcPr>
          <w:p w14:paraId="2610BCEC">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项目审批（核准/</w:t>
            </w:r>
          </w:p>
          <w:p w14:paraId="6B2C605B">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备案）文号（选填）</w:t>
            </w:r>
          </w:p>
        </w:tc>
        <w:tc>
          <w:tcPr>
            <w:tcW w:w="1578" w:type="pct"/>
            <w:vAlign w:val="center"/>
          </w:tcPr>
          <w:p w14:paraId="20796CDC">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2601-370305-89-01-125276</w:t>
            </w:r>
          </w:p>
        </w:tc>
      </w:tr>
      <w:tr w14:paraId="5BC8E5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05" w:type="pct"/>
            <w:gridSpan w:val="2"/>
            <w:tcMar>
              <w:top w:w="16" w:type="dxa"/>
              <w:left w:w="16" w:type="dxa"/>
              <w:right w:w="16" w:type="dxa"/>
            </w:tcMar>
            <w:vAlign w:val="center"/>
          </w:tcPr>
          <w:p w14:paraId="7CE4662B">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总投资（万元）</w:t>
            </w:r>
          </w:p>
        </w:tc>
        <w:tc>
          <w:tcPr>
            <w:tcW w:w="1465" w:type="pct"/>
            <w:shd w:val="clear" w:color="auto" w:fill="auto"/>
            <w:vAlign w:val="center"/>
          </w:tcPr>
          <w:p w14:paraId="6130776E">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11664.73</w:t>
            </w:r>
          </w:p>
        </w:tc>
        <w:tc>
          <w:tcPr>
            <w:tcW w:w="1251" w:type="pct"/>
            <w:shd w:val="clear" w:color="auto" w:fill="auto"/>
            <w:tcMar>
              <w:top w:w="16" w:type="dxa"/>
              <w:left w:w="16" w:type="dxa"/>
              <w:right w:w="16" w:type="dxa"/>
            </w:tcMar>
            <w:vAlign w:val="center"/>
          </w:tcPr>
          <w:p w14:paraId="1B62A1E3">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环保投资（万元）</w:t>
            </w:r>
          </w:p>
        </w:tc>
        <w:tc>
          <w:tcPr>
            <w:tcW w:w="1578" w:type="pct"/>
            <w:shd w:val="clear" w:color="auto" w:fill="auto"/>
            <w:vAlign w:val="center"/>
          </w:tcPr>
          <w:p w14:paraId="31E93CA9">
            <w:pPr>
              <w:adjustRightInd w:val="0"/>
              <w:snapToGrid w:val="0"/>
              <w:jc w:val="center"/>
              <w:rPr>
                <w:rFonts w:hint="default" w:ascii="Times New Roman" w:hAnsi="Times New Roman" w:cs="Times New Roman"/>
                <w:sz w:val="24"/>
                <w:highlight w:val="none"/>
              </w:rPr>
            </w:pPr>
            <w:r>
              <w:rPr>
                <w:rFonts w:hint="eastAsia" w:cs="Times New Roman"/>
                <w:sz w:val="24"/>
                <w:highlight w:val="none"/>
                <w:lang w:val="en-US" w:eastAsia="zh-CN"/>
              </w:rPr>
              <w:t>9</w:t>
            </w:r>
            <w:r>
              <w:rPr>
                <w:rFonts w:hint="default" w:ascii="Times New Roman" w:hAnsi="Times New Roman" w:cs="Times New Roman"/>
                <w:sz w:val="24"/>
                <w:highlight w:val="none"/>
              </w:rPr>
              <w:t>0.00</w:t>
            </w:r>
          </w:p>
        </w:tc>
      </w:tr>
      <w:tr w14:paraId="192B53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05" w:type="pct"/>
            <w:gridSpan w:val="2"/>
            <w:tcMar>
              <w:top w:w="16" w:type="dxa"/>
              <w:left w:w="16" w:type="dxa"/>
              <w:right w:w="16" w:type="dxa"/>
            </w:tcMar>
            <w:vAlign w:val="center"/>
          </w:tcPr>
          <w:p w14:paraId="4528A5D6">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环保投资占比（%）</w:t>
            </w:r>
          </w:p>
        </w:tc>
        <w:tc>
          <w:tcPr>
            <w:tcW w:w="1465" w:type="pct"/>
            <w:shd w:val="clear" w:color="auto" w:fill="auto"/>
            <w:vAlign w:val="center"/>
          </w:tcPr>
          <w:p w14:paraId="436ED131">
            <w:pPr>
              <w:adjustRightInd w:val="0"/>
              <w:snapToGrid w:val="0"/>
              <w:jc w:val="center"/>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rPr>
              <w:t>0.</w:t>
            </w:r>
            <w:r>
              <w:rPr>
                <w:rFonts w:hint="eastAsia" w:cs="Times New Roman"/>
                <w:sz w:val="24"/>
                <w:highlight w:val="none"/>
                <w:lang w:val="en-US" w:eastAsia="zh-CN"/>
              </w:rPr>
              <w:t>77</w:t>
            </w:r>
          </w:p>
        </w:tc>
        <w:tc>
          <w:tcPr>
            <w:tcW w:w="1251" w:type="pct"/>
            <w:shd w:val="clear" w:color="auto" w:fill="auto"/>
            <w:tcMar>
              <w:top w:w="16" w:type="dxa"/>
              <w:left w:w="16" w:type="dxa"/>
              <w:right w:w="16" w:type="dxa"/>
            </w:tcMar>
            <w:vAlign w:val="center"/>
          </w:tcPr>
          <w:p w14:paraId="0D5C2576">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施工工期</w:t>
            </w:r>
          </w:p>
        </w:tc>
        <w:tc>
          <w:tcPr>
            <w:tcW w:w="1578" w:type="pct"/>
            <w:shd w:val="clear" w:color="auto" w:fill="auto"/>
            <w:vAlign w:val="center"/>
          </w:tcPr>
          <w:p w14:paraId="2315DF7C">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12个月</w:t>
            </w:r>
          </w:p>
        </w:tc>
      </w:tr>
      <w:tr w14:paraId="78C4AA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705" w:type="pct"/>
            <w:gridSpan w:val="2"/>
            <w:tcMar>
              <w:top w:w="16" w:type="dxa"/>
              <w:left w:w="16" w:type="dxa"/>
              <w:right w:w="16" w:type="dxa"/>
            </w:tcMar>
            <w:vAlign w:val="center"/>
          </w:tcPr>
          <w:p w14:paraId="2E367742">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是否开工建设</w:t>
            </w:r>
          </w:p>
        </w:tc>
        <w:tc>
          <w:tcPr>
            <w:tcW w:w="1465" w:type="pct"/>
            <w:vAlign w:val="center"/>
          </w:tcPr>
          <w:p w14:paraId="7A89DD2A">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52"/>
            </w:r>
            <w:r>
              <w:rPr>
                <w:rFonts w:hint="default" w:ascii="Times New Roman" w:hAnsi="Times New Roman" w:cs="Times New Roman"/>
                <w:sz w:val="24"/>
                <w:highlight w:val="none"/>
              </w:rPr>
              <w:t>否</w:t>
            </w:r>
          </w:p>
          <w:p w14:paraId="15F68B52">
            <w:pPr>
              <w:spacing w:line="360" w:lineRule="exact"/>
              <w:jc w:val="left"/>
              <w:rPr>
                <w:rFonts w:hint="default" w:ascii="Times New Roman" w:hAnsi="Times New Roman" w:cs="Times New Roman"/>
                <w:sz w:val="24"/>
                <w:highlight w:val="none"/>
              </w:rPr>
            </w:pPr>
            <w:r>
              <w:rPr>
                <w:rFonts w:hint="default" w:ascii="Times New Roman" w:hAnsi="Times New Roman" w:cs="Times New Roman"/>
                <w:sz w:val="24"/>
                <w:highlight w:val="none"/>
              </w:rPr>
              <w:sym w:font="Wingdings 2" w:char="00A3"/>
            </w:r>
            <w:r>
              <w:rPr>
                <w:rFonts w:hint="default" w:ascii="Times New Roman" w:hAnsi="Times New Roman" w:cs="Times New Roman"/>
                <w:sz w:val="24"/>
                <w:highlight w:val="none"/>
              </w:rPr>
              <w:t>是</w:t>
            </w:r>
          </w:p>
        </w:tc>
        <w:tc>
          <w:tcPr>
            <w:tcW w:w="1251" w:type="pct"/>
            <w:tcMar>
              <w:top w:w="16" w:type="dxa"/>
              <w:left w:w="16" w:type="dxa"/>
              <w:right w:w="16" w:type="dxa"/>
            </w:tcMar>
            <w:vAlign w:val="center"/>
          </w:tcPr>
          <w:p w14:paraId="2E4B9465">
            <w:pPr>
              <w:spacing w:line="360" w:lineRule="exact"/>
              <w:jc w:val="center"/>
              <w:rPr>
                <w:rFonts w:hint="default" w:ascii="Times New Roman" w:hAnsi="Times New Roman" w:cs="Times New Roman"/>
                <w:spacing w:val="-6"/>
                <w:sz w:val="24"/>
                <w:highlight w:val="none"/>
              </w:rPr>
            </w:pPr>
            <w:r>
              <w:rPr>
                <w:rFonts w:hint="default" w:ascii="Times New Roman" w:hAnsi="Times New Roman" w:cs="Times New Roman"/>
                <w:spacing w:val="-6"/>
                <w:sz w:val="24"/>
                <w:highlight w:val="none"/>
              </w:rPr>
              <w:t>用地（用海）</w:t>
            </w:r>
          </w:p>
          <w:p w14:paraId="2488A4BC">
            <w:pPr>
              <w:spacing w:line="360" w:lineRule="exact"/>
              <w:jc w:val="center"/>
              <w:rPr>
                <w:rFonts w:hint="default" w:ascii="Times New Roman" w:hAnsi="Times New Roman" w:cs="Times New Roman"/>
                <w:sz w:val="24"/>
                <w:highlight w:val="none"/>
              </w:rPr>
            </w:pPr>
            <w:r>
              <w:rPr>
                <w:rFonts w:hint="default" w:ascii="Times New Roman" w:hAnsi="Times New Roman" w:cs="Times New Roman"/>
                <w:spacing w:val="-6"/>
                <w:sz w:val="24"/>
                <w:highlight w:val="none"/>
              </w:rPr>
              <w:t>面积（m</w:t>
            </w:r>
            <w:r>
              <w:rPr>
                <w:rFonts w:hint="default" w:ascii="Times New Roman" w:hAnsi="Times New Roman" w:cs="Times New Roman"/>
                <w:spacing w:val="-6"/>
                <w:sz w:val="24"/>
                <w:highlight w:val="none"/>
                <w:vertAlign w:val="superscript"/>
              </w:rPr>
              <w:t>2</w:t>
            </w:r>
            <w:r>
              <w:rPr>
                <w:rFonts w:hint="default" w:ascii="Times New Roman" w:hAnsi="Times New Roman" w:cs="Times New Roman"/>
                <w:spacing w:val="-6"/>
                <w:sz w:val="24"/>
                <w:highlight w:val="none"/>
              </w:rPr>
              <w:t>）</w:t>
            </w:r>
          </w:p>
        </w:tc>
        <w:tc>
          <w:tcPr>
            <w:tcW w:w="1578" w:type="pct"/>
            <w:vAlign w:val="center"/>
          </w:tcPr>
          <w:p w14:paraId="2924830F">
            <w:pPr>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65918</w:t>
            </w:r>
          </w:p>
        </w:tc>
      </w:tr>
      <w:tr w14:paraId="11A760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78" w:type="pct"/>
            <w:vAlign w:val="center"/>
          </w:tcPr>
          <w:p w14:paraId="2BC30308">
            <w:pPr>
              <w:autoSpaceDE w:val="0"/>
              <w:autoSpaceDN w:val="0"/>
              <w:spacing w:line="360" w:lineRule="exact"/>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专项评价设置情况</w:t>
            </w:r>
          </w:p>
        </w:tc>
        <w:tc>
          <w:tcPr>
            <w:tcW w:w="4721" w:type="pct"/>
            <w:gridSpan w:val="4"/>
            <w:vAlign w:val="center"/>
          </w:tcPr>
          <w:p w14:paraId="735817E7">
            <w:pPr>
              <w:widowControl/>
              <w:spacing w:line="360" w:lineRule="auto"/>
              <w:ind w:firstLine="480"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kern w:val="0"/>
                <w:sz w:val="24"/>
                <w:highlight w:val="none"/>
                <w:lang w:bidi="ar"/>
              </w:rPr>
              <w:t>根据《建设项目环境影响报告表编制技术指南（污染影响类）》（试行）中表总体要求，结合本项目实际，需开展环境风险专项评价。具体见下表：</w:t>
            </w:r>
          </w:p>
          <w:p w14:paraId="1599FC7F">
            <w:pPr>
              <w:pStyle w:val="172"/>
              <w:ind w:firstLine="0" w:firstLineChars="0"/>
              <w:jc w:val="center"/>
              <w:rPr>
                <w:rFonts w:hint="default" w:ascii="Times New Roman" w:hAnsi="Times New Roman" w:cs="Times New Roman"/>
                <w:highlight w:val="none"/>
              </w:rPr>
            </w:pPr>
            <w:r>
              <w:rPr>
                <w:rFonts w:hint="default" w:ascii="Times New Roman" w:hAnsi="Times New Roman" w:cs="Times New Roman"/>
                <w:b/>
                <w:bCs/>
                <w:highlight w:val="none"/>
              </w:rPr>
              <w:t>表1-1  项目专项评价设置情况一览表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8"/>
              <w:gridCol w:w="3614"/>
              <w:gridCol w:w="2564"/>
              <w:gridCol w:w="1094"/>
            </w:tblGrid>
            <w:tr w14:paraId="5BE61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5" w:type="dxa"/>
                  <w:tcMar>
                    <w:top w:w="0" w:type="dxa"/>
                    <w:left w:w="57" w:type="dxa"/>
                    <w:bottom w:w="0" w:type="dxa"/>
                    <w:right w:w="57" w:type="dxa"/>
                  </w:tcMar>
                  <w:vAlign w:val="center"/>
                </w:tcPr>
                <w:p w14:paraId="4F78461D">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专项评价的类别</w:t>
                  </w:r>
                </w:p>
              </w:tc>
              <w:tc>
                <w:tcPr>
                  <w:tcW w:w="3544" w:type="dxa"/>
                  <w:tcMar>
                    <w:top w:w="0" w:type="dxa"/>
                    <w:left w:w="57" w:type="dxa"/>
                    <w:bottom w:w="0" w:type="dxa"/>
                    <w:right w:w="57" w:type="dxa"/>
                  </w:tcMar>
                  <w:vAlign w:val="center"/>
                </w:tcPr>
                <w:p w14:paraId="5426A64B">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设置原则</w:t>
                  </w:r>
                </w:p>
              </w:tc>
              <w:tc>
                <w:tcPr>
                  <w:tcW w:w="2515" w:type="dxa"/>
                  <w:tcMar>
                    <w:top w:w="0" w:type="dxa"/>
                    <w:left w:w="57" w:type="dxa"/>
                    <w:bottom w:w="0" w:type="dxa"/>
                    <w:right w:w="57" w:type="dxa"/>
                  </w:tcMar>
                  <w:vAlign w:val="center"/>
                </w:tcPr>
                <w:p w14:paraId="69C66A54">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本项目情况</w:t>
                  </w:r>
                </w:p>
              </w:tc>
              <w:tc>
                <w:tcPr>
                  <w:tcW w:w="1073" w:type="dxa"/>
                  <w:tcMar>
                    <w:top w:w="0" w:type="dxa"/>
                    <w:left w:w="57" w:type="dxa"/>
                    <w:bottom w:w="0" w:type="dxa"/>
                    <w:right w:w="57" w:type="dxa"/>
                  </w:tcMar>
                  <w:vAlign w:val="center"/>
                </w:tcPr>
                <w:p w14:paraId="7BEA059C">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是否设置专项</w:t>
                  </w:r>
                </w:p>
              </w:tc>
            </w:tr>
            <w:tr w14:paraId="5E526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5" w:type="dxa"/>
                  <w:tcMar>
                    <w:top w:w="0" w:type="dxa"/>
                    <w:left w:w="57" w:type="dxa"/>
                    <w:bottom w:w="0" w:type="dxa"/>
                    <w:right w:w="57" w:type="dxa"/>
                  </w:tcMar>
                  <w:vAlign w:val="center"/>
                </w:tcPr>
                <w:p w14:paraId="2606534D">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w:t>
                  </w:r>
                </w:p>
              </w:tc>
              <w:tc>
                <w:tcPr>
                  <w:tcW w:w="3544" w:type="dxa"/>
                  <w:tcMar>
                    <w:top w:w="0" w:type="dxa"/>
                    <w:left w:w="57" w:type="dxa"/>
                    <w:bottom w:w="0" w:type="dxa"/>
                    <w:right w:w="57" w:type="dxa"/>
                  </w:tcMar>
                  <w:vAlign w:val="center"/>
                </w:tcPr>
                <w:p w14:paraId="5BB6735C">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排放废气含有毒有害污染物、二噁英、苯并[</w:t>
                  </w:r>
                  <w:r>
                    <w:rPr>
                      <w:rFonts w:hint="default" w:ascii="Times New Roman" w:hAnsi="Times New Roman" w:cs="Times New Roman"/>
                      <w:i/>
                      <w:sz w:val="21"/>
                      <w:szCs w:val="21"/>
                      <w:highlight w:val="none"/>
                    </w:rPr>
                    <w:t>a</w:t>
                  </w:r>
                  <w:r>
                    <w:rPr>
                      <w:rFonts w:hint="default" w:ascii="Times New Roman" w:hAnsi="Times New Roman" w:cs="Times New Roman"/>
                      <w:sz w:val="21"/>
                      <w:szCs w:val="21"/>
                      <w:highlight w:val="none"/>
                    </w:rPr>
                    <w:t>]芘、氰化物、氯气且厂界外500米范围内有环境空气保护目标的建设项目</w:t>
                  </w:r>
                </w:p>
              </w:tc>
              <w:tc>
                <w:tcPr>
                  <w:tcW w:w="2515" w:type="dxa"/>
                  <w:tcMar>
                    <w:top w:w="0" w:type="dxa"/>
                    <w:left w:w="57" w:type="dxa"/>
                    <w:bottom w:w="0" w:type="dxa"/>
                    <w:right w:w="57" w:type="dxa"/>
                  </w:tcMar>
                  <w:vAlign w:val="center"/>
                </w:tcPr>
                <w:p w14:paraId="017467B8">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本项目不涉及前述有毒有害污染物</w:t>
                  </w:r>
                </w:p>
              </w:tc>
              <w:tc>
                <w:tcPr>
                  <w:tcW w:w="1073" w:type="dxa"/>
                  <w:tcMar>
                    <w:top w:w="0" w:type="dxa"/>
                    <w:left w:w="57" w:type="dxa"/>
                    <w:bottom w:w="0" w:type="dxa"/>
                    <w:right w:w="57" w:type="dxa"/>
                  </w:tcMar>
                  <w:vAlign w:val="center"/>
                </w:tcPr>
                <w:p w14:paraId="69BBA268">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否</w:t>
                  </w:r>
                </w:p>
              </w:tc>
            </w:tr>
            <w:tr w14:paraId="3FD63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5" w:type="dxa"/>
                  <w:tcMar>
                    <w:top w:w="0" w:type="dxa"/>
                    <w:left w:w="57" w:type="dxa"/>
                    <w:bottom w:w="0" w:type="dxa"/>
                    <w:right w:w="57" w:type="dxa"/>
                  </w:tcMar>
                  <w:vAlign w:val="center"/>
                </w:tcPr>
                <w:p w14:paraId="198E0B7B">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地表水</w:t>
                  </w:r>
                </w:p>
              </w:tc>
              <w:tc>
                <w:tcPr>
                  <w:tcW w:w="3544" w:type="dxa"/>
                  <w:tcMar>
                    <w:top w:w="0" w:type="dxa"/>
                    <w:left w:w="57" w:type="dxa"/>
                    <w:bottom w:w="0" w:type="dxa"/>
                    <w:right w:w="57" w:type="dxa"/>
                  </w:tcMar>
                  <w:vAlign w:val="center"/>
                </w:tcPr>
                <w:p w14:paraId="795B3610">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新增工业废水直排建设项目（槽罐车外送污水处理厂的除外）；新增废水直排的污水集中处理厂</w:t>
                  </w:r>
                </w:p>
              </w:tc>
              <w:tc>
                <w:tcPr>
                  <w:tcW w:w="2515" w:type="dxa"/>
                  <w:tcMar>
                    <w:top w:w="0" w:type="dxa"/>
                    <w:left w:w="57" w:type="dxa"/>
                    <w:bottom w:w="0" w:type="dxa"/>
                    <w:right w:w="57" w:type="dxa"/>
                  </w:tcMar>
                  <w:vAlign w:val="center"/>
                </w:tcPr>
                <w:p w14:paraId="3B35EF7C">
                  <w:pPr>
                    <w:pStyle w:val="119"/>
                    <w:jc w:val="both"/>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本项目调配用水随产品带走，不外排，不属于新增工业废水直排的建设项目</w:t>
                  </w:r>
                </w:p>
              </w:tc>
              <w:tc>
                <w:tcPr>
                  <w:tcW w:w="1073" w:type="dxa"/>
                  <w:tcMar>
                    <w:top w:w="0" w:type="dxa"/>
                    <w:left w:w="57" w:type="dxa"/>
                    <w:bottom w:w="0" w:type="dxa"/>
                    <w:right w:w="57" w:type="dxa"/>
                  </w:tcMar>
                  <w:vAlign w:val="center"/>
                </w:tcPr>
                <w:p w14:paraId="1F3142A3">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否</w:t>
                  </w:r>
                </w:p>
              </w:tc>
            </w:tr>
            <w:tr w14:paraId="2AE97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5" w:type="dxa"/>
                  <w:tcMar>
                    <w:top w:w="0" w:type="dxa"/>
                    <w:left w:w="57" w:type="dxa"/>
                    <w:bottom w:w="0" w:type="dxa"/>
                    <w:right w:w="57" w:type="dxa"/>
                  </w:tcMar>
                  <w:vAlign w:val="center"/>
                </w:tcPr>
                <w:p w14:paraId="17430204">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环境风险</w:t>
                  </w:r>
                </w:p>
              </w:tc>
              <w:tc>
                <w:tcPr>
                  <w:tcW w:w="3544" w:type="dxa"/>
                  <w:tcMar>
                    <w:top w:w="0" w:type="dxa"/>
                    <w:left w:w="57" w:type="dxa"/>
                    <w:bottom w:w="0" w:type="dxa"/>
                    <w:right w:w="57" w:type="dxa"/>
                  </w:tcMar>
                  <w:vAlign w:val="center"/>
                </w:tcPr>
                <w:p w14:paraId="00B0FF11">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有毒有害和易燃易爆危险物质存储量超过临界量的建设项目</w:t>
                  </w:r>
                </w:p>
              </w:tc>
              <w:tc>
                <w:tcPr>
                  <w:tcW w:w="2515" w:type="dxa"/>
                  <w:tcMar>
                    <w:top w:w="0" w:type="dxa"/>
                    <w:left w:w="57" w:type="dxa"/>
                    <w:bottom w:w="0" w:type="dxa"/>
                    <w:right w:w="57" w:type="dxa"/>
                  </w:tcMar>
                  <w:vAlign w:val="center"/>
                </w:tcPr>
                <w:p w14:paraId="2135D7B7">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有毒有害和易燃易爆危险物质存储量超过临界量</w:t>
                  </w:r>
                </w:p>
              </w:tc>
              <w:tc>
                <w:tcPr>
                  <w:tcW w:w="1073" w:type="dxa"/>
                  <w:tcMar>
                    <w:top w:w="0" w:type="dxa"/>
                    <w:left w:w="57" w:type="dxa"/>
                    <w:bottom w:w="0" w:type="dxa"/>
                    <w:right w:w="57" w:type="dxa"/>
                  </w:tcMar>
                  <w:vAlign w:val="center"/>
                </w:tcPr>
                <w:p w14:paraId="29A14539">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是</w:t>
                  </w:r>
                </w:p>
              </w:tc>
            </w:tr>
            <w:tr w14:paraId="18510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5" w:type="dxa"/>
                  <w:tcMar>
                    <w:top w:w="0" w:type="dxa"/>
                    <w:left w:w="57" w:type="dxa"/>
                    <w:bottom w:w="0" w:type="dxa"/>
                    <w:right w:w="57" w:type="dxa"/>
                  </w:tcMar>
                  <w:vAlign w:val="center"/>
                </w:tcPr>
                <w:p w14:paraId="59259F68">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生态</w:t>
                  </w:r>
                </w:p>
              </w:tc>
              <w:tc>
                <w:tcPr>
                  <w:tcW w:w="3544" w:type="dxa"/>
                  <w:tcMar>
                    <w:top w:w="0" w:type="dxa"/>
                    <w:left w:w="57" w:type="dxa"/>
                    <w:bottom w:w="0" w:type="dxa"/>
                    <w:right w:w="57" w:type="dxa"/>
                  </w:tcMar>
                  <w:vAlign w:val="center"/>
                </w:tcPr>
                <w:p w14:paraId="13613462">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取水口下游500米范围内有重要水生生物的自然产卵场、索饵场、越冬场和洄游通道的新增河道取水的污染类建设项目</w:t>
                  </w:r>
                </w:p>
              </w:tc>
              <w:tc>
                <w:tcPr>
                  <w:tcW w:w="2515" w:type="dxa"/>
                  <w:tcMar>
                    <w:top w:w="0" w:type="dxa"/>
                    <w:left w:w="57" w:type="dxa"/>
                    <w:bottom w:w="0" w:type="dxa"/>
                    <w:right w:w="57" w:type="dxa"/>
                  </w:tcMar>
                  <w:vAlign w:val="center"/>
                </w:tcPr>
                <w:p w14:paraId="13235C6F">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本项目不设取水口</w:t>
                  </w:r>
                </w:p>
              </w:tc>
              <w:tc>
                <w:tcPr>
                  <w:tcW w:w="1073" w:type="dxa"/>
                  <w:tcMar>
                    <w:top w:w="0" w:type="dxa"/>
                    <w:left w:w="57" w:type="dxa"/>
                    <w:bottom w:w="0" w:type="dxa"/>
                    <w:right w:w="57" w:type="dxa"/>
                  </w:tcMar>
                  <w:vAlign w:val="center"/>
                </w:tcPr>
                <w:p w14:paraId="4E9DD714">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否</w:t>
                  </w:r>
                </w:p>
              </w:tc>
            </w:tr>
            <w:tr w14:paraId="1D37B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5" w:type="dxa"/>
                  <w:tcMar>
                    <w:top w:w="0" w:type="dxa"/>
                    <w:left w:w="57" w:type="dxa"/>
                    <w:bottom w:w="0" w:type="dxa"/>
                    <w:right w:w="57" w:type="dxa"/>
                  </w:tcMar>
                  <w:vAlign w:val="center"/>
                </w:tcPr>
                <w:p w14:paraId="76D688C7">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海洋</w:t>
                  </w:r>
                </w:p>
              </w:tc>
              <w:tc>
                <w:tcPr>
                  <w:tcW w:w="3544" w:type="dxa"/>
                  <w:tcMar>
                    <w:top w:w="0" w:type="dxa"/>
                    <w:left w:w="57" w:type="dxa"/>
                    <w:bottom w:w="0" w:type="dxa"/>
                    <w:right w:w="57" w:type="dxa"/>
                  </w:tcMar>
                  <w:vAlign w:val="center"/>
                </w:tcPr>
                <w:p w14:paraId="1F4A2631">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直接向海排放污染物的海洋工程建设项目</w:t>
                  </w:r>
                </w:p>
              </w:tc>
              <w:tc>
                <w:tcPr>
                  <w:tcW w:w="2515" w:type="dxa"/>
                  <w:tcMar>
                    <w:top w:w="0" w:type="dxa"/>
                    <w:left w:w="57" w:type="dxa"/>
                    <w:bottom w:w="0" w:type="dxa"/>
                    <w:right w:w="57" w:type="dxa"/>
                  </w:tcMar>
                  <w:vAlign w:val="center"/>
                </w:tcPr>
                <w:p w14:paraId="7AA7EEDA">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本项目不属于海洋工程项目</w:t>
                  </w:r>
                </w:p>
              </w:tc>
              <w:tc>
                <w:tcPr>
                  <w:tcW w:w="1073" w:type="dxa"/>
                  <w:tcMar>
                    <w:top w:w="0" w:type="dxa"/>
                    <w:left w:w="57" w:type="dxa"/>
                    <w:bottom w:w="0" w:type="dxa"/>
                    <w:right w:w="57" w:type="dxa"/>
                  </w:tcMar>
                  <w:vAlign w:val="center"/>
                </w:tcPr>
                <w:p w14:paraId="17832539">
                  <w:pPr>
                    <w:pStyle w:val="119"/>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否</w:t>
                  </w:r>
                </w:p>
              </w:tc>
            </w:tr>
          </w:tbl>
          <w:p w14:paraId="7C98EC1F">
            <w:pPr>
              <w:autoSpaceDE w:val="0"/>
              <w:autoSpaceDN w:val="0"/>
              <w:spacing w:line="360" w:lineRule="exact"/>
              <w:jc w:val="center"/>
              <w:rPr>
                <w:rFonts w:hint="default" w:ascii="Times New Roman" w:hAnsi="Times New Roman" w:cs="Times New Roman"/>
                <w:kern w:val="0"/>
                <w:sz w:val="24"/>
                <w:highlight w:val="none"/>
              </w:rPr>
            </w:pPr>
          </w:p>
        </w:tc>
      </w:tr>
      <w:tr w14:paraId="4968D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81" w:hRule="atLeast"/>
          <w:jc w:val="center"/>
        </w:trPr>
        <w:tc>
          <w:tcPr>
            <w:tcW w:w="278" w:type="pct"/>
            <w:vAlign w:val="center"/>
          </w:tcPr>
          <w:p w14:paraId="5D362545">
            <w:pPr>
              <w:autoSpaceDE w:val="0"/>
              <w:autoSpaceDN w:val="0"/>
              <w:spacing w:line="360" w:lineRule="exact"/>
              <w:jc w:val="center"/>
              <w:rPr>
                <w:rFonts w:hint="default" w:ascii="Times New Roman" w:hAnsi="Times New Roman" w:cs="Times New Roman"/>
                <w:kern w:val="0"/>
                <w:sz w:val="24"/>
                <w:highlight w:val="none"/>
              </w:rPr>
            </w:pPr>
            <w:r>
              <w:rPr>
                <w:rFonts w:hint="default" w:ascii="Times New Roman" w:hAnsi="Times New Roman" w:cs="Times New Roman"/>
                <w:sz w:val="24"/>
                <w:highlight w:val="none"/>
              </w:rPr>
              <w:t>规划情况</w:t>
            </w:r>
          </w:p>
        </w:tc>
        <w:tc>
          <w:tcPr>
            <w:tcW w:w="4721" w:type="pct"/>
            <w:gridSpan w:val="4"/>
            <w:vAlign w:val="center"/>
          </w:tcPr>
          <w:p w14:paraId="0140AB47">
            <w:pPr>
              <w:widowControl/>
              <w:spacing w:line="360" w:lineRule="auto"/>
              <w:ind w:firstLine="480"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kern w:val="0"/>
                <w:sz w:val="24"/>
                <w:highlight w:val="none"/>
                <w:lang w:bidi="ar"/>
              </w:rPr>
              <w:t>1.名称：</w:t>
            </w:r>
            <w:r>
              <w:rPr>
                <w:rFonts w:hint="default" w:ascii="Times New Roman" w:hAnsi="Times New Roman" w:cs="Times New Roman"/>
                <w:kern w:val="0"/>
                <w:sz w:val="24"/>
                <w:highlight w:val="none"/>
              </w:rPr>
              <w:t>齐鲁化学工业区总体发展规划（2023-2035年）</w:t>
            </w:r>
            <w:r>
              <w:rPr>
                <w:rFonts w:hint="default" w:ascii="Times New Roman" w:hAnsi="Times New Roman" w:cs="Times New Roman"/>
                <w:kern w:val="0"/>
                <w:sz w:val="24"/>
                <w:highlight w:val="none"/>
                <w:lang w:bidi="ar"/>
              </w:rPr>
              <w:t>；</w:t>
            </w:r>
          </w:p>
          <w:p w14:paraId="28F762CA">
            <w:pPr>
              <w:widowControl/>
              <w:spacing w:line="360" w:lineRule="auto"/>
              <w:ind w:firstLine="480"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kern w:val="0"/>
                <w:sz w:val="24"/>
                <w:highlight w:val="none"/>
                <w:lang w:bidi="ar"/>
              </w:rPr>
              <w:t>2.审批机关：</w:t>
            </w:r>
            <w:r>
              <w:rPr>
                <w:rFonts w:hint="default" w:ascii="Times New Roman" w:hAnsi="Times New Roman" w:cs="Times New Roman"/>
                <w:kern w:val="0"/>
                <w:sz w:val="24"/>
                <w:highlight w:val="none"/>
              </w:rPr>
              <w:t>国家发展和改革委员会</w:t>
            </w:r>
            <w:r>
              <w:rPr>
                <w:rFonts w:hint="default" w:ascii="Times New Roman" w:hAnsi="Times New Roman" w:cs="Times New Roman"/>
                <w:kern w:val="0"/>
                <w:sz w:val="24"/>
                <w:highlight w:val="none"/>
                <w:lang w:bidi="ar"/>
              </w:rPr>
              <w:t>；</w:t>
            </w:r>
          </w:p>
          <w:p w14:paraId="3595A85D">
            <w:pPr>
              <w:widowControl/>
              <w:spacing w:line="360" w:lineRule="auto"/>
              <w:ind w:firstLine="480"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kern w:val="0"/>
                <w:sz w:val="24"/>
                <w:highlight w:val="none"/>
                <w:lang w:bidi="ar"/>
              </w:rPr>
              <w:t>3.审批文件名称及文号：</w:t>
            </w:r>
            <w:r>
              <w:rPr>
                <w:rFonts w:hint="default" w:ascii="Times New Roman" w:hAnsi="Times New Roman" w:cs="Times New Roman"/>
                <w:kern w:val="0"/>
                <w:sz w:val="24"/>
                <w:highlight w:val="none"/>
              </w:rPr>
              <w:t>《国家发展改革委关于齐鲁化学工业区总体发展规划的批复》发改工业〔2003〕388号</w:t>
            </w:r>
          </w:p>
        </w:tc>
      </w:tr>
      <w:tr w14:paraId="293E53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81" w:hRule="atLeast"/>
          <w:jc w:val="center"/>
        </w:trPr>
        <w:tc>
          <w:tcPr>
            <w:tcW w:w="278" w:type="pct"/>
            <w:vAlign w:val="center"/>
          </w:tcPr>
          <w:p w14:paraId="567F3A6A">
            <w:pPr>
              <w:autoSpaceDE w:val="0"/>
              <w:autoSpaceDN w:val="0"/>
              <w:spacing w:line="36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规划环境影响评价情况</w:t>
            </w:r>
          </w:p>
        </w:tc>
        <w:tc>
          <w:tcPr>
            <w:tcW w:w="4721" w:type="pct"/>
            <w:gridSpan w:val="4"/>
            <w:vAlign w:val="center"/>
          </w:tcPr>
          <w:p w14:paraId="69F0D23E">
            <w:pPr>
              <w:widowControl/>
              <w:spacing w:line="360" w:lineRule="auto"/>
              <w:ind w:firstLine="482"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b/>
                <w:bCs/>
                <w:kern w:val="0"/>
                <w:sz w:val="24"/>
                <w:highlight w:val="none"/>
                <w:lang w:bidi="ar"/>
              </w:rPr>
              <w:t>环境影响评价文件名称：</w:t>
            </w:r>
            <w:r>
              <w:rPr>
                <w:rFonts w:hint="default" w:ascii="Times New Roman" w:hAnsi="Times New Roman" w:cs="Times New Roman"/>
                <w:kern w:val="0"/>
                <w:sz w:val="24"/>
                <w:highlight w:val="none"/>
                <w:lang w:bidi="ar"/>
              </w:rPr>
              <w:t>《齐鲁化学工业区总体发展规划（2023-2035年）环境影响报告书》</w:t>
            </w:r>
          </w:p>
          <w:p w14:paraId="56BE7747">
            <w:pPr>
              <w:widowControl/>
              <w:spacing w:line="360" w:lineRule="auto"/>
              <w:ind w:firstLine="482"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b/>
                <w:bCs/>
                <w:kern w:val="0"/>
                <w:sz w:val="24"/>
                <w:highlight w:val="none"/>
                <w:lang w:bidi="ar"/>
              </w:rPr>
              <w:t>召集审查机关：</w:t>
            </w:r>
            <w:r>
              <w:rPr>
                <w:rFonts w:hint="default" w:ascii="Times New Roman" w:hAnsi="Times New Roman" w:cs="Times New Roman"/>
                <w:kern w:val="0"/>
                <w:sz w:val="24"/>
                <w:highlight w:val="none"/>
                <w:lang w:bidi="ar"/>
              </w:rPr>
              <w:t>淄博市生态环境局</w:t>
            </w:r>
          </w:p>
          <w:p w14:paraId="63F2C811">
            <w:pPr>
              <w:widowControl/>
              <w:spacing w:line="360" w:lineRule="auto"/>
              <w:ind w:firstLine="482"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b/>
                <w:bCs/>
                <w:kern w:val="0"/>
                <w:sz w:val="24"/>
                <w:highlight w:val="none"/>
                <w:lang w:bidi="ar"/>
              </w:rPr>
              <w:t>审查文件名称：</w:t>
            </w:r>
            <w:r>
              <w:rPr>
                <w:rFonts w:hint="default" w:ascii="Times New Roman" w:hAnsi="Times New Roman" w:cs="Times New Roman"/>
                <w:kern w:val="0"/>
                <w:sz w:val="24"/>
                <w:highlight w:val="none"/>
                <w:lang w:bidi="ar"/>
              </w:rPr>
              <w:t>淄博市生态环境局关于《齐鲁化学工业区总体发展规划（2023-2035年）环境影响报告书》的审查意见</w:t>
            </w:r>
          </w:p>
          <w:p w14:paraId="73F215E1">
            <w:pPr>
              <w:widowControl/>
              <w:spacing w:line="360" w:lineRule="auto"/>
              <w:ind w:firstLine="482" w:firstLineChars="200"/>
              <w:jc w:val="left"/>
              <w:rPr>
                <w:rFonts w:hint="default" w:ascii="Times New Roman" w:hAnsi="Times New Roman" w:cs="Times New Roman"/>
                <w:kern w:val="0"/>
                <w:sz w:val="24"/>
                <w:highlight w:val="none"/>
                <w:lang w:bidi="ar"/>
              </w:rPr>
            </w:pPr>
            <w:r>
              <w:rPr>
                <w:rFonts w:hint="default" w:ascii="Times New Roman" w:hAnsi="Times New Roman" w:cs="Times New Roman"/>
                <w:b/>
                <w:bCs/>
                <w:kern w:val="0"/>
                <w:sz w:val="24"/>
                <w:highlight w:val="none"/>
                <w:lang w:bidi="ar"/>
              </w:rPr>
              <w:t>审查文号：</w:t>
            </w:r>
            <w:r>
              <w:rPr>
                <w:rFonts w:hint="default" w:ascii="Times New Roman" w:hAnsi="Times New Roman" w:cs="Times New Roman"/>
                <w:kern w:val="0"/>
                <w:sz w:val="24"/>
                <w:highlight w:val="none"/>
                <w:lang w:bidi="ar"/>
              </w:rPr>
              <w:t>淄环审〔2024〕8号</w:t>
            </w:r>
          </w:p>
        </w:tc>
      </w:tr>
      <w:tr w14:paraId="5016D5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5" w:hRule="atLeast"/>
          <w:jc w:val="center"/>
        </w:trPr>
        <w:tc>
          <w:tcPr>
            <w:tcW w:w="278" w:type="pct"/>
            <w:vAlign w:val="center"/>
          </w:tcPr>
          <w:p w14:paraId="5717F09C">
            <w:pPr>
              <w:autoSpaceDE w:val="0"/>
              <w:autoSpaceDN w:val="0"/>
              <w:spacing w:line="360" w:lineRule="exact"/>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规划及规划环境影响评价符合性分析</w:t>
            </w:r>
          </w:p>
        </w:tc>
        <w:tc>
          <w:tcPr>
            <w:tcW w:w="4721" w:type="pct"/>
            <w:gridSpan w:val="4"/>
            <w:vAlign w:val="center"/>
          </w:tcPr>
          <w:p w14:paraId="4C7666D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1、园区规划符合性</w:t>
            </w:r>
          </w:p>
          <w:p w14:paraId="75541B9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齐鲁化学工业区于2003年5月，经国家发展和改革委员会批准设立，是继上海化工区、南京化工区之后国家批准设立的第三家专业化工园区；2018年6月首批通过“山东省化工园区认定”。</w:t>
            </w:r>
          </w:p>
          <w:p w14:paraId="36B3A016">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齐鲁化学工业区总体发展规划（2023-2035年）》，齐鲁化学工业区规划面积33.51平方公里，共两个片区。主片区：东至铁山支线（北段）辛化路（南段）、西至临淄界（北段）规划烯烃路（南段）、南至横四路及齐鲁石化厂区边界、北至临淄大道（西段）乙烯联合化工区北边界（东段），规划面积31.90平方公里。北部片区：东至辛河路、西至敬仲镇蔡店村、南至凤凰镇史家村、北至308国道，规划面积1.61平方公里。项目位于临淄区金山片区冯北路南首西侧，位于齐鲁化学工业区规划范围内。</w:t>
            </w:r>
          </w:p>
          <w:p w14:paraId="24114E3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根据《齐鲁化学工业区总体发展规划（2023-2035）》，园区规划主导产业为石油化工产业、精细化工产业。</w:t>
            </w:r>
          </w:p>
          <w:p w14:paraId="46F2BF9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建设地点位于山东省淄博市临淄区齐鲁化学工业园山东瑞海金山化学有限公司现有厂区内，根据齐鲁化学工业区总体发展规划土地利用规划图（见附图7），本项目位于工业用地规划中，且不新增永久占地，符合园区用地规划要求。</w:t>
            </w:r>
          </w:p>
          <w:p w14:paraId="69ABF5D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2、项目与《齐鲁化学工业区总体发展规划（</w:t>
            </w:r>
            <w:r>
              <w:rPr>
                <w:rFonts w:hint="default" w:ascii="Times New Roman" w:hAnsi="Times New Roman" w:eastAsia="Times New Roman" w:cs="Times New Roman"/>
                <w:sz w:val="24"/>
                <w:highlight w:val="none"/>
              </w:rPr>
              <w:t>2023-2035</w:t>
            </w:r>
            <w:r>
              <w:rPr>
                <w:rFonts w:hint="default" w:ascii="Times New Roman" w:hAnsi="Times New Roman" w:cs="Times New Roman"/>
                <w:sz w:val="24"/>
                <w:highlight w:val="none"/>
              </w:rPr>
              <w:t>年）环境影响报告书》中园区生态环境准入符合性分析见表1-2。</w:t>
            </w:r>
          </w:p>
          <w:p w14:paraId="05041779">
            <w:pPr>
              <w:autoSpaceDE w:val="0"/>
              <w:autoSpaceDN w:val="0"/>
              <w:adjustRightInd w:val="0"/>
              <w:snapToGrid w:val="0"/>
              <w:spacing w:line="360" w:lineRule="auto"/>
              <w:jc w:val="center"/>
              <w:rPr>
                <w:rFonts w:hint="default" w:ascii="Times New Roman" w:hAnsi="Times New Roman" w:cs="Times New Roman"/>
                <w:b/>
                <w:bCs/>
                <w:kern w:val="0"/>
                <w:sz w:val="24"/>
                <w:highlight w:val="none"/>
              </w:rPr>
            </w:pPr>
            <w:r>
              <w:rPr>
                <w:rFonts w:hint="default" w:ascii="Times New Roman" w:hAnsi="Times New Roman" w:cs="Times New Roman"/>
                <w:b/>
                <w:bCs/>
                <w:kern w:val="0"/>
                <w:sz w:val="24"/>
                <w:highlight w:val="none"/>
              </w:rPr>
              <w:t>表1-2  项目与《齐鲁化学工业区总体发展规划（2023-2035年）环境影响报告书》中生态环境准入要求符合情况</w:t>
            </w:r>
          </w:p>
          <w:tbl>
            <w:tblPr>
              <w:tblStyle w:val="4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0"/>
              <w:gridCol w:w="781"/>
              <w:gridCol w:w="5507"/>
              <w:gridCol w:w="2060"/>
            </w:tblGrid>
            <w:tr w14:paraId="16FCF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852" w:type="pct"/>
                  <w:gridSpan w:val="3"/>
                  <w:tcBorders>
                    <w:tl2br w:val="nil"/>
                    <w:tr2bl w:val="nil"/>
                  </w:tcBorders>
                  <w:vAlign w:val="center"/>
                </w:tcPr>
                <w:p w14:paraId="09053DE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生态环境准入基本要求</w:t>
                  </w:r>
                </w:p>
              </w:tc>
              <w:tc>
                <w:tcPr>
                  <w:tcW w:w="1147" w:type="pct"/>
                  <w:tcBorders>
                    <w:tl2br w:val="nil"/>
                    <w:tr2bl w:val="nil"/>
                  </w:tcBorders>
                  <w:vAlign w:val="center"/>
                </w:tcPr>
                <w:p w14:paraId="29254CB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项目情况</w:t>
                  </w:r>
                </w:p>
              </w:tc>
            </w:tr>
            <w:tr w14:paraId="08EBA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vMerge w:val="restart"/>
                  <w:tcBorders>
                    <w:tl2br w:val="nil"/>
                    <w:tr2bl w:val="nil"/>
                  </w:tcBorders>
                  <w:vAlign w:val="center"/>
                </w:tcPr>
                <w:p w14:paraId="02434A45">
                  <w:pPr>
                    <w:jc w:val="center"/>
                    <w:rPr>
                      <w:rFonts w:hint="default" w:ascii="Times New Roman" w:hAnsi="Times New Roman" w:cs="Times New Roman"/>
                      <w:szCs w:val="21"/>
                      <w:highlight w:val="none"/>
                    </w:rPr>
                  </w:pPr>
                </w:p>
                <w:p w14:paraId="6A84F0B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空间布局约束</w:t>
                  </w:r>
                </w:p>
              </w:tc>
              <w:tc>
                <w:tcPr>
                  <w:tcW w:w="435" w:type="pct"/>
                  <w:tcBorders>
                    <w:tl2br w:val="nil"/>
                    <w:tr2bl w:val="nil"/>
                  </w:tcBorders>
                  <w:vAlign w:val="center"/>
                </w:tcPr>
                <w:p w14:paraId="09145AE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禁止开发建设活动的要求</w:t>
                  </w:r>
                </w:p>
              </w:tc>
              <w:tc>
                <w:tcPr>
                  <w:tcW w:w="3065" w:type="pct"/>
                  <w:tcBorders>
                    <w:tl2br w:val="nil"/>
                    <w:tr2bl w:val="nil"/>
                  </w:tcBorders>
                  <w:vAlign w:val="center"/>
                </w:tcPr>
                <w:p w14:paraId="6CF125E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禁止新建《产业结构调整指导目录》规定的限制类和淘汰类产业，现有产业改、扩建不得使用《产业结构调整指导目录》规定的淘汰类规模和生产工艺；</w:t>
                  </w:r>
                </w:p>
                <w:p w14:paraId="7A4775F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禁止在规划的建设用地范围外实施开发建设活动；</w:t>
                  </w:r>
                </w:p>
                <w:p w14:paraId="2285725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禁止建设严重危及生产安全、环境污染严重、产品质量不符合国家标准、原材料和能源消耗高及国家法律法规规定的禁止投资的项目。</w:t>
                  </w:r>
                </w:p>
              </w:tc>
              <w:tc>
                <w:tcPr>
                  <w:tcW w:w="1147" w:type="pct"/>
                  <w:tcBorders>
                    <w:tl2br w:val="nil"/>
                    <w:tr2bl w:val="nil"/>
                  </w:tcBorders>
                  <w:vAlign w:val="center"/>
                </w:tcPr>
                <w:p w14:paraId="7480B6A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项目符合国家及地方产业政策，符合园区产业定位，符合园区土地利用规划，不属于禁止投资的项目</w:t>
                  </w:r>
                </w:p>
              </w:tc>
            </w:tr>
            <w:tr w14:paraId="7290B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vMerge w:val="continue"/>
                  <w:tcBorders>
                    <w:tl2br w:val="nil"/>
                    <w:tr2bl w:val="nil"/>
                  </w:tcBorders>
                  <w:vAlign w:val="center"/>
                </w:tcPr>
                <w:p w14:paraId="53F94406">
                  <w:pPr>
                    <w:jc w:val="center"/>
                    <w:rPr>
                      <w:rFonts w:hint="default" w:ascii="Times New Roman" w:hAnsi="Times New Roman" w:cs="Times New Roman"/>
                      <w:szCs w:val="21"/>
                      <w:highlight w:val="none"/>
                    </w:rPr>
                  </w:pPr>
                </w:p>
              </w:tc>
              <w:tc>
                <w:tcPr>
                  <w:tcW w:w="435" w:type="pct"/>
                  <w:vMerge w:val="restart"/>
                  <w:tcBorders>
                    <w:tl2br w:val="nil"/>
                    <w:tr2bl w:val="nil"/>
                  </w:tcBorders>
                  <w:vAlign w:val="center"/>
                </w:tcPr>
                <w:p w14:paraId="1CB36B4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限制开发建设活动的要求</w:t>
                  </w:r>
                </w:p>
              </w:tc>
              <w:tc>
                <w:tcPr>
                  <w:tcW w:w="3065" w:type="pct"/>
                  <w:tcBorders>
                    <w:tl2br w:val="nil"/>
                    <w:tr2bl w:val="nil"/>
                  </w:tcBorders>
                  <w:vAlign w:val="center"/>
                </w:tcPr>
                <w:p w14:paraId="2A26649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工业项目应在规划的功能区和工业用地上建设；</w:t>
                  </w:r>
                </w:p>
              </w:tc>
              <w:tc>
                <w:tcPr>
                  <w:tcW w:w="1147" w:type="pct"/>
                  <w:vMerge w:val="restart"/>
                  <w:tcBorders>
                    <w:tl2br w:val="nil"/>
                    <w:tr2bl w:val="nil"/>
                  </w:tcBorders>
                  <w:vAlign w:val="center"/>
                </w:tcPr>
                <w:p w14:paraId="1DEEF09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项目用地为工业用地，用地符合《淄博市国土空间总体规划（2021-2035）》；项目不属于产能过剩的项目；项目污染物排放量较少，不涉及有毒有害污染物排放</w:t>
                  </w:r>
                </w:p>
              </w:tc>
            </w:tr>
            <w:tr w14:paraId="39AB8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vMerge w:val="continue"/>
                  <w:tcBorders>
                    <w:tl2br w:val="nil"/>
                    <w:tr2bl w:val="nil"/>
                  </w:tcBorders>
                  <w:vAlign w:val="center"/>
                </w:tcPr>
                <w:p w14:paraId="36219B9C">
                  <w:pPr>
                    <w:jc w:val="center"/>
                    <w:rPr>
                      <w:rFonts w:hint="default" w:ascii="Times New Roman" w:hAnsi="Times New Roman" w:cs="Times New Roman"/>
                      <w:szCs w:val="21"/>
                      <w:highlight w:val="none"/>
                    </w:rPr>
                  </w:pPr>
                </w:p>
              </w:tc>
              <w:tc>
                <w:tcPr>
                  <w:tcW w:w="435" w:type="pct"/>
                  <w:vMerge w:val="continue"/>
                  <w:tcBorders>
                    <w:tl2br w:val="nil"/>
                    <w:tr2bl w:val="nil"/>
                  </w:tcBorders>
                  <w:vAlign w:val="center"/>
                </w:tcPr>
                <w:p w14:paraId="425B75BB">
                  <w:pPr>
                    <w:jc w:val="center"/>
                    <w:rPr>
                      <w:rFonts w:hint="default" w:ascii="Times New Roman" w:hAnsi="Times New Roman" w:cs="Times New Roman"/>
                      <w:szCs w:val="21"/>
                      <w:highlight w:val="none"/>
                    </w:rPr>
                  </w:pPr>
                </w:p>
              </w:tc>
              <w:tc>
                <w:tcPr>
                  <w:tcW w:w="3065" w:type="pct"/>
                  <w:tcBorders>
                    <w:tl2br w:val="nil"/>
                    <w:tr2bl w:val="nil"/>
                  </w:tcBorders>
                  <w:vAlign w:val="center"/>
                </w:tcPr>
                <w:p w14:paraId="49C05A6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加强园区防护绿地的建设，规划绿地禁止进行其他用途的开发；</w:t>
                  </w:r>
                </w:p>
              </w:tc>
              <w:tc>
                <w:tcPr>
                  <w:tcW w:w="1147" w:type="pct"/>
                  <w:vMerge w:val="continue"/>
                  <w:tcBorders>
                    <w:tl2br w:val="nil"/>
                    <w:tr2bl w:val="nil"/>
                  </w:tcBorders>
                  <w:vAlign w:val="center"/>
                </w:tcPr>
                <w:p w14:paraId="73590897">
                  <w:pPr>
                    <w:jc w:val="center"/>
                    <w:rPr>
                      <w:rFonts w:hint="default" w:ascii="Times New Roman" w:hAnsi="Times New Roman" w:cs="Times New Roman"/>
                      <w:szCs w:val="21"/>
                      <w:highlight w:val="none"/>
                    </w:rPr>
                  </w:pPr>
                </w:p>
              </w:tc>
            </w:tr>
            <w:tr w14:paraId="7160C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vMerge w:val="continue"/>
                  <w:tcBorders>
                    <w:tl2br w:val="nil"/>
                    <w:tr2bl w:val="nil"/>
                  </w:tcBorders>
                  <w:vAlign w:val="center"/>
                </w:tcPr>
                <w:p w14:paraId="05652E3C">
                  <w:pPr>
                    <w:jc w:val="center"/>
                    <w:rPr>
                      <w:rFonts w:hint="default" w:ascii="Times New Roman" w:hAnsi="Times New Roman" w:cs="Times New Roman"/>
                      <w:szCs w:val="21"/>
                      <w:highlight w:val="none"/>
                    </w:rPr>
                  </w:pPr>
                </w:p>
              </w:tc>
              <w:tc>
                <w:tcPr>
                  <w:tcW w:w="435" w:type="pct"/>
                  <w:vMerge w:val="continue"/>
                  <w:tcBorders>
                    <w:tl2br w:val="nil"/>
                    <w:tr2bl w:val="nil"/>
                  </w:tcBorders>
                  <w:vAlign w:val="center"/>
                </w:tcPr>
                <w:p w14:paraId="15AB77FC">
                  <w:pPr>
                    <w:jc w:val="center"/>
                    <w:rPr>
                      <w:rFonts w:hint="default" w:ascii="Times New Roman" w:hAnsi="Times New Roman" w:cs="Times New Roman"/>
                      <w:szCs w:val="21"/>
                      <w:highlight w:val="none"/>
                    </w:rPr>
                  </w:pPr>
                </w:p>
              </w:tc>
              <w:tc>
                <w:tcPr>
                  <w:tcW w:w="3065" w:type="pct"/>
                  <w:tcBorders>
                    <w:tl2br w:val="nil"/>
                    <w:tr2bl w:val="nil"/>
                  </w:tcBorders>
                  <w:vAlign w:val="center"/>
                </w:tcPr>
                <w:p w14:paraId="6E26BD4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靠近区外居住区或其它敏感区的区域，优先引入污染较小、风险小的项目；</w:t>
                  </w:r>
                </w:p>
              </w:tc>
              <w:tc>
                <w:tcPr>
                  <w:tcW w:w="1147" w:type="pct"/>
                  <w:vMerge w:val="continue"/>
                  <w:tcBorders>
                    <w:tl2br w:val="nil"/>
                    <w:tr2bl w:val="nil"/>
                  </w:tcBorders>
                  <w:vAlign w:val="center"/>
                </w:tcPr>
                <w:p w14:paraId="5F378E73">
                  <w:pPr>
                    <w:jc w:val="center"/>
                    <w:rPr>
                      <w:rFonts w:hint="default" w:ascii="Times New Roman" w:hAnsi="Times New Roman" w:cs="Times New Roman"/>
                      <w:szCs w:val="21"/>
                      <w:highlight w:val="none"/>
                    </w:rPr>
                  </w:pPr>
                </w:p>
              </w:tc>
            </w:tr>
            <w:tr w14:paraId="4ED49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vMerge w:val="continue"/>
                  <w:tcBorders>
                    <w:tl2br w:val="nil"/>
                    <w:tr2bl w:val="nil"/>
                  </w:tcBorders>
                  <w:vAlign w:val="center"/>
                </w:tcPr>
                <w:p w14:paraId="29AC6422">
                  <w:pPr>
                    <w:jc w:val="center"/>
                    <w:rPr>
                      <w:rFonts w:hint="default" w:ascii="Times New Roman" w:hAnsi="Times New Roman" w:cs="Times New Roman"/>
                      <w:szCs w:val="21"/>
                      <w:highlight w:val="none"/>
                    </w:rPr>
                  </w:pPr>
                </w:p>
              </w:tc>
              <w:tc>
                <w:tcPr>
                  <w:tcW w:w="435" w:type="pct"/>
                  <w:vMerge w:val="continue"/>
                  <w:tcBorders>
                    <w:tl2br w:val="nil"/>
                    <w:tr2bl w:val="nil"/>
                  </w:tcBorders>
                  <w:vAlign w:val="center"/>
                </w:tcPr>
                <w:p w14:paraId="558A4118">
                  <w:pPr>
                    <w:jc w:val="center"/>
                    <w:rPr>
                      <w:rFonts w:hint="default" w:ascii="Times New Roman" w:hAnsi="Times New Roman" w:cs="Times New Roman"/>
                      <w:szCs w:val="21"/>
                      <w:highlight w:val="none"/>
                    </w:rPr>
                  </w:pPr>
                </w:p>
              </w:tc>
              <w:tc>
                <w:tcPr>
                  <w:tcW w:w="3065" w:type="pct"/>
                  <w:tcBorders>
                    <w:tl2br w:val="nil"/>
                    <w:tr2bl w:val="nil"/>
                  </w:tcBorders>
                  <w:vAlign w:val="center"/>
                </w:tcPr>
                <w:p w14:paraId="33F0204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限制产能严重过剩，不利于节约资源和保护生态环境的投资项目；</w:t>
                  </w:r>
                </w:p>
              </w:tc>
              <w:tc>
                <w:tcPr>
                  <w:tcW w:w="1147" w:type="pct"/>
                  <w:vMerge w:val="continue"/>
                  <w:tcBorders>
                    <w:tl2br w:val="nil"/>
                    <w:tr2bl w:val="nil"/>
                  </w:tcBorders>
                  <w:vAlign w:val="center"/>
                </w:tcPr>
                <w:p w14:paraId="1E12B5C9">
                  <w:pPr>
                    <w:jc w:val="center"/>
                    <w:rPr>
                      <w:rFonts w:hint="default" w:ascii="Times New Roman" w:hAnsi="Times New Roman" w:cs="Times New Roman"/>
                      <w:szCs w:val="21"/>
                      <w:highlight w:val="none"/>
                    </w:rPr>
                  </w:pPr>
                </w:p>
              </w:tc>
            </w:tr>
            <w:tr w14:paraId="42963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vMerge w:val="continue"/>
                  <w:tcBorders>
                    <w:tl2br w:val="nil"/>
                    <w:tr2bl w:val="nil"/>
                  </w:tcBorders>
                  <w:vAlign w:val="center"/>
                </w:tcPr>
                <w:p w14:paraId="4C5C1E9C">
                  <w:pPr>
                    <w:jc w:val="center"/>
                    <w:rPr>
                      <w:rFonts w:hint="default" w:ascii="Times New Roman" w:hAnsi="Times New Roman" w:cs="Times New Roman"/>
                      <w:szCs w:val="21"/>
                      <w:highlight w:val="none"/>
                    </w:rPr>
                  </w:pPr>
                </w:p>
              </w:tc>
              <w:tc>
                <w:tcPr>
                  <w:tcW w:w="435" w:type="pct"/>
                  <w:vMerge w:val="continue"/>
                  <w:tcBorders>
                    <w:tl2br w:val="nil"/>
                    <w:tr2bl w:val="nil"/>
                  </w:tcBorders>
                  <w:vAlign w:val="center"/>
                </w:tcPr>
                <w:p w14:paraId="050F26BC">
                  <w:pPr>
                    <w:jc w:val="center"/>
                    <w:rPr>
                      <w:rFonts w:hint="default" w:ascii="Times New Roman" w:hAnsi="Times New Roman" w:cs="Times New Roman"/>
                      <w:szCs w:val="21"/>
                      <w:highlight w:val="none"/>
                    </w:rPr>
                  </w:pPr>
                </w:p>
              </w:tc>
              <w:tc>
                <w:tcPr>
                  <w:tcW w:w="3065" w:type="pct"/>
                  <w:tcBorders>
                    <w:tl2br w:val="nil"/>
                    <w:tr2bl w:val="nil"/>
                  </w:tcBorders>
                  <w:vAlign w:val="center"/>
                </w:tcPr>
                <w:p w14:paraId="314DA88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从严审批高耗水、高污染物排放、产生有毒有害污染物的建设项目。</w:t>
                  </w:r>
                </w:p>
              </w:tc>
              <w:tc>
                <w:tcPr>
                  <w:tcW w:w="1147" w:type="pct"/>
                  <w:vMerge w:val="continue"/>
                  <w:tcBorders>
                    <w:tl2br w:val="nil"/>
                    <w:tr2bl w:val="nil"/>
                  </w:tcBorders>
                  <w:vAlign w:val="center"/>
                </w:tcPr>
                <w:p w14:paraId="0B471FA8">
                  <w:pPr>
                    <w:jc w:val="center"/>
                    <w:rPr>
                      <w:rFonts w:hint="default" w:ascii="Times New Roman" w:hAnsi="Times New Roman" w:cs="Times New Roman"/>
                      <w:szCs w:val="21"/>
                      <w:highlight w:val="none"/>
                    </w:rPr>
                  </w:pPr>
                </w:p>
              </w:tc>
            </w:tr>
            <w:tr w14:paraId="34F34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vMerge w:val="restart"/>
                  <w:tcBorders>
                    <w:tl2br w:val="nil"/>
                    <w:tr2bl w:val="nil"/>
                  </w:tcBorders>
                  <w:vAlign w:val="center"/>
                </w:tcPr>
                <w:p w14:paraId="17C8624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污染物排放管控</w:t>
                  </w:r>
                </w:p>
              </w:tc>
              <w:tc>
                <w:tcPr>
                  <w:tcW w:w="435" w:type="pct"/>
                  <w:tcBorders>
                    <w:tl2br w:val="nil"/>
                    <w:tr2bl w:val="nil"/>
                  </w:tcBorders>
                  <w:vAlign w:val="center"/>
                </w:tcPr>
                <w:p w14:paraId="7D6EF38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允许排放量要求</w:t>
                  </w:r>
                </w:p>
              </w:tc>
              <w:tc>
                <w:tcPr>
                  <w:tcW w:w="3065" w:type="pct"/>
                  <w:tcBorders>
                    <w:tl2br w:val="nil"/>
                    <w:tr2bl w:val="nil"/>
                  </w:tcBorders>
                  <w:vAlign w:val="center"/>
                </w:tcPr>
                <w:p w14:paraId="2480F1D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建议区域总量管控指标为：SO₂1736.33t/a、NOx5495.01t/a、颗粒物807.97t/a、VOCs6244.4t/a。</w:t>
                  </w:r>
                </w:p>
                <w:p w14:paraId="01CB55C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园区废水污染物排放量指标为：COD1275.95t/a、氨氮63.80t/a，主要污染物COD和氨氮排放浓度满足COD40mg/L、氨氮≤2mg/L。</w:t>
                  </w:r>
                </w:p>
              </w:tc>
              <w:tc>
                <w:tcPr>
                  <w:tcW w:w="1147" w:type="pct"/>
                  <w:tcBorders>
                    <w:tl2br w:val="nil"/>
                    <w:tr2bl w:val="nil"/>
                  </w:tcBorders>
                  <w:vAlign w:val="center"/>
                </w:tcPr>
                <w:p w14:paraId="70A6400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项目严格落实总量要求</w:t>
                  </w:r>
                </w:p>
              </w:tc>
            </w:tr>
            <w:tr w14:paraId="23600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vMerge w:val="continue"/>
                  <w:tcBorders>
                    <w:tl2br w:val="nil"/>
                    <w:tr2bl w:val="nil"/>
                  </w:tcBorders>
                  <w:vAlign w:val="center"/>
                </w:tcPr>
                <w:p w14:paraId="7421EC14">
                  <w:pPr>
                    <w:jc w:val="center"/>
                    <w:rPr>
                      <w:rFonts w:hint="default" w:ascii="Times New Roman" w:hAnsi="Times New Roman" w:cs="Times New Roman"/>
                      <w:szCs w:val="21"/>
                      <w:highlight w:val="none"/>
                    </w:rPr>
                  </w:pPr>
                </w:p>
              </w:tc>
              <w:tc>
                <w:tcPr>
                  <w:tcW w:w="435" w:type="pct"/>
                  <w:tcBorders>
                    <w:tl2br w:val="nil"/>
                    <w:tr2bl w:val="nil"/>
                  </w:tcBorders>
                  <w:vAlign w:val="center"/>
                </w:tcPr>
                <w:p w14:paraId="546AA4E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削减计</w:t>
                  </w:r>
                </w:p>
                <w:p w14:paraId="1A45835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划</w:t>
                  </w:r>
                </w:p>
              </w:tc>
              <w:tc>
                <w:tcPr>
                  <w:tcW w:w="3065" w:type="pct"/>
                  <w:tcBorders>
                    <w:tl2br w:val="nil"/>
                    <w:tr2bl w:val="nil"/>
                  </w:tcBorders>
                  <w:vAlign w:val="center"/>
                </w:tcPr>
                <w:p w14:paraId="77CC94B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区域新增污染源应执行总量替代和倍量替代政策，实现区域污染物排放量削减。</w:t>
                  </w:r>
                </w:p>
              </w:tc>
              <w:tc>
                <w:tcPr>
                  <w:tcW w:w="1147" w:type="pct"/>
                  <w:tcBorders>
                    <w:tl2br w:val="nil"/>
                    <w:tr2bl w:val="nil"/>
                  </w:tcBorders>
                  <w:vAlign w:val="center"/>
                </w:tcPr>
                <w:p w14:paraId="7E732BB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项目严格落实污染物倍量替代要求</w:t>
                  </w:r>
                </w:p>
              </w:tc>
            </w:tr>
            <w:tr w14:paraId="7C077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tcBorders>
                    <w:tl2br w:val="nil"/>
                    <w:tr2bl w:val="nil"/>
                  </w:tcBorders>
                  <w:vAlign w:val="center"/>
                </w:tcPr>
                <w:p w14:paraId="366F86F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环境风险防控</w:t>
                  </w:r>
                </w:p>
              </w:tc>
              <w:tc>
                <w:tcPr>
                  <w:tcW w:w="435" w:type="pct"/>
                  <w:tcBorders>
                    <w:tl2br w:val="nil"/>
                    <w:tr2bl w:val="nil"/>
                  </w:tcBorders>
                  <w:vAlign w:val="center"/>
                </w:tcPr>
                <w:p w14:paraId="6F98B80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联防联控要求</w:t>
                  </w:r>
                </w:p>
              </w:tc>
              <w:tc>
                <w:tcPr>
                  <w:tcW w:w="3065" w:type="pct"/>
                  <w:tcBorders>
                    <w:tl2br w:val="nil"/>
                    <w:tr2bl w:val="nil"/>
                  </w:tcBorders>
                  <w:vAlign w:val="center"/>
                </w:tcPr>
                <w:p w14:paraId="50D97EC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规划期应落实园区应急预案，并建设园区三级防控体系，区内各企业根据要求编制或修订突发环境事件应急预案，预防环境污染事故的发生；各企业纳入园区风险管理体系，园区完善区内风险防控体系，联防联控，组织应急演练并完善应急物资储备体系。</w:t>
                  </w:r>
                </w:p>
              </w:tc>
              <w:tc>
                <w:tcPr>
                  <w:tcW w:w="1147" w:type="pct"/>
                  <w:tcBorders>
                    <w:tl2br w:val="nil"/>
                    <w:tr2bl w:val="nil"/>
                  </w:tcBorders>
                  <w:vAlign w:val="center"/>
                </w:tcPr>
                <w:p w14:paraId="42E23B3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企业现有项目编制了突发环境事件应急预案，并定期修订，定期组织应急演练</w:t>
                  </w:r>
                </w:p>
              </w:tc>
            </w:tr>
            <w:tr w14:paraId="26983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1" w:type="pct"/>
                  <w:vMerge w:val="restart"/>
                  <w:tcBorders>
                    <w:tl2br w:val="nil"/>
                    <w:tr2bl w:val="nil"/>
                  </w:tcBorders>
                  <w:vAlign w:val="center"/>
                </w:tcPr>
                <w:p w14:paraId="45B6761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资源利用</w:t>
                  </w:r>
                </w:p>
                <w:p w14:paraId="03DDE69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效率要求</w:t>
                  </w:r>
                </w:p>
              </w:tc>
              <w:tc>
                <w:tcPr>
                  <w:tcW w:w="435" w:type="pct"/>
                  <w:vMerge w:val="restart"/>
                  <w:tcBorders>
                    <w:tl2br w:val="nil"/>
                    <w:tr2bl w:val="nil"/>
                  </w:tcBorders>
                  <w:vAlign w:val="center"/>
                </w:tcPr>
                <w:p w14:paraId="72E30CB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水资源利用总</w:t>
                  </w:r>
                </w:p>
                <w:p w14:paraId="0B6B794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量要求</w:t>
                  </w:r>
                </w:p>
              </w:tc>
              <w:tc>
                <w:tcPr>
                  <w:tcW w:w="3065" w:type="pct"/>
                  <w:tcBorders>
                    <w:tl2br w:val="nil"/>
                    <w:tr2bl w:val="nil"/>
                  </w:tcBorders>
                  <w:vAlign w:val="center"/>
                </w:tcPr>
                <w:p w14:paraId="3517BC6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园区实现集中供水和中水回用，污水集中处理率达到100%，新鲜水取水量应控制在近期9929.27万m³/a以内、远期9397.61万m³/a以内。</w:t>
                  </w:r>
                </w:p>
              </w:tc>
              <w:tc>
                <w:tcPr>
                  <w:tcW w:w="1147" w:type="pct"/>
                  <w:tcBorders>
                    <w:tl2br w:val="nil"/>
                    <w:tr2bl w:val="nil"/>
                  </w:tcBorders>
                  <w:vAlign w:val="center"/>
                </w:tcPr>
                <w:p w14:paraId="6AA3BD0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项目依托园区供水管网，本项目无废水排放</w:t>
                  </w:r>
                </w:p>
              </w:tc>
            </w:tr>
            <w:tr w14:paraId="78EE7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60" w:hRule="atLeast"/>
              </w:trPr>
              <w:tc>
                <w:tcPr>
                  <w:tcW w:w="351" w:type="pct"/>
                  <w:vMerge w:val="continue"/>
                  <w:tcBorders>
                    <w:tl2br w:val="nil"/>
                    <w:tr2bl w:val="nil"/>
                  </w:tcBorders>
                  <w:vAlign w:val="center"/>
                </w:tcPr>
                <w:p w14:paraId="37C21BA3">
                  <w:pPr>
                    <w:jc w:val="center"/>
                    <w:rPr>
                      <w:rFonts w:hint="default" w:ascii="Times New Roman" w:hAnsi="Times New Roman" w:cs="Times New Roman"/>
                      <w:szCs w:val="21"/>
                      <w:highlight w:val="none"/>
                    </w:rPr>
                  </w:pPr>
                </w:p>
              </w:tc>
              <w:tc>
                <w:tcPr>
                  <w:tcW w:w="435" w:type="pct"/>
                  <w:vMerge w:val="restart"/>
                  <w:tcBorders>
                    <w:tl2br w:val="nil"/>
                    <w:tr2bl w:val="nil"/>
                  </w:tcBorders>
                  <w:vAlign w:val="center"/>
                </w:tcPr>
                <w:p w14:paraId="2CAB118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地下水开采要</w:t>
                  </w:r>
                </w:p>
                <w:p w14:paraId="39CD708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求</w:t>
                  </w:r>
                </w:p>
              </w:tc>
              <w:tc>
                <w:tcPr>
                  <w:tcW w:w="3065" w:type="pct"/>
                  <w:tcBorders>
                    <w:tl2br w:val="nil"/>
                    <w:tr2bl w:val="nil"/>
                  </w:tcBorders>
                  <w:vAlign w:val="center"/>
                </w:tcPr>
                <w:p w14:paraId="1962626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区内企业禁止违规取用地下水。</w:t>
                  </w:r>
                </w:p>
              </w:tc>
              <w:tc>
                <w:tcPr>
                  <w:tcW w:w="1147" w:type="pct"/>
                  <w:tcBorders>
                    <w:tl2br w:val="nil"/>
                    <w:tr2bl w:val="nil"/>
                  </w:tcBorders>
                  <w:vAlign w:val="center"/>
                </w:tcPr>
                <w:p w14:paraId="6E66CDB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项目不取用地下水</w:t>
                  </w:r>
                </w:p>
              </w:tc>
            </w:tr>
            <w:tr w14:paraId="41F0A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0" w:hRule="atLeast"/>
              </w:trPr>
              <w:tc>
                <w:tcPr>
                  <w:tcW w:w="351" w:type="pct"/>
                  <w:vMerge w:val="continue"/>
                  <w:tcBorders>
                    <w:tl2br w:val="nil"/>
                    <w:tr2bl w:val="nil"/>
                  </w:tcBorders>
                  <w:vAlign w:val="center"/>
                </w:tcPr>
                <w:p w14:paraId="6F7DF9A7">
                  <w:pPr>
                    <w:jc w:val="center"/>
                    <w:rPr>
                      <w:rFonts w:hint="default" w:ascii="Times New Roman" w:hAnsi="Times New Roman" w:cs="Times New Roman"/>
                      <w:szCs w:val="21"/>
                      <w:highlight w:val="none"/>
                    </w:rPr>
                  </w:pPr>
                </w:p>
              </w:tc>
              <w:tc>
                <w:tcPr>
                  <w:tcW w:w="435" w:type="pct"/>
                  <w:vMerge w:val="restart"/>
                  <w:tcBorders>
                    <w:tl2br w:val="nil"/>
                    <w:tr2bl w:val="nil"/>
                  </w:tcBorders>
                  <w:vAlign w:val="center"/>
                </w:tcPr>
                <w:p w14:paraId="4EDF664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能源利用总量</w:t>
                  </w:r>
                </w:p>
                <w:p w14:paraId="6B64110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及效率要求</w:t>
                  </w:r>
                </w:p>
              </w:tc>
              <w:tc>
                <w:tcPr>
                  <w:tcW w:w="3065" w:type="pct"/>
                  <w:tcBorders>
                    <w:tl2br w:val="nil"/>
                    <w:tr2bl w:val="nil"/>
                  </w:tcBorders>
                  <w:vAlign w:val="center"/>
                </w:tcPr>
                <w:p w14:paraId="78ED315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区内企业应达到清洁生产先进企业要求；提高区内企业资源利用效率，降低能耗指标，满足淄博市相关要求：严格控制园区新增煤炭消耗量，应确保不影响淄博市煤炭总量控制目标达成。</w:t>
                  </w:r>
                </w:p>
                <w:p w14:paraId="3E8A0E9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新入驻项目单位工业增加值综合能耗（标煤）≤0.5t/万元。</w:t>
                  </w:r>
                </w:p>
              </w:tc>
              <w:tc>
                <w:tcPr>
                  <w:tcW w:w="1147" w:type="pct"/>
                  <w:tcBorders>
                    <w:tl2br w:val="nil"/>
                    <w:tr2bl w:val="nil"/>
                  </w:tcBorders>
                  <w:vAlign w:val="center"/>
                </w:tcPr>
                <w:p w14:paraId="515EEE8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项目清洁水平较高，采用清洁能源，项目在现有厂区内建设，不属于新入驻项目</w:t>
                  </w:r>
                </w:p>
              </w:tc>
            </w:tr>
            <w:tr w14:paraId="69958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351" w:type="pct"/>
                  <w:vMerge w:val="continue"/>
                  <w:tcBorders>
                    <w:tl2br w:val="nil"/>
                    <w:tr2bl w:val="nil"/>
                  </w:tcBorders>
                  <w:vAlign w:val="center"/>
                </w:tcPr>
                <w:p w14:paraId="491371BE">
                  <w:pPr>
                    <w:jc w:val="center"/>
                    <w:rPr>
                      <w:rFonts w:hint="default" w:ascii="Times New Roman" w:hAnsi="Times New Roman" w:cs="Times New Roman"/>
                      <w:szCs w:val="21"/>
                      <w:highlight w:val="none"/>
                    </w:rPr>
                  </w:pPr>
                </w:p>
              </w:tc>
              <w:tc>
                <w:tcPr>
                  <w:tcW w:w="435" w:type="pct"/>
                  <w:tcBorders>
                    <w:tl2br w:val="nil"/>
                    <w:tr2bl w:val="nil"/>
                  </w:tcBorders>
                  <w:vAlign w:val="center"/>
                </w:tcPr>
                <w:p w14:paraId="09FF5CF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禁燃区要求</w:t>
                  </w:r>
                </w:p>
              </w:tc>
              <w:tc>
                <w:tcPr>
                  <w:tcW w:w="3065" w:type="pct"/>
                  <w:tcBorders>
                    <w:tl2br w:val="nil"/>
                    <w:tr2bl w:val="nil"/>
                  </w:tcBorders>
                  <w:vAlign w:val="center"/>
                </w:tcPr>
                <w:p w14:paraId="249D580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园区实现集中供热，禁止区内企业自建燃煤和其他高污染燃料设施。</w:t>
                  </w:r>
                </w:p>
              </w:tc>
              <w:tc>
                <w:tcPr>
                  <w:tcW w:w="1147" w:type="pct"/>
                  <w:tcBorders>
                    <w:tl2br w:val="nil"/>
                    <w:tr2bl w:val="nil"/>
                  </w:tcBorders>
                  <w:vAlign w:val="center"/>
                </w:tcPr>
                <w:p w14:paraId="4345D8A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项目不涉及用热</w:t>
                  </w:r>
                </w:p>
              </w:tc>
            </w:tr>
          </w:tbl>
          <w:p w14:paraId="2902ADBC">
            <w:pPr>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3、园区准入条件符合性</w:t>
            </w:r>
          </w:p>
          <w:p w14:paraId="66CFCF40">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项目与《齐鲁化学工业区总体发展规划（</w:t>
            </w:r>
            <w:r>
              <w:rPr>
                <w:rFonts w:hint="default" w:ascii="Times New Roman" w:hAnsi="Times New Roman" w:eastAsia="Times New Roman" w:cs="Times New Roman"/>
                <w:sz w:val="24"/>
                <w:highlight w:val="none"/>
              </w:rPr>
              <w:t>2023-2035</w:t>
            </w:r>
            <w:r>
              <w:rPr>
                <w:rFonts w:hint="default" w:ascii="Times New Roman" w:hAnsi="Times New Roman" w:cs="Times New Roman"/>
                <w:sz w:val="24"/>
                <w:highlight w:val="none"/>
              </w:rPr>
              <w:t>年）环境影响报告书》中行业准入控制符合性分析见下表：</w:t>
            </w:r>
          </w:p>
          <w:p w14:paraId="4D4EAECE">
            <w:pPr>
              <w:autoSpaceDE w:val="0"/>
              <w:autoSpaceDN w:val="0"/>
              <w:adjustRightInd w:val="0"/>
              <w:snapToGrid w:val="0"/>
              <w:spacing w:line="360" w:lineRule="auto"/>
              <w:jc w:val="center"/>
              <w:rPr>
                <w:rFonts w:hint="default" w:ascii="Times New Roman" w:hAnsi="Times New Roman" w:cs="Times New Roman"/>
                <w:b/>
                <w:bCs/>
                <w:kern w:val="0"/>
                <w:sz w:val="24"/>
                <w:highlight w:val="none"/>
              </w:rPr>
            </w:pPr>
            <w:r>
              <w:rPr>
                <w:rFonts w:hint="default" w:ascii="Times New Roman" w:hAnsi="Times New Roman" w:cs="Times New Roman"/>
                <w:b/>
                <w:bCs/>
                <w:kern w:val="0"/>
                <w:sz w:val="24"/>
                <w:highlight w:val="none"/>
              </w:rPr>
              <w:t>表1-3  本项目与《齐鲁化学工业区总体发展规划（2023-2035年）环境影响报告书》中行业准入控制要求符合性分析</w:t>
            </w:r>
          </w:p>
          <w:tbl>
            <w:tblPr>
              <w:tblStyle w:val="4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7"/>
              <w:gridCol w:w="1828"/>
              <w:gridCol w:w="2704"/>
              <w:gridCol w:w="892"/>
              <w:gridCol w:w="2535"/>
            </w:tblGrid>
            <w:tr w14:paraId="737E3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588" w:type="pct"/>
                  <w:gridSpan w:val="4"/>
                  <w:tcBorders>
                    <w:tl2br w:val="nil"/>
                    <w:tr2bl w:val="nil"/>
                  </w:tcBorders>
                  <w:vAlign w:val="center"/>
                </w:tcPr>
                <w:p w14:paraId="5E94E58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行业准入控制基本要求</w:t>
                  </w:r>
                </w:p>
              </w:tc>
              <w:tc>
                <w:tcPr>
                  <w:tcW w:w="1411" w:type="pct"/>
                  <w:vMerge w:val="restart"/>
                  <w:tcBorders>
                    <w:tl2br w:val="nil"/>
                    <w:tr2bl w:val="nil"/>
                  </w:tcBorders>
                  <w:vAlign w:val="center"/>
                </w:tcPr>
                <w:p w14:paraId="1136844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项目情况</w:t>
                  </w:r>
                </w:p>
              </w:tc>
            </w:tr>
            <w:tr w14:paraId="4DC7B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restart"/>
                  <w:tcBorders>
                    <w:tl2br w:val="nil"/>
                    <w:tr2bl w:val="nil"/>
                  </w:tcBorders>
                  <w:vAlign w:val="center"/>
                </w:tcPr>
                <w:p w14:paraId="4BC5D43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行业大类</w:t>
                  </w:r>
                </w:p>
              </w:tc>
              <w:tc>
                <w:tcPr>
                  <w:tcW w:w="1018" w:type="pct"/>
                  <w:vMerge w:val="restart"/>
                  <w:tcBorders>
                    <w:tl2br w:val="nil"/>
                    <w:tr2bl w:val="nil"/>
                  </w:tcBorders>
                  <w:vAlign w:val="center"/>
                </w:tcPr>
                <w:p w14:paraId="7F6C221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行业种类</w:t>
                  </w:r>
                </w:p>
              </w:tc>
              <w:tc>
                <w:tcPr>
                  <w:tcW w:w="1506" w:type="pct"/>
                  <w:vMerge w:val="restart"/>
                  <w:tcBorders>
                    <w:tl2br w:val="nil"/>
                    <w:tr2bl w:val="nil"/>
                  </w:tcBorders>
                  <w:vAlign w:val="center"/>
                </w:tcPr>
                <w:p w14:paraId="7263D45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行业小类</w:t>
                  </w:r>
                </w:p>
              </w:tc>
              <w:tc>
                <w:tcPr>
                  <w:tcW w:w="495" w:type="pct"/>
                  <w:tcBorders>
                    <w:tl2br w:val="nil"/>
                    <w:tr2bl w:val="nil"/>
                  </w:tcBorders>
                  <w:vAlign w:val="center"/>
                </w:tcPr>
                <w:p w14:paraId="7AD5283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控制</w:t>
                  </w:r>
                </w:p>
              </w:tc>
              <w:tc>
                <w:tcPr>
                  <w:tcW w:w="1411" w:type="pct"/>
                  <w:vMerge w:val="continue"/>
                  <w:tcBorders>
                    <w:tl2br w:val="nil"/>
                    <w:tr2bl w:val="nil"/>
                  </w:tcBorders>
                  <w:vAlign w:val="center"/>
                </w:tcPr>
                <w:p w14:paraId="5E751C33">
                  <w:pPr>
                    <w:jc w:val="center"/>
                    <w:rPr>
                      <w:rFonts w:hint="default" w:ascii="Times New Roman" w:hAnsi="Times New Roman" w:cs="Times New Roman"/>
                      <w:szCs w:val="21"/>
                      <w:highlight w:val="none"/>
                    </w:rPr>
                  </w:pPr>
                </w:p>
              </w:tc>
            </w:tr>
            <w:tr w14:paraId="14FE2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01AB9522">
                  <w:pPr>
                    <w:jc w:val="center"/>
                    <w:rPr>
                      <w:rFonts w:hint="default" w:ascii="Times New Roman" w:hAnsi="Times New Roman" w:cs="Times New Roman"/>
                      <w:szCs w:val="21"/>
                      <w:highlight w:val="none"/>
                    </w:rPr>
                  </w:pPr>
                </w:p>
              </w:tc>
              <w:tc>
                <w:tcPr>
                  <w:tcW w:w="1018" w:type="pct"/>
                  <w:vMerge w:val="continue"/>
                  <w:tcBorders>
                    <w:tl2br w:val="nil"/>
                    <w:tr2bl w:val="nil"/>
                  </w:tcBorders>
                  <w:vAlign w:val="center"/>
                </w:tcPr>
                <w:p w14:paraId="2E84E530">
                  <w:pPr>
                    <w:jc w:val="center"/>
                    <w:rPr>
                      <w:rFonts w:hint="default" w:ascii="Times New Roman" w:hAnsi="Times New Roman" w:cs="Times New Roman"/>
                      <w:szCs w:val="21"/>
                      <w:highlight w:val="none"/>
                    </w:rPr>
                  </w:pPr>
                </w:p>
              </w:tc>
              <w:tc>
                <w:tcPr>
                  <w:tcW w:w="1506" w:type="pct"/>
                  <w:vMerge w:val="continue"/>
                  <w:tcBorders>
                    <w:tl2br w:val="nil"/>
                    <w:tr2bl w:val="nil"/>
                  </w:tcBorders>
                  <w:vAlign w:val="center"/>
                </w:tcPr>
                <w:p w14:paraId="3B591FE2">
                  <w:pPr>
                    <w:jc w:val="center"/>
                    <w:rPr>
                      <w:rFonts w:hint="default" w:ascii="Times New Roman" w:hAnsi="Times New Roman" w:cs="Times New Roman"/>
                      <w:szCs w:val="21"/>
                      <w:highlight w:val="none"/>
                    </w:rPr>
                  </w:pPr>
                </w:p>
              </w:tc>
              <w:tc>
                <w:tcPr>
                  <w:tcW w:w="495" w:type="pct"/>
                  <w:tcBorders>
                    <w:tl2br w:val="nil"/>
                    <w:tr2bl w:val="nil"/>
                  </w:tcBorders>
                  <w:vAlign w:val="center"/>
                </w:tcPr>
                <w:p w14:paraId="6528E97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级别</w:t>
                  </w:r>
                </w:p>
              </w:tc>
              <w:tc>
                <w:tcPr>
                  <w:tcW w:w="1411" w:type="pct"/>
                  <w:vMerge w:val="continue"/>
                  <w:tcBorders>
                    <w:tl2br w:val="nil"/>
                    <w:tr2bl w:val="nil"/>
                  </w:tcBorders>
                  <w:vAlign w:val="center"/>
                </w:tcPr>
                <w:p w14:paraId="6D91FF5A">
                  <w:pPr>
                    <w:jc w:val="center"/>
                    <w:rPr>
                      <w:rFonts w:hint="default" w:ascii="Times New Roman" w:hAnsi="Times New Roman" w:cs="Times New Roman"/>
                      <w:szCs w:val="21"/>
                      <w:highlight w:val="none"/>
                    </w:rPr>
                  </w:pPr>
                </w:p>
              </w:tc>
            </w:tr>
            <w:tr w14:paraId="67662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24" w:hRule="atLeast"/>
              </w:trPr>
              <w:tc>
                <w:tcPr>
                  <w:tcW w:w="567" w:type="pct"/>
                  <w:vMerge w:val="restart"/>
                  <w:tcBorders>
                    <w:tl2br w:val="nil"/>
                    <w:tr2bl w:val="nil"/>
                  </w:tcBorders>
                  <w:vAlign w:val="center"/>
                </w:tcPr>
                <w:p w14:paraId="74346B0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C25 石油、煤炭及其他燃料加工业</w:t>
                  </w:r>
                </w:p>
              </w:tc>
              <w:tc>
                <w:tcPr>
                  <w:tcW w:w="1018" w:type="pct"/>
                  <w:vMerge w:val="restart"/>
                  <w:tcBorders>
                    <w:tl2br w:val="nil"/>
                    <w:tr2bl w:val="nil"/>
                  </w:tcBorders>
                  <w:vAlign w:val="center"/>
                </w:tcPr>
                <w:p w14:paraId="19FC1F7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C251精炼石油产品制造</w:t>
                  </w:r>
                </w:p>
              </w:tc>
              <w:tc>
                <w:tcPr>
                  <w:tcW w:w="1506" w:type="pct"/>
                  <w:tcBorders>
                    <w:tl2br w:val="nil"/>
                    <w:tr2bl w:val="nil"/>
                  </w:tcBorders>
                  <w:vAlign w:val="center"/>
                </w:tcPr>
                <w:p w14:paraId="78505D1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C2511原油加工及石油制品制造（汽油、煤油、柴油、燃料油、石脑油、溶剂油、石油气、沥青及其他相关产品，不含一二次炼油之外的质量升级油品）</w:t>
                  </w:r>
                </w:p>
              </w:tc>
              <w:tc>
                <w:tcPr>
                  <w:tcW w:w="495" w:type="pct"/>
                  <w:tcBorders>
                    <w:tl2br w:val="nil"/>
                    <w:tr2bl w:val="nil"/>
                  </w:tcBorders>
                  <w:vAlign w:val="center"/>
                </w:tcPr>
                <w:p w14:paraId="3E0F358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restart"/>
                  <w:tcBorders>
                    <w:tl2br w:val="nil"/>
                    <w:tr2bl w:val="nil"/>
                  </w:tcBorders>
                  <w:vAlign w:val="center"/>
                </w:tcPr>
                <w:p w14:paraId="6885930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本项目行业类别为C2666环境污染处理专用药剂材料制造，属于优先进入行业</w:t>
                  </w:r>
                </w:p>
              </w:tc>
            </w:tr>
            <w:tr w14:paraId="659E9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67" w:type="pct"/>
                  <w:vMerge w:val="continue"/>
                  <w:tcBorders>
                    <w:tl2br w:val="nil"/>
                    <w:tr2bl w:val="nil"/>
                  </w:tcBorders>
                  <w:vAlign w:val="center"/>
                </w:tcPr>
                <w:p w14:paraId="54FC5C19">
                  <w:pPr>
                    <w:jc w:val="center"/>
                    <w:rPr>
                      <w:rFonts w:hint="default" w:ascii="Times New Roman" w:hAnsi="Times New Roman" w:cs="Times New Roman"/>
                      <w:szCs w:val="21"/>
                      <w:highlight w:val="none"/>
                    </w:rPr>
                  </w:pPr>
                </w:p>
              </w:tc>
              <w:tc>
                <w:tcPr>
                  <w:tcW w:w="1018" w:type="pct"/>
                  <w:vMerge w:val="continue"/>
                  <w:tcBorders>
                    <w:tl2br w:val="nil"/>
                    <w:tr2bl w:val="nil"/>
                  </w:tcBorders>
                  <w:vAlign w:val="center"/>
                </w:tcPr>
                <w:p w14:paraId="70661E78">
                  <w:pPr>
                    <w:jc w:val="center"/>
                    <w:rPr>
                      <w:rFonts w:hint="default" w:ascii="Times New Roman" w:hAnsi="Times New Roman" w:cs="Times New Roman"/>
                      <w:szCs w:val="21"/>
                      <w:highlight w:val="none"/>
                    </w:rPr>
                  </w:pPr>
                </w:p>
              </w:tc>
              <w:tc>
                <w:tcPr>
                  <w:tcW w:w="1506" w:type="pct"/>
                  <w:tcBorders>
                    <w:tl2br w:val="nil"/>
                    <w:tr2bl w:val="nil"/>
                  </w:tcBorders>
                  <w:vAlign w:val="center"/>
                </w:tcPr>
                <w:p w14:paraId="18ABD74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C2511原油加工及石油制品制造（现有装置升级改造）</w:t>
                  </w:r>
                </w:p>
              </w:tc>
              <w:tc>
                <w:tcPr>
                  <w:tcW w:w="495" w:type="pct"/>
                  <w:tcBorders>
                    <w:tl2br w:val="nil"/>
                    <w:tr2bl w:val="nil"/>
                  </w:tcBorders>
                  <w:vAlign w:val="center"/>
                </w:tcPr>
                <w:p w14:paraId="136FB2F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3F316939">
                  <w:pPr>
                    <w:jc w:val="center"/>
                    <w:rPr>
                      <w:rFonts w:hint="default" w:ascii="Times New Roman" w:hAnsi="Times New Roman" w:cs="Times New Roman"/>
                      <w:szCs w:val="21"/>
                      <w:highlight w:val="none"/>
                    </w:rPr>
                  </w:pPr>
                </w:p>
              </w:tc>
            </w:tr>
            <w:tr w14:paraId="3D09C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0F5742CB">
                  <w:pPr>
                    <w:jc w:val="center"/>
                    <w:rPr>
                      <w:rFonts w:hint="default" w:ascii="Times New Roman" w:hAnsi="Times New Roman" w:cs="Times New Roman"/>
                      <w:szCs w:val="21"/>
                      <w:highlight w:val="none"/>
                    </w:rPr>
                  </w:pPr>
                </w:p>
              </w:tc>
              <w:tc>
                <w:tcPr>
                  <w:tcW w:w="1018" w:type="pct"/>
                  <w:vMerge w:val="continue"/>
                  <w:tcBorders>
                    <w:tl2br w:val="nil"/>
                    <w:tr2bl w:val="nil"/>
                  </w:tcBorders>
                  <w:vAlign w:val="center"/>
                </w:tcPr>
                <w:p w14:paraId="21AA0F55">
                  <w:pPr>
                    <w:jc w:val="center"/>
                    <w:rPr>
                      <w:rFonts w:hint="default" w:ascii="Times New Roman" w:hAnsi="Times New Roman" w:cs="Times New Roman"/>
                      <w:szCs w:val="21"/>
                      <w:highlight w:val="none"/>
                    </w:rPr>
                  </w:pPr>
                </w:p>
              </w:tc>
              <w:tc>
                <w:tcPr>
                  <w:tcW w:w="1506" w:type="pct"/>
                  <w:tcBorders>
                    <w:tl2br w:val="nil"/>
                    <w:tr2bl w:val="nil"/>
                  </w:tcBorders>
                  <w:vAlign w:val="center"/>
                </w:tcPr>
                <w:p w14:paraId="141B027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C2519其他原油制造</w:t>
                  </w:r>
                </w:p>
              </w:tc>
              <w:tc>
                <w:tcPr>
                  <w:tcW w:w="495" w:type="pct"/>
                  <w:tcBorders>
                    <w:tl2br w:val="nil"/>
                    <w:tr2bl w:val="nil"/>
                  </w:tcBorders>
                  <w:vAlign w:val="center"/>
                </w:tcPr>
                <w:p w14:paraId="6B39D60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24D5E6F3">
                  <w:pPr>
                    <w:jc w:val="center"/>
                    <w:rPr>
                      <w:rFonts w:hint="default" w:ascii="Times New Roman" w:hAnsi="Times New Roman" w:cs="Times New Roman"/>
                      <w:szCs w:val="21"/>
                      <w:highlight w:val="none"/>
                    </w:rPr>
                  </w:pPr>
                </w:p>
              </w:tc>
            </w:tr>
            <w:tr w14:paraId="1A7C5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restart"/>
                  <w:tcBorders>
                    <w:tl2br w:val="nil"/>
                    <w:tr2bl w:val="nil"/>
                  </w:tcBorders>
                  <w:vAlign w:val="center"/>
                </w:tcPr>
                <w:p w14:paraId="3B5EAB2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C26化学</w:t>
                  </w:r>
                </w:p>
                <w:p w14:paraId="39D7BA6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原料和化</w:t>
                  </w:r>
                </w:p>
                <w:p w14:paraId="2417AC3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学制品制造业</w:t>
                  </w:r>
                </w:p>
              </w:tc>
              <w:tc>
                <w:tcPr>
                  <w:tcW w:w="1018" w:type="pct"/>
                  <w:vMerge w:val="restart"/>
                  <w:tcBorders>
                    <w:tl2br w:val="nil"/>
                    <w:tr2bl w:val="nil"/>
                  </w:tcBorders>
                  <w:vAlign w:val="center"/>
                </w:tcPr>
                <w:p w14:paraId="3B373BF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C261基础化学原料制造</w:t>
                  </w:r>
                </w:p>
              </w:tc>
              <w:tc>
                <w:tcPr>
                  <w:tcW w:w="1506" w:type="pct"/>
                  <w:tcBorders>
                    <w:tl2br w:val="nil"/>
                    <w:tr2bl w:val="nil"/>
                  </w:tcBorders>
                  <w:vAlign w:val="center"/>
                </w:tcPr>
                <w:p w14:paraId="51040EC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C2612无机碱制造（氯碱、纯碱）</w:t>
                  </w:r>
                </w:p>
              </w:tc>
              <w:tc>
                <w:tcPr>
                  <w:tcW w:w="495" w:type="pct"/>
                  <w:tcBorders>
                    <w:tl2br w:val="nil"/>
                    <w:tr2bl w:val="nil"/>
                  </w:tcBorders>
                  <w:vAlign w:val="center"/>
                </w:tcPr>
                <w:p w14:paraId="23B6D96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38BF35B6">
                  <w:pPr>
                    <w:jc w:val="center"/>
                    <w:rPr>
                      <w:rFonts w:hint="default" w:ascii="Times New Roman" w:hAnsi="Times New Roman" w:cs="Times New Roman"/>
                      <w:szCs w:val="21"/>
                      <w:highlight w:val="none"/>
                    </w:rPr>
                  </w:pPr>
                </w:p>
              </w:tc>
            </w:tr>
            <w:tr w14:paraId="751E7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2E8F8079">
                  <w:pPr>
                    <w:jc w:val="center"/>
                    <w:rPr>
                      <w:rFonts w:hint="default" w:ascii="Times New Roman" w:hAnsi="Times New Roman" w:cs="Times New Roman"/>
                      <w:szCs w:val="21"/>
                      <w:highlight w:val="none"/>
                    </w:rPr>
                  </w:pPr>
                </w:p>
              </w:tc>
              <w:tc>
                <w:tcPr>
                  <w:tcW w:w="1018" w:type="pct"/>
                  <w:vMerge w:val="continue"/>
                  <w:tcBorders>
                    <w:tl2br w:val="nil"/>
                    <w:tr2bl w:val="nil"/>
                  </w:tcBorders>
                  <w:vAlign w:val="center"/>
                </w:tcPr>
                <w:p w14:paraId="5240725B">
                  <w:pPr>
                    <w:jc w:val="center"/>
                    <w:rPr>
                      <w:rFonts w:hint="default" w:ascii="Times New Roman" w:hAnsi="Times New Roman" w:cs="Times New Roman"/>
                      <w:szCs w:val="21"/>
                      <w:highlight w:val="none"/>
                    </w:rPr>
                  </w:pPr>
                </w:p>
              </w:tc>
              <w:tc>
                <w:tcPr>
                  <w:tcW w:w="1506" w:type="pct"/>
                  <w:tcBorders>
                    <w:tl2br w:val="nil"/>
                    <w:tr2bl w:val="nil"/>
                  </w:tcBorders>
                  <w:vAlign w:val="center"/>
                </w:tcPr>
                <w:p w14:paraId="0D6FE31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C2612无机碱制造（电石）</w:t>
                  </w:r>
                </w:p>
              </w:tc>
              <w:tc>
                <w:tcPr>
                  <w:tcW w:w="495" w:type="pct"/>
                  <w:tcBorders>
                    <w:tl2br w:val="nil"/>
                    <w:tr2bl w:val="nil"/>
                  </w:tcBorders>
                  <w:vAlign w:val="center"/>
                </w:tcPr>
                <w:p w14:paraId="18673DD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4BBB8D09">
                  <w:pPr>
                    <w:jc w:val="center"/>
                    <w:rPr>
                      <w:rFonts w:hint="default" w:ascii="Times New Roman" w:hAnsi="Times New Roman" w:cs="Times New Roman"/>
                      <w:szCs w:val="21"/>
                      <w:highlight w:val="none"/>
                    </w:rPr>
                  </w:pPr>
                </w:p>
              </w:tc>
            </w:tr>
            <w:tr w14:paraId="5872E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2C4B72A7">
                  <w:pPr>
                    <w:jc w:val="center"/>
                    <w:rPr>
                      <w:rFonts w:hint="default" w:ascii="Times New Roman" w:hAnsi="Times New Roman" w:cs="Times New Roman"/>
                      <w:szCs w:val="21"/>
                      <w:highlight w:val="none"/>
                    </w:rPr>
                  </w:pPr>
                </w:p>
              </w:tc>
              <w:tc>
                <w:tcPr>
                  <w:tcW w:w="1018" w:type="pct"/>
                  <w:vMerge w:val="continue"/>
                  <w:tcBorders>
                    <w:tl2br w:val="nil"/>
                    <w:tr2bl w:val="nil"/>
                  </w:tcBorders>
                  <w:vAlign w:val="center"/>
                </w:tcPr>
                <w:p w14:paraId="657A4BB4">
                  <w:pPr>
                    <w:jc w:val="center"/>
                    <w:rPr>
                      <w:rFonts w:hint="default" w:ascii="Times New Roman" w:hAnsi="Times New Roman" w:cs="Times New Roman"/>
                      <w:szCs w:val="21"/>
                      <w:highlight w:val="none"/>
                    </w:rPr>
                  </w:pPr>
                </w:p>
              </w:tc>
              <w:tc>
                <w:tcPr>
                  <w:tcW w:w="1506" w:type="pct"/>
                  <w:tcBorders>
                    <w:tl2br w:val="nil"/>
                    <w:tr2bl w:val="nil"/>
                  </w:tcBorders>
                  <w:vAlign w:val="center"/>
                </w:tcPr>
                <w:p w14:paraId="1FB72CD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C2614有机化学原料制造（乙烯、对二甲苯）</w:t>
                  </w:r>
                </w:p>
              </w:tc>
              <w:tc>
                <w:tcPr>
                  <w:tcW w:w="495" w:type="pct"/>
                  <w:tcBorders>
                    <w:tl2br w:val="nil"/>
                    <w:tr2bl w:val="nil"/>
                  </w:tcBorders>
                  <w:vAlign w:val="center"/>
                </w:tcPr>
                <w:p w14:paraId="513FA53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11B14363">
                  <w:pPr>
                    <w:jc w:val="center"/>
                    <w:rPr>
                      <w:rFonts w:hint="default" w:ascii="Times New Roman" w:hAnsi="Times New Roman" w:cs="Times New Roman"/>
                      <w:szCs w:val="21"/>
                      <w:highlight w:val="none"/>
                    </w:rPr>
                  </w:pPr>
                </w:p>
              </w:tc>
            </w:tr>
            <w:tr w14:paraId="2EEAD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4B0A95DC">
                  <w:pPr>
                    <w:jc w:val="center"/>
                    <w:rPr>
                      <w:rFonts w:hint="default" w:ascii="Times New Roman" w:hAnsi="Times New Roman" w:cs="Times New Roman"/>
                      <w:szCs w:val="21"/>
                      <w:highlight w:val="none"/>
                    </w:rPr>
                  </w:pPr>
                </w:p>
              </w:tc>
              <w:tc>
                <w:tcPr>
                  <w:tcW w:w="1018" w:type="pct"/>
                  <w:vMerge w:val="continue"/>
                  <w:tcBorders>
                    <w:tl2br w:val="nil"/>
                    <w:tr2bl w:val="nil"/>
                  </w:tcBorders>
                  <w:vAlign w:val="center"/>
                </w:tcPr>
                <w:p w14:paraId="7023F169">
                  <w:pPr>
                    <w:jc w:val="center"/>
                    <w:rPr>
                      <w:rFonts w:hint="default" w:ascii="Times New Roman" w:hAnsi="Times New Roman" w:cs="Times New Roman"/>
                      <w:szCs w:val="21"/>
                      <w:highlight w:val="none"/>
                    </w:rPr>
                  </w:pPr>
                </w:p>
              </w:tc>
              <w:tc>
                <w:tcPr>
                  <w:tcW w:w="1506" w:type="pct"/>
                  <w:tcBorders>
                    <w:tl2br w:val="nil"/>
                    <w:tr2bl w:val="nil"/>
                  </w:tcBorders>
                  <w:vAlign w:val="center"/>
                </w:tcPr>
                <w:p w14:paraId="2DF136D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其他</w:t>
                  </w:r>
                </w:p>
              </w:tc>
              <w:tc>
                <w:tcPr>
                  <w:tcW w:w="495" w:type="pct"/>
                  <w:tcBorders>
                    <w:tl2br w:val="nil"/>
                    <w:tr2bl w:val="nil"/>
                  </w:tcBorders>
                  <w:vAlign w:val="center"/>
                </w:tcPr>
                <w:p w14:paraId="19D1ACF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1BE4ADC3">
                  <w:pPr>
                    <w:jc w:val="center"/>
                    <w:rPr>
                      <w:rFonts w:hint="default" w:ascii="Times New Roman" w:hAnsi="Times New Roman" w:cs="Times New Roman"/>
                      <w:szCs w:val="21"/>
                      <w:highlight w:val="none"/>
                    </w:rPr>
                  </w:pPr>
                </w:p>
              </w:tc>
            </w:tr>
            <w:tr w14:paraId="61398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01443338">
                  <w:pPr>
                    <w:jc w:val="center"/>
                    <w:rPr>
                      <w:rFonts w:hint="default" w:ascii="Times New Roman" w:hAnsi="Times New Roman" w:cs="Times New Roman"/>
                      <w:szCs w:val="21"/>
                      <w:highlight w:val="none"/>
                    </w:rPr>
                  </w:pPr>
                </w:p>
              </w:tc>
              <w:tc>
                <w:tcPr>
                  <w:tcW w:w="1018" w:type="pct"/>
                  <w:vMerge w:val="restart"/>
                  <w:tcBorders>
                    <w:tl2br w:val="nil"/>
                    <w:tr2bl w:val="nil"/>
                  </w:tcBorders>
                  <w:vAlign w:val="center"/>
                </w:tcPr>
                <w:p w14:paraId="306DAA8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C262肥料制造</w:t>
                  </w:r>
                </w:p>
              </w:tc>
              <w:tc>
                <w:tcPr>
                  <w:tcW w:w="1506" w:type="pct"/>
                  <w:tcBorders>
                    <w:tl2br w:val="nil"/>
                    <w:tr2bl w:val="nil"/>
                  </w:tcBorders>
                  <w:vAlign w:val="center"/>
                </w:tcPr>
                <w:p w14:paraId="7A331BC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C2621氮肥制造（合成氨、尿素）</w:t>
                  </w:r>
                </w:p>
              </w:tc>
              <w:tc>
                <w:tcPr>
                  <w:tcW w:w="495" w:type="pct"/>
                  <w:tcBorders>
                    <w:tl2br w:val="nil"/>
                    <w:tr2bl w:val="nil"/>
                  </w:tcBorders>
                  <w:vAlign w:val="center"/>
                </w:tcPr>
                <w:p w14:paraId="15BDDC3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2FB58198">
                  <w:pPr>
                    <w:jc w:val="center"/>
                    <w:rPr>
                      <w:rFonts w:hint="default" w:ascii="Times New Roman" w:hAnsi="Times New Roman" w:cs="Times New Roman"/>
                      <w:szCs w:val="21"/>
                      <w:highlight w:val="none"/>
                    </w:rPr>
                  </w:pPr>
                </w:p>
              </w:tc>
            </w:tr>
            <w:tr w14:paraId="6838E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7632B0C8">
                  <w:pPr>
                    <w:jc w:val="center"/>
                    <w:rPr>
                      <w:rFonts w:hint="default" w:ascii="Times New Roman" w:hAnsi="Times New Roman" w:cs="Times New Roman"/>
                      <w:szCs w:val="21"/>
                      <w:highlight w:val="none"/>
                    </w:rPr>
                  </w:pPr>
                </w:p>
              </w:tc>
              <w:tc>
                <w:tcPr>
                  <w:tcW w:w="1018" w:type="pct"/>
                  <w:vMerge w:val="continue"/>
                  <w:tcBorders>
                    <w:tl2br w:val="nil"/>
                    <w:tr2bl w:val="nil"/>
                  </w:tcBorders>
                  <w:vAlign w:val="center"/>
                </w:tcPr>
                <w:p w14:paraId="11B4DE4C">
                  <w:pPr>
                    <w:jc w:val="center"/>
                    <w:rPr>
                      <w:rFonts w:hint="default" w:ascii="Times New Roman" w:hAnsi="Times New Roman" w:cs="Times New Roman"/>
                      <w:szCs w:val="21"/>
                      <w:highlight w:val="none"/>
                    </w:rPr>
                  </w:pPr>
                </w:p>
              </w:tc>
              <w:tc>
                <w:tcPr>
                  <w:tcW w:w="1506" w:type="pct"/>
                  <w:tcBorders>
                    <w:tl2br w:val="nil"/>
                    <w:tr2bl w:val="nil"/>
                  </w:tcBorders>
                  <w:vAlign w:val="center"/>
                </w:tcPr>
                <w:p w14:paraId="62C0C3F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C2622磷肥制造（磷酸一铵、磷酸二铵）</w:t>
                  </w:r>
                </w:p>
              </w:tc>
              <w:tc>
                <w:tcPr>
                  <w:tcW w:w="495" w:type="pct"/>
                  <w:tcBorders>
                    <w:tl2br w:val="nil"/>
                    <w:tr2bl w:val="nil"/>
                  </w:tcBorders>
                  <w:vAlign w:val="center"/>
                </w:tcPr>
                <w:p w14:paraId="182B3AC5">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4D7A4F16">
                  <w:pPr>
                    <w:jc w:val="center"/>
                    <w:rPr>
                      <w:rFonts w:hint="default" w:ascii="Times New Roman" w:hAnsi="Times New Roman" w:cs="Times New Roman"/>
                      <w:szCs w:val="21"/>
                      <w:highlight w:val="none"/>
                    </w:rPr>
                  </w:pPr>
                </w:p>
              </w:tc>
            </w:tr>
            <w:tr w14:paraId="04CE3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6B4FED9B">
                  <w:pPr>
                    <w:jc w:val="center"/>
                    <w:rPr>
                      <w:rFonts w:hint="default" w:ascii="Times New Roman" w:hAnsi="Times New Roman" w:cs="Times New Roman"/>
                      <w:szCs w:val="21"/>
                      <w:highlight w:val="none"/>
                    </w:rPr>
                  </w:pPr>
                </w:p>
              </w:tc>
              <w:tc>
                <w:tcPr>
                  <w:tcW w:w="1018" w:type="pct"/>
                  <w:vMerge w:val="continue"/>
                  <w:tcBorders>
                    <w:tl2br w:val="nil"/>
                    <w:tr2bl w:val="nil"/>
                  </w:tcBorders>
                  <w:vAlign w:val="center"/>
                </w:tcPr>
                <w:p w14:paraId="745B35C3">
                  <w:pPr>
                    <w:jc w:val="center"/>
                    <w:rPr>
                      <w:rFonts w:hint="default" w:ascii="Times New Roman" w:hAnsi="Times New Roman" w:cs="Times New Roman"/>
                      <w:szCs w:val="21"/>
                      <w:highlight w:val="none"/>
                    </w:rPr>
                  </w:pPr>
                </w:p>
              </w:tc>
              <w:tc>
                <w:tcPr>
                  <w:tcW w:w="1506" w:type="pct"/>
                  <w:tcBorders>
                    <w:tl2br w:val="nil"/>
                    <w:tr2bl w:val="nil"/>
                  </w:tcBorders>
                  <w:vAlign w:val="center"/>
                </w:tcPr>
                <w:p w14:paraId="6A2A6DC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其它</w:t>
                  </w:r>
                </w:p>
              </w:tc>
              <w:tc>
                <w:tcPr>
                  <w:tcW w:w="495" w:type="pct"/>
                  <w:tcBorders>
                    <w:tl2br w:val="nil"/>
                    <w:tr2bl w:val="nil"/>
                  </w:tcBorders>
                  <w:vAlign w:val="center"/>
                </w:tcPr>
                <w:p w14:paraId="78C15EF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2D648850">
                  <w:pPr>
                    <w:jc w:val="center"/>
                    <w:rPr>
                      <w:rFonts w:hint="default" w:ascii="Times New Roman" w:hAnsi="Times New Roman" w:cs="Times New Roman"/>
                      <w:szCs w:val="21"/>
                      <w:highlight w:val="none"/>
                    </w:rPr>
                  </w:pPr>
                </w:p>
              </w:tc>
            </w:tr>
            <w:tr w14:paraId="100F2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7744761B">
                  <w:pPr>
                    <w:jc w:val="center"/>
                    <w:rPr>
                      <w:rFonts w:hint="default" w:ascii="Times New Roman" w:hAnsi="Times New Roman" w:cs="Times New Roman"/>
                      <w:szCs w:val="21"/>
                      <w:highlight w:val="none"/>
                    </w:rPr>
                  </w:pPr>
                </w:p>
              </w:tc>
              <w:tc>
                <w:tcPr>
                  <w:tcW w:w="1018" w:type="pct"/>
                  <w:tcBorders>
                    <w:tl2br w:val="nil"/>
                    <w:tr2bl w:val="nil"/>
                  </w:tcBorders>
                  <w:vAlign w:val="center"/>
                </w:tcPr>
                <w:p w14:paraId="1873D3A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C263农药制造</w:t>
                  </w:r>
                </w:p>
              </w:tc>
              <w:tc>
                <w:tcPr>
                  <w:tcW w:w="1506" w:type="pct"/>
                  <w:tcBorders>
                    <w:tl2br w:val="nil"/>
                    <w:tr2bl w:val="nil"/>
                  </w:tcBorders>
                  <w:vAlign w:val="center"/>
                </w:tcPr>
                <w:p w14:paraId="2E8CAD6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全部</w:t>
                  </w:r>
                </w:p>
              </w:tc>
              <w:tc>
                <w:tcPr>
                  <w:tcW w:w="495" w:type="pct"/>
                  <w:tcBorders>
                    <w:tl2br w:val="nil"/>
                    <w:tr2bl w:val="nil"/>
                  </w:tcBorders>
                  <w:vAlign w:val="center"/>
                </w:tcPr>
                <w:p w14:paraId="65E41CA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7B2D331F">
                  <w:pPr>
                    <w:jc w:val="center"/>
                    <w:rPr>
                      <w:rFonts w:hint="default" w:ascii="Times New Roman" w:hAnsi="Times New Roman" w:cs="Times New Roman"/>
                      <w:szCs w:val="21"/>
                      <w:highlight w:val="none"/>
                    </w:rPr>
                  </w:pPr>
                </w:p>
              </w:tc>
            </w:tr>
            <w:tr w14:paraId="4F815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24" w:hRule="atLeast"/>
              </w:trPr>
              <w:tc>
                <w:tcPr>
                  <w:tcW w:w="567" w:type="pct"/>
                  <w:vMerge w:val="continue"/>
                  <w:tcBorders>
                    <w:tl2br w:val="nil"/>
                    <w:tr2bl w:val="nil"/>
                  </w:tcBorders>
                  <w:vAlign w:val="center"/>
                </w:tcPr>
                <w:p w14:paraId="3126C32F">
                  <w:pPr>
                    <w:jc w:val="center"/>
                    <w:rPr>
                      <w:rFonts w:hint="default" w:ascii="Times New Roman" w:hAnsi="Times New Roman" w:cs="Times New Roman"/>
                      <w:szCs w:val="21"/>
                      <w:highlight w:val="none"/>
                    </w:rPr>
                  </w:pPr>
                </w:p>
              </w:tc>
              <w:tc>
                <w:tcPr>
                  <w:tcW w:w="1018" w:type="pct"/>
                  <w:tcBorders>
                    <w:tl2br w:val="nil"/>
                    <w:tr2bl w:val="nil"/>
                  </w:tcBorders>
                  <w:vAlign w:val="center"/>
                </w:tcPr>
                <w:p w14:paraId="371AA72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C264涂料、油</w:t>
                  </w:r>
                </w:p>
                <w:p w14:paraId="148B958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墨、颜料及类似产品制造</w:t>
                  </w:r>
                </w:p>
              </w:tc>
              <w:tc>
                <w:tcPr>
                  <w:tcW w:w="1506" w:type="pct"/>
                  <w:tcBorders>
                    <w:tl2br w:val="nil"/>
                    <w:tr2bl w:val="nil"/>
                  </w:tcBorders>
                  <w:vAlign w:val="center"/>
                </w:tcPr>
                <w:p w14:paraId="49F345E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全部</w:t>
                  </w:r>
                </w:p>
              </w:tc>
              <w:tc>
                <w:tcPr>
                  <w:tcW w:w="495" w:type="pct"/>
                  <w:tcBorders>
                    <w:tl2br w:val="nil"/>
                    <w:tr2bl w:val="nil"/>
                  </w:tcBorders>
                  <w:vAlign w:val="center"/>
                </w:tcPr>
                <w:p w14:paraId="14CCEF0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14F9D587">
                  <w:pPr>
                    <w:jc w:val="center"/>
                    <w:rPr>
                      <w:rFonts w:hint="default" w:ascii="Times New Roman" w:hAnsi="Times New Roman" w:cs="Times New Roman"/>
                      <w:szCs w:val="21"/>
                      <w:highlight w:val="none"/>
                    </w:rPr>
                  </w:pPr>
                </w:p>
              </w:tc>
            </w:tr>
            <w:tr w14:paraId="2F845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4" w:hRule="atLeast"/>
              </w:trPr>
              <w:tc>
                <w:tcPr>
                  <w:tcW w:w="567" w:type="pct"/>
                  <w:vMerge w:val="continue"/>
                  <w:tcBorders>
                    <w:tl2br w:val="nil"/>
                    <w:tr2bl w:val="nil"/>
                  </w:tcBorders>
                  <w:vAlign w:val="center"/>
                </w:tcPr>
                <w:p w14:paraId="313B9750">
                  <w:pPr>
                    <w:jc w:val="center"/>
                    <w:rPr>
                      <w:rFonts w:hint="default" w:ascii="Times New Roman" w:hAnsi="Times New Roman" w:cs="Times New Roman"/>
                      <w:szCs w:val="21"/>
                      <w:highlight w:val="none"/>
                    </w:rPr>
                  </w:pPr>
                </w:p>
              </w:tc>
              <w:tc>
                <w:tcPr>
                  <w:tcW w:w="1018" w:type="pct"/>
                  <w:tcBorders>
                    <w:tl2br w:val="nil"/>
                    <w:tr2bl w:val="nil"/>
                  </w:tcBorders>
                  <w:vAlign w:val="center"/>
                </w:tcPr>
                <w:p w14:paraId="5628B1E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C265合成材料制造</w:t>
                  </w:r>
                </w:p>
              </w:tc>
              <w:tc>
                <w:tcPr>
                  <w:tcW w:w="1506" w:type="pct"/>
                  <w:tcBorders>
                    <w:tl2br w:val="nil"/>
                    <w:tr2bl w:val="nil"/>
                  </w:tcBorders>
                  <w:vAlign w:val="center"/>
                </w:tcPr>
                <w:p w14:paraId="723DBC9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全部</w:t>
                  </w:r>
                </w:p>
              </w:tc>
              <w:tc>
                <w:tcPr>
                  <w:tcW w:w="495" w:type="pct"/>
                  <w:tcBorders>
                    <w:tl2br w:val="nil"/>
                    <w:tr2bl w:val="nil"/>
                  </w:tcBorders>
                  <w:vAlign w:val="center"/>
                </w:tcPr>
                <w:p w14:paraId="4578C63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455A2D30">
                  <w:pPr>
                    <w:jc w:val="center"/>
                    <w:rPr>
                      <w:rFonts w:hint="default" w:ascii="Times New Roman" w:hAnsi="Times New Roman" w:cs="Times New Roman"/>
                      <w:szCs w:val="21"/>
                      <w:highlight w:val="none"/>
                    </w:rPr>
                  </w:pPr>
                </w:p>
              </w:tc>
            </w:tr>
            <w:tr w14:paraId="616A3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4" w:hRule="atLeast"/>
              </w:trPr>
              <w:tc>
                <w:tcPr>
                  <w:tcW w:w="567" w:type="pct"/>
                  <w:vMerge w:val="continue"/>
                  <w:tcBorders>
                    <w:tl2br w:val="nil"/>
                    <w:tr2bl w:val="nil"/>
                  </w:tcBorders>
                  <w:vAlign w:val="center"/>
                </w:tcPr>
                <w:p w14:paraId="03F6B5C1">
                  <w:pPr>
                    <w:jc w:val="center"/>
                    <w:rPr>
                      <w:rFonts w:hint="default" w:ascii="Times New Roman" w:hAnsi="Times New Roman" w:cs="Times New Roman"/>
                      <w:szCs w:val="21"/>
                      <w:highlight w:val="none"/>
                    </w:rPr>
                  </w:pPr>
                </w:p>
              </w:tc>
              <w:tc>
                <w:tcPr>
                  <w:tcW w:w="1018" w:type="pct"/>
                  <w:tcBorders>
                    <w:tl2br w:val="nil"/>
                    <w:tr2bl w:val="nil"/>
                  </w:tcBorders>
                  <w:vAlign w:val="center"/>
                </w:tcPr>
                <w:p w14:paraId="2AA7680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C266专用化学产品制造</w:t>
                  </w:r>
                </w:p>
              </w:tc>
              <w:tc>
                <w:tcPr>
                  <w:tcW w:w="1506" w:type="pct"/>
                  <w:tcBorders>
                    <w:tl2br w:val="nil"/>
                    <w:tr2bl w:val="nil"/>
                  </w:tcBorders>
                  <w:vAlign w:val="center"/>
                </w:tcPr>
                <w:p w14:paraId="734DE5B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全部</w:t>
                  </w:r>
                </w:p>
              </w:tc>
              <w:tc>
                <w:tcPr>
                  <w:tcW w:w="495" w:type="pct"/>
                  <w:tcBorders>
                    <w:tl2br w:val="nil"/>
                    <w:tr2bl w:val="nil"/>
                  </w:tcBorders>
                  <w:vAlign w:val="center"/>
                </w:tcPr>
                <w:p w14:paraId="0E72D19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65E01A9F">
                  <w:pPr>
                    <w:jc w:val="center"/>
                    <w:rPr>
                      <w:rFonts w:hint="default" w:ascii="Times New Roman" w:hAnsi="Times New Roman" w:cs="Times New Roman"/>
                      <w:szCs w:val="21"/>
                      <w:highlight w:val="none"/>
                    </w:rPr>
                  </w:pPr>
                </w:p>
              </w:tc>
            </w:tr>
            <w:tr w14:paraId="63398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426D2489">
                  <w:pPr>
                    <w:jc w:val="center"/>
                    <w:rPr>
                      <w:rFonts w:hint="default" w:ascii="Times New Roman" w:hAnsi="Times New Roman" w:cs="Times New Roman"/>
                      <w:szCs w:val="21"/>
                      <w:highlight w:val="none"/>
                    </w:rPr>
                  </w:pPr>
                </w:p>
              </w:tc>
              <w:tc>
                <w:tcPr>
                  <w:tcW w:w="1018" w:type="pct"/>
                  <w:tcBorders>
                    <w:tl2br w:val="nil"/>
                    <w:tr2bl w:val="nil"/>
                  </w:tcBorders>
                  <w:vAlign w:val="center"/>
                </w:tcPr>
                <w:p w14:paraId="701F764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C267炸药、火</w:t>
                  </w:r>
                </w:p>
                <w:p w14:paraId="0209922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工及焰火产品制造</w:t>
                  </w:r>
                </w:p>
              </w:tc>
              <w:tc>
                <w:tcPr>
                  <w:tcW w:w="1506" w:type="pct"/>
                  <w:tcBorders>
                    <w:tl2br w:val="nil"/>
                    <w:tr2bl w:val="nil"/>
                  </w:tcBorders>
                  <w:vAlign w:val="center"/>
                </w:tcPr>
                <w:p w14:paraId="4439C97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全部</w:t>
                  </w:r>
                </w:p>
              </w:tc>
              <w:tc>
                <w:tcPr>
                  <w:tcW w:w="495" w:type="pct"/>
                  <w:tcBorders>
                    <w:tl2br w:val="nil"/>
                    <w:tr2bl w:val="nil"/>
                  </w:tcBorders>
                  <w:vAlign w:val="center"/>
                </w:tcPr>
                <w:p w14:paraId="77F2195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1DC32A46">
                  <w:pPr>
                    <w:jc w:val="center"/>
                    <w:rPr>
                      <w:rFonts w:hint="default" w:ascii="Times New Roman" w:hAnsi="Times New Roman" w:cs="Times New Roman"/>
                      <w:szCs w:val="21"/>
                      <w:highlight w:val="none"/>
                    </w:rPr>
                  </w:pPr>
                </w:p>
              </w:tc>
            </w:tr>
            <w:tr w14:paraId="6C51E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314CD9AD">
                  <w:pPr>
                    <w:jc w:val="center"/>
                    <w:rPr>
                      <w:rFonts w:hint="default" w:ascii="Times New Roman" w:hAnsi="Times New Roman" w:cs="Times New Roman"/>
                      <w:szCs w:val="21"/>
                      <w:highlight w:val="none"/>
                    </w:rPr>
                  </w:pPr>
                </w:p>
              </w:tc>
              <w:tc>
                <w:tcPr>
                  <w:tcW w:w="1018" w:type="pct"/>
                  <w:tcBorders>
                    <w:tl2br w:val="nil"/>
                    <w:tr2bl w:val="nil"/>
                  </w:tcBorders>
                  <w:vAlign w:val="center"/>
                </w:tcPr>
                <w:p w14:paraId="6C477CA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C268日用化学产品制造</w:t>
                  </w:r>
                </w:p>
              </w:tc>
              <w:tc>
                <w:tcPr>
                  <w:tcW w:w="1506" w:type="pct"/>
                  <w:tcBorders>
                    <w:tl2br w:val="nil"/>
                    <w:tr2bl w:val="nil"/>
                  </w:tcBorders>
                  <w:vAlign w:val="center"/>
                </w:tcPr>
                <w:p w14:paraId="0D86762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全部</w:t>
                  </w:r>
                </w:p>
              </w:tc>
              <w:tc>
                <w:tcPr>
                  <w:tcW w:w="495" w:type="pct"/>
                  <w:tcBorders>
                    <w:tl2br w:val="nil"/>
                    <w:tr2bl w:val="nil"/>
                  </w:tcBorders>
                  <w:vAlign w:val="center"/>
                </w:tcPr>
                <w:p w14:paraId="7A6F7B5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21DB1218">
                  <w:pPr>
                    <w:jc w:val="center"/>
                    <w:rPr>
                      <w:rFonts w:hint="default" w:ascii="Times New Roman" w:hAnsi="Times New Roman" w:cs="Times New Roman"/>
                      <w:szCs w:val="21"/>
                      <w:highlight w:val="none"/>
                    </w:rPr>
                  </w:pPr>
                </w:p>
              </w:tc>
            </w:tr>
            <w:tr w14:paraId="1DAB8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restart"/>
                  <w:tcBorders>
                    <w:tl2br w:val="nil"/>
                    <w:tr2bl w:val="nil"/>
                  </w:tcBorders>
                  <w:vAlign w:val="center"/>
                </w:tcPr>
                <w:p w14:paraId="1E41E36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C29橡胶和塑料制品业</w:t>
                  </w:r>
                </w:p>
              </w:tc>
              <w:tc>
                <w:tcPr>
                  <w:tcW w:w="1018" w:type="pct"/>
                  <w:vMerge w:val="restart"/>
                  <w:tcBorders>
                    <w:tl2br w:val="nil"/>
                    <w:tr2bl w:val="nil"/>
                  </w:tcBorders>
                  <w:vAlign w:val="center"/>
                </w:tcPr>
                <w:p w14:paraId="60BE506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C291橡胶制品业</w:t>
                  </w:r>
                </w:p>
              </w:tc>
              <w:tc>
                <w:tcPr>
                  <w:tcW w:w="1506" w:type="pct"/>
                  <w:tcBorders>
                    <w:tl2br w:val="nil"/>
                    <w:tr2bl w:val="nil"/>
                  </w:tcBorders>
                  <w:vAlign w:val="center"/>
                </w:tcPr>
                <w:p w14:paraId="001FFCD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C2911轮胎制造（子午胎、斜交胎、摩托车胎等轮胎外胎）</w:t>
                  </w:r>
                </w:p>
              </w:tc>
              <w:tc>
                <w:tcPr>
                  <w:tcW w:w="495" w:type="pct"/>
                  <w:tcBorders>
                    <w:tl2br w:val="nil"/>
                    <w:tr2bl w:val="nil"/>
                  </w:tcBorders>
                  <w:vAlign w:val="center"/>
                </w:tcPr>
                <w:p w14:paraId="6633105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50065303">
                  <w:pPr>
                    <w:jc w:val="center"/>
                    <w:rPr>
                      <w:rFonts w:hint="default" w:ascii="Times New Roman" w:hAnsi="Times New Roman" w:cs="Times New Roman"/>
                      <w:szCs w:val="21"/>
                      <w:highlight w:val="none"/>
                    </w:rPr>
                  </w:pPr>
                </w:p>
              </w:tc>
            </w:tr>
            <w:tr w14:paraId="6C581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67" w:type="pct"/>
                  <w:vMerge w:val="continue"/>
                  <w:tcBorders>
                    <w:tl2br w:val="nil"/>
                    <w:tr2bl w:val="nil"/>
                  </w:tcBorders>
                  <w:vAlign w:val="center"/>
                </w:tcPr>
                <w:p w14:paraId="57CA2944">
                  <w:pPr>
                    <w:jc w:val="center"/>
                    <w:rPr>
                      <w:rFonts w:hint="default" w:ascii="Times New Roman" w:hAnsi="Times New Roman" w:cs="Times New Roman"/>
                      <w:szCs w:val="21"/>
                      <w:highlight w:val="none"/>
                    </w:rPr>
                  </w:pPr>
                </w:p>
              </w:tc>
              <w:tc>
                <w:tcPr>
                  <w:tcW w:w="1018" w:type="pct"/>
                  <w:vMerge w:val="continue"/>
                  <w:tcBorders>
                    <w:tl2br w:val="nil"/>
                    <w:tr2bl w:val="nil"/>
                  </w:tcBorders>
                  <w:vAlign w:val="center"/>
                </w:tcPr>
                <w:p w14:paraId="019E02E1">
                  <w:pPr>
                    <w:jc w:val="center"/>
                    <w:rPr>
                      <w:rFonts w:hint="default" w:ascii="Times New Roman" w:hAnsi="Times New Roman" w:cs="Times New Roman"/>
                      <w:szCs w:val="21"/>
                      <w:highlight w:val="none"/>
                    </w:rPr>
                  </w:pPr>
                </w:p>
              </w:tc>
              <w:tc>
                <w:tcPr>
                  <w:tcW w:w="1506" w:type="pct"/>
                  <w:tcBorders>
                    <w:tl2br w:val="nil"/>
                    <w:tr2bl w:val="nil"/>
                  </w:tcBorders>
                  <w:vAlign w:val="center"/>
                </w:tcPr>
                <w:p w14:paraId="25E117C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其它</w:t>
                  </w:r>
                </w:p>
              </w:tc>
              <w:tc>
                <w:tcPr>
                  <w:tcW w:w="495" w:type="pct"/>
                  <w:tcBorders>
                    <w:tl2br w:val="nil"/>
                    <w:tr2bl w:val="nil"/>
                  </w:tcBorders>
                  <w:vAlign w:val="center"/>
                </w:tcPr>
                <w:p w14:paraId="475AF7C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411" w:type="pct"/>
                  <w:vMerge w:val="continue"/>
                  <w:tcBorders>
                    <w:tl2br w:val="nil"/>
                    <w:tr2bl w:val="nil"/>
                  </w:tcBorders>
                  <w:vAlign w:val="center"/>
                </w:tcPr>
                <w:p w14:paraId="07E16122">
                  <w:pPr>
                    <w:jc w:val="center"/>
                    <w:rPr>
                      <w:rFonts w:hint="default" w:ascii="Times New Roman" w:hAnsi="Times New Roman" w:cs="Times New Roman"/>
                      <w:szCs w:val="21"/>
                      <w:highlight w:val="none"/>
                    </w:rPr>
                  </w:pPr>
                </w:p>
              </w:tc>
            </w:tr>
            <w:tr w14:paraId="6C1FE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000" w:type="pct"/>
                  <w:gridSpan w:val="5"/>
                  <w:tcBorders>
                    <w:tl2br w:val="nil"/>
                    <w:tr2bl w:val="nil"/>
                  </w:tcBorders>
                  <w:vAlign w:val="center"/>
                </w:tcPr>
                <w:p w14:paraId="0A3D48D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注：★—优先进入行业：●—准许进入行业：▲—控制进入行业：×—禁止进入行业</w:t>
                  </w:r>
                </w:p>
              </w:tc>
            </w:tr>
          </w:tbl>
          <w:p w14:paraId="1EEAD9E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4、项目与《淄博市生态环境局关于&lt;齐鲁化学工业区总体发展规划（2023-2035年）环境影响报告书&gt;的审查意见》（淄环审〔2024〕8号）的符合性分析见下表</w:t>
            </w:r>
          </w:p>
          <w:p w14:paraId="32B5672E">
            <w:pPr>
              <w:pStyle w:val="45"/>
              <w:ind w:left="0" w:leftChars="0" w:firstLine="0" w:firstLineChars="0"/>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表1-4  本项目与规划环评审查意见符合性分析</w:t>
            </w:r>
          </w:p>
          <w:tbl>
            <w:tblPr>
              <w:tblStyle w:val="4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56"/>
              <w:gridCol w:w="3566"/>
              <w:gridCol w:w="1054"/>
            </w:tblGrid>
            <w:tr w14:paraId="343C3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26" w:type="pct"/>
                  <w:tcBorders>
                    <w:tl2br w:val="nil"/>
                    <w:tr2bl w:val="nil"/>
                  </w:tcBorders>
                  <w:vAlign w:val="center"/>
                </w:tcPr>
                <w:p w14:paraId="74440C6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审查意见</w:t>
                  </w:r>
                </w:p>
              </w:tc>
              <w:tc>
                <w:tcPr>
                  <w:tcW w:w="1986" w:type="pct"/>
                  <w:tcBorders>
                    <w:tl2br w:val="nil"/>
                    <w:tr2bl w:val="nil"/>
                  </w:tcBorders>
                  <w:vAlign w:val="center"/>
                </w:tcPr>
                <w:p w14:paraId="719CAA3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项目情况</w:t>
                  </w:r>
                </w:p>
              </w:tc>
              <w:tc>
                <w:tcPr>
                  <w:tcW w:w="587" w:type="pct"/>
                  <w:tcBorders>
                    <w:tl2br w:val="nil"/>
                    <w:tr2bl w:val="nil"/>
                  </w:tcBorders>
                  <w:vAlign w:val="center"/>
                </w:tcPr>
                <w:p w14:paraId="223A5E3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符合性</w:t>
                  </w:r>
                </w:p>
              </w:tc>
            </w:tr>
            <w:tr w14:paraId="534EB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26" w:type="pct"/>
                  <w:tcBorders>
                    <w:tl2br w:val="nil"/>
                    <w:tr2bl w:val="nil"/>
                  </w:tcBorders>
                  <w:vAlign w:val="center"/>
                </w:tcPr>
                <w:p w14:paraId="04B3FD0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加强工业区空间管控，严格落实“三线一单”生态环境分区管控要求。按照《报告书》提出的环境准入要求筛选入区项目，落实国家、省关于化工园区、碳达峰碳中和、高耗水、“两高”行业和项目等相关政策要求，按照《关于促进炼油行业绿色创新高质量发展的指导意见》（发改能源[2023]1364号），切实推动工业区生态环境高水平保护和经济高质量发展</w:t>
                  </w:r>
                </w:p>
              </w:tc>
              <w:tc>
                <w:tcPr>
                  <w:tcW w:w="1986" w:type="pct"/>
                  <w:tcBorders>
                    <w:tl2br w:val="nil"/>
                    <w:tr2bl w:val="nil"/>
                  </w:tcBorders>
                  <w:vAlign w:val="center"/>
                </w:tcPr>
                <w:p w14:paraId="07FF080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项目符合“三线一单”生态环境分区管控要求。</w:t>
                  </w:r>
                </w:p>
              </w:tc>
              <w:tc>
                <w:tcPr>
                  <w:tcW w:w="587" w:type="pct"/>
                  <w:tcBorders>
                    <w:tl2br w:val="nil"/>
                    <w:tr2bl w:val="nil"/>
                  </w:tcBorders>
                  <w:vAlign w:val="center"/>
                </w:tcPr>
                <w:p w14:paraId="5DE3D280">
                  <w:pPr>
                    <w:jc w:val="center"/>
                    <w:rPr>
                      <w:rFonts w:hint="default" w:ascii="Times New Roman" w:hAnsi="Times New Roman" w:cs="Times New Roman"/>
                      <w:szCs w:val="21"/>
                      <w:highlight w:val="none"/>
                    </w:rPr>
                  </w:pPr>
                </w:p>
                <w:p w14:paraId="080F702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1211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26" w:type="pct"/>
                  <w:tcBorders>
                    <w:tl2br w:val="nil"/>
                    <w:tr2bl w:val="nil"/>
                  </w:tcBorders>
                  <w:vAlign w:val="center"/>
                </w:tcPr>
                <w:p w14:paraId="0D080EA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工业区主片区位于大武地下水富集区，规划实施过程中应落实地下水污染防治措施及水环境风险防控措施，减少对地下水的影响。主片区南侧紧邻生态保护红线区，规划实施过程中应加强对红线区的保护</w:t>
                  </w:r>
                </w:p>
              </w:tc>
              <w:tc>
                <w:tcPr>
                  <w:tcW w:w="1986" w:type="pct"/>
                  <w:tcBorders>
                    <w:tl2br w:val="nil"/>
                    <w:tr2bl w:val="nil"/>
                  </w:tcBorders>
                  <w:vAlign w:val="center"/>
                </w:tcPr>
                <w:p w14:paraId="0927800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项目实施过程中无生产废水外排；严格落实地下水污染防治措施及水环境风险防控措施。</w:t>
                  </w:r>
                </w:p>
              </w:tc>
              <w:tc>
                <w:tcPr>
                  <w:tcW w:w="587" w:type="pct"/>
                  <w:tcBorders>
                    <w:tl2br w:val="nil"/>
                    <w:tr2bl w:val="nil"/>
                  </w:tcBorders>
                  <w:vAlign w:val="center"/>
                </w:tcPr>
                <w:p w14:paraId="4B665D9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C910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26" w:type="pct"/>
                  <w:tcBorders>
                    <w:tl2br w:val="nil"/>
                    <w:tr2bl w:val="nil"/>
                  </w:tcBorders>
                  <w:vAlign w:val="center"/>
                </w:tcPr>
                <w:p w14:paraId="5DAE803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结合环境质量改善目标、污染防治方案、减排任务等，制定工业区污染物减排方案并认真落实。对涉及新增污染物排放的入区项目，依法依规落实污染物替代要求。强化涉VOCs排放企业管理，建立完善全过程控制体系</w:t>
                  </w:r>
                </w:p>
              </w:tc>
              <w:tc>
                <w:tcPr>
                  <w:tcW w:w="1986" w:type="pct"/>
                  <w:tcBorders>
                    <w:tl2br w:val="nil"/>
                    <w:tr2bl w:val="nil"/>
                  </w:tcBorders>
                  <w:vAlign w:val="center"/>
                </w:tcPr>
                <w:p w14:paraId="0A799EF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项目涉及VOCs排放，实行VOCs倍量替代制度。</w:t>
                  </w:r>
                </w:p>
              </w:tc>
              <w:tc>
                <w:tcPr>
                  <w:tcW w:w="587" w:type="pct"/>
                  <w:tcBorders>
                    <w:tl2br w:val="nil"/>
                    <w:tr2bl w:val="nil"/>
                  </w:tcBorders>
                  <w:vAlign w:val="center"/>
                </w:tcPr>
                <w:p w14:paraId="76D338AC">
                  <w:pPr>
                    <w:jc w:val="center"/>
                    <w:rPr>
                      <w:rFonts w:hint="default" w:ascii="Times New Roman" w:hAnsi="Times New Roman" w:cs="Times New Roman"/>
                      <w:szCs w:val="21"/>
                      <w:highlight w:val="none"/>
                    </w:rPr>
                  </w:pPr>
                </w:p>
                <w:p w14:paraId="2032165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1949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26" w:type="pct"/>
                  <w:tcBorders>
                    <w:tl2br w:val="nil"/>
                    <w:tr2bl w:val="nil"/>
                  </w:tcBorders>
                  <w:vAlign w:val="center"/>
                </w:tcPr>
                <w:p w14:paraId="229EAB3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落实固体废物环境管理制度，强化工业企业一般固体废物和危险废物的贮存、转移及处置等环节的管理</w:t>
                  </w:r>
                </w:p>
              </w:tc>
              <w:tc>
                <w:tcPr>
                  <w:tcW w:w="1986" w:type="pct"/>
                  <w:tcBorders>
                    <w:tl2br w:val="nil"/>
                    <w:tr2bl w:val="nil"/>
                  </w:tcBorders>
                  <w:vAlign w:val="center"/>
                </w:tcPr>
                <w:p w14:paraId="3C1A8E8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项目严格落实固体废物环境管理制度，强化一般固体废物和危险废物的贮存、转移、利用及处置等环节的管理。</w:t>
                  </w:r>
                </w:p>
              </w:tc>
              <w:tc>
                <w:tcPr>
                  <w:tcW w:w="587" w:type="pct"/>
                  <w:tcBorders>
                    <w:tl2br w:val="nil"/>
                    <w:tr2bl w:val="nil"/>
                  </w:tcBorders>
                  <w:vAlign w:val="center"/>
                </w:tcPr>
                <w:p w14:paraId="61DACA6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D8F5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426" w:type="pct"/>
                  <w:tcBorders>
                    <w:tl2br w:val="nil"/>
                    <w:tr2bl w:val="nil"/>
                  </w:tcBorders>
                  <w:vAlign w:val="center"/>
                </w:tcPr>
                <w:p w14:paraId="5D17B64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推动减污降碳协同增效，引导企业不断改进高耗能工艺，提升CCUS碳捕集利用率，持续降低碳排放强度。积极提升工业区循环化水平，推动公共设施共建共享、能源梯级利用、资源循环利用等，大力推进清洁生产和生态工业园区建设</w:t>
                  </w:r>
                </w:p>
              </w:tc>
              <w:tc>
                <w:tcPr>
                  <w:tcW w:w="1986" w:type="pct"/>
                  <w:tcBorders>
                    <w:tl2br w:val="nil"/>
                    <w:tr2bl w:val="nil"/>
                  </w:tcBorders>
                  <w:vAlign w:val="center"/>
                </w:tcPr>
                <w:p w14:paraId="71B9076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项目生产过程中不使用燃煤等燃料，使用能源均为电能。</w:t>
                  </w:r>
                </w:p>
              </w:tc>
              <w:tc>
                <w:tcPr>
                  <w:tcW w:w="587" w:type="pct"/>
                  <w:tcBorders>
                    <w:tl2br w:val="nil"/>
                    <w:tr2bl w:val="nil"/>
                  </w:tcBorders>
                  <w:vAlign w:val="center"/>
                </w:tcPr>
                <w:p w14:paraId="625CED8D">
                  <w:pPr>
                    <w:jc w:val="center"/>
                    <w:rPr>
                      <w:rFonts w:hint="default" w:ascii="Times New Roman" w:hAnsi="Times New Roman" w:cs="Times New Roman"/>
                      <w:szCs w:val="21"/>
                      <w:highlight w:val="none"/>
                    </w:rPr>
                  </w:pPr>
                </w:p>
                <w:p w14:paraId="221227D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bl>
          <w:p w14:paraId="6F635092">
            <w:pPr>
              <w:widowControl/>
              <w:spacing w:line="360" w:lineRule="auto"/>
              <w:ind w:firstLine="480" w:firstLineChars="200"/>
              <w:jc w:val="left"/>
              <w:rPr>
                <w:rFonts w:hint="default" w:ascii="Times New Roman" w:hAnsi="Times New Roman" w:cs="Times New Roman"/>
                <w:kern w:val="0"/>
                <w:sz w:val="24"/>
                <w:highlight w:val="none"/>
                <w:lang w:bidi="ar"/>
              </w:rPr>
            </w:pPr>
          </w:p>
        </w:tc>
      </w:tr>
      <w:tr w14:paraId="5D8692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78" w:type="pct"/>
            <w:vAlign w:val="center"/>
          </w:tcPr>
          <w:p w14:paraId="1707392E">
            <w:pPr>
              <w:autoSpaceDE w:val="0"/>
              <w:autoSpaceDN w:val="0"/>
              <w:spacing w:line="360" w:lineRule="exact"/>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其他符合性分析</w:t>
            </w:r>
          </w:p>
        </w:tc>
        <w:tc>
          <w:tcPr>
            <w:tcW w:w="4721" w:type="pct"/>
            <w:gridSpan w:val="4"/>
            <w:shd w:val="clear" w:color="auto" w:fill="auto"/>
            <w:vAlign w:val="center"/>
          </w:tcPr>
          <w:p w14:paraId="0B29471F">
            <w:pPr>
              <w:autoSpaceDE w:val="0"/>
              <w:autoSpaceDN w:val="0"/>
              <w:adjustRightInd w:val="0"/>
              <w:snapToGrid w:val="0"/>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1、产业政策的符合性分析</w:t>
            </w:r>
          </w:p>
          <w:p w14:paraId="499A2696">
            <w:pPr>
              <w:autoSpaceDE w:val="0"/>
              <w:autoSpaceDN w:val="0"/>
              <w:adjustRightInd w:val="0"/>
              <w:snapToGrid w:val="0"/>
              <w:spacing w:line="360" w:lineRule="auto"/>
              <w:ind w:firstLine="480" w:firstLineChars="200"/>
              <w:jc w:val="left"/>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该项目不属于国家发展和改革委员会发布的《产业结构调整指导目录（2024年本）》鼓励类、限制类、淘汰类产业，属于允许类产业，符合国家的产业政策。</w:t>
            </w:r>
          </w:p>
          <w:p w14:paraId="39C7166B">
            <w:pPr>
              <w:wordWrap w:val="0"/>
              <w:autoSpaceDE w:val="0"/>
              <w:autoSpaceDN w:val="0"/>
              <w:adjustRightInd w:val="0"/>
              <w:snapToGrid w:val="0"/>
              <w:spacing w:line="360" w:lineRule="auto"/>
              <w:ind w:firstLine="480" w:firstLineChars="200"/>
              <w:jc w:val="left"/>
              <w:rPr>
                <w:rFonts w:hint="default" w:ascii="Times New Roman" w:hAnsi="Times New Roman" w:cs="Times New Roman"/>
                <w:kern w:val="0"/>
                <w:sz w:val="24"/>
                <w:highlight w:val="none"/>
              </w:rPr>
            </w:pPr>
            <w:r>
              <w:rPr>
                <w:rFonts w:hint="default" w:ascii="Times New Roman" w:hAnsi="Times New Roman" w:cs="Times New Roman"/>
                <w:sz w:val="24"/>
                <w:highlight w:val="none"/>
              </w:rPr>
              <w:t>项目已取得山东省建设项目备案，项目代码为</w:t>
            </w:r>
            <w:r>
              <w:rPr>
                <w:rFonts w:hint="default" w:ascii="Times New Roman" w:hAnsi="Times New Roman" w:cs="Times New Roman"/>
                <w:kern w:val="0"/>
                <w:sz w:val="24"/>
                <w:highlight w:val="none"/>
              </w:rPr>
              <w:t>（</w:t>
            </w:r>
            <w:r>
              <w:rPr>
                <w:rFonts w:hint="default" w:ascii="Times New Roman" w:hAnsi="Times New Roman" w:cs="Times New Roman"/>
                <w:sz w:val="24"/>
                <w:highlight w:val="none"/>
              </w:rPr>
              <w:t>2601-370305-89-01-125276</w:t>
            </w:r>
            <w:r>
              <w:rPr>
                <w:rFonts w:hint="default" w:ascii="Times New Roman" w:hAnsi="Times New Roman" w:cs="Times New Roman"/>
                <w:kern w:val="0"/>
                <w:sz w:val="24"/>
                <w:highlight w:val="none"/>
              </w:rPr>
              <w:t>）。</w:t>
            </w:r>
          </w:p>
          <w:p w14:paraId="25B3DD1E">
            <w:pPr>
              <w:autoSpaceDE w:val="0"/>
              <w:autoSpaceDN w:val="0"/>
              <w:adjustRightInd w:val="0"/>
              <w:snapToGrid w:val="0"/>
              <w:spacing w:line="360" w:lineRule="auto"/>
              <w:ind w:firstLine="480" w:firstLineChars="200"/>
              <w:jc w:val="left"/>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2、项目选址合理性分析</w:t>
            </w:r>
          </w:p>
          <w:p w14:paraId="00367E00">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（1）本项目选址位于临淄区齐鲁化学工业园山东瑞海金山化学有限公司现有厂区内，土地证号：淄国用（2013）第E02425号，用地性质属于工业用地，符合齐鲁化学工业区土地利用规划要求。</w:t>
            </w:r>
          </w:p>
          <w:p w14:paraId="458C7F05">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（2）依据《淄博市国土空间总体规划（2021-2035年）》，本项目占地位于规划的工业发展区内，</w:t>
            </w:r>
            <w:r>
              <w:rPr>
                <w:rFonts w:hint="default" w:ascii="Times New Roman" w:hAnsi="Times New Roman" w:cs="Times New Roman"/>
                <w:kern w:val="0"/>
                <w:sz w:val="24"/>
                <w:highlight w:val="none"/>
              </w:rPr>
              <w:t>项目选址符合</w:t>
            </w:r>
            <w:r>
              <w:rPr>
                <w:rFonts w:hint="default" w:ascii="Times New Roman" w:hAnsi="Times New Roman" w:cs="Times New Roman"/>
                <w:sz w:val="24"/>
                <w:highlight w:val="none"/>
              </w:rPr>
              <w:t>《淄博市国土空间总体规划（2021-2035年）》要求，项目与《淄博市国土空间总体规划（2021-2035年）》位置关系见附图。</w:t>
            </w:r>
          </w:p>
          <w:p w14:paraId="39F1C56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3）根据《关于印发淄博市饮用水水源保护区划分方案的通知》（淄环发[2019]46号）及《山东省人民政府关于调整淄博市部分饮用水水源保护区范围的批复》（鲁政[2020]82号）中规定，临淄区内的饮用水水源保护区有：永流水源地、齐陵水源地、刘征水源地。根据《山东省人民政府关于撤销淄博市永流饮用水水源保护区的批复》（鲁政字〔2024〕181号），同意撤销永流饮用水水源保护区一级保护区面积0.0192974平方千米、准保护区面积31.7157平方千米。故目前临淄区内的饮用水水源保护区有：齐陵水源地、刘征水源地。</w:t>
            </w:r>
          </w:p>
          <w:p w14:paraId="0B2FA9F6">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本项目与最近的刘征水源地准保护区的最近距离约为5.2km。</w:t>
            </w:r>
          </w:p>
          <w:p w14:paraId="3E980128">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（4）与大武地下水富集区关系分析</w:t>
            </w:r>
          </w:p>
          <w:p w14:paraId="68713D9C">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淄博市人民政府发布的《关于切实做好大武地下水保护管理工作的通知》（淄政字〔2024〕21号），大武地下水范围为临淄大道以南、淄河以西、张边路以北、冯北路及南延至徐旺村以东的区域，补给区为张边路以南，淄河以西，太河水库大坝以北，淄河流域与孝妇河流域分水岭以东的区域。本项目位于临淄区金山片区冯北路南首西侧，不属于大武地下水范围。</w:t>
            </w:r>
          </w:p>
          <w:p w14:paraId="5B5580F5">
            <w:pPr>
              <w:autoSpaceDE w:val="0"/>
              <w:autoSpaceDN w:val="0"/>
              <w:adjustRightInd w:val="0"/>
              <w:snapToGrid w:val="0"/>
              <w:spacing w:line="360" w:lineRule="auto"/>
              <w:ind w:firstLine="480" w:firstLineChars="200"/>
              <w:jc w:val="left"/>
              <w:rPr>
                <w:rFonts w:hint="default" w:ascii="Times New Roman" w:hAnsi="Times New Roman" w:cs="Times New Roman"/>
                <w:sz w:val="24"/>
                <w:highlight w:val="none"/>
              </w:rPr>
            </w:pPr>
            <w:r>
              <w:rPr>
                <w:rFonts w:hint="default" w:ascii="Times New Roman" w:hAnsi="Times New Roman" w:cs="Times New Roman"/>
                <w:sz w:val="24"/>
                <w:highlight w:val="none"/>
              </w:rPr>
              <w:t>3、与生态环境准入清单符合性</w:t>
            </w:r>
          </w:p>
          <w:p w14:paraId="7A41176F">
            <w:pPr>
              <w:autoSpaceDE w:val="0"/>
              <w:autoSpaceDN w:val="0"/>
              <w:adjustRightInd w:val="0"/>
              <w:snapToGrid w:val="0"/>
              <w:spacing w:line="360" w:lineRule="auto"/>
              <w:ind w:firstLine="480" w:firstLineChars="200"/>
              <w:jc w:val="left"/>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根据淄博市生态环境委员会办公室关于印发《淄博市2023年生态环境分区管控成果动态更新项目生态环境准入清单》的通知，本项目位于齐鲁化学工业园区，属于重点管控单元。项目采用先进工艺，建立完善健全的污染物治理措施，确保污染物达标排放，并且建立风险防控措施，满足文中关于空间布局约束、污染物排放管控、环境风险管控、资源开放效率要求所列准入清单要求。</w:t>
            </w:r>
          </w:p>
          <w:p w14:paraId="2E2CF4C3">
            <w:pPr>
              <w:pStyle w:val="255"/>
              <w:tabs>
                <w:tab w:val="left" w:pos="8640"/>
              </w:tabs>
              <w:rPr>
                <w:rFonts w:hint="default" w:ascii="Times New Roman" w:hAnsi="Times New Roman" w:cs="Times New Roman"/>
                <w:b/>
                <w:sz w:val="24"/>
                <w:szCs w:val="24"/>
                <w:highlight w:val="none"/>
              </w:rPr>
            </w:pPr>
            <w:r>
              <w:rPr>
                <w:rFonts w:hint="default" w:ascii="Times New Roman" w:hAnsi="Times New Roman" w:cs="Times New Roman"/>
                <w:b/>
                <w:sz w:val="24"/>
                <w:szCs w:val="24"/>
                <w:highlight w:val="none"/>
              </w:rPr>
              <w:t>表1-5 《淄博市“三线一单”生态环境准入清单（动态更新版）》符合性分析一览表</w:t>
            </w:r>
          </w:p>
          <w:tbl>
            <w:tblPr>
              <w:tblStyle w:val="46"/>
              <w:tblW w:w="5000"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4734"/>
              <w:gridCol w:w="2845"/>
              <w:gridCol w:w="735"/>
            </w:tblGrid>
            <w:tr w14:paraId="3678E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14:paraId="0DB6A500">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环境管控单元编码：ZH37030520007</w:t>
                  </w:r>
                </w:p>
                <w:p w14:paraId="32E4A168">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环境管控单元名称：齐鲁化学工业园区</w:t>
                  </w:r>
                </w:p>
                <w:p w14:paraId="0810D34C">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行政区划：山东省淄博市临淄区</w:t>
                  </w:r>
                </w:p>
                <w:p w14:paraId="0886CD26">
                  <w:pPr>
                    <w:pStyle w:val="255"/>
                    <w:tabs>
                      <w:tab w:val="left" w:pos="8640"/>
                    </w:tabs>
                    <w:ind w:firstLine="0"/>
                    <w:rPr>
                      <w:rFonts w:hint="default" w:ascii="Times New Roman" w:hAnsi="Times New Roman" w:cs="Times New Roman"/>
                      <w:highlight w:val="none"/>
                    </w:rPr>
                  </w:pPr>
                  <w:r>
                    <w:rPr>
                      <w:rFonts w:hint="default" w:ascii="Times New Roman" w:hAnsi="Times New Roman" w:cs="Times New Roman"/>
                      <w:highlight w:val="none"/>
                    </w:rPr>
                    <w:t>管控单元分类：重点管控单元</w:t>
                  </w:r>
                </w:p>
              </w:tc>
            </w:tr>
            <w:tr w14:paraId="68265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57A92E2B">
                  <w:pPr>
                    <w:pStyle w:val="255"/>
                    <w:tabs>
                      <w:tab w:val="left" w:pos="8640"/>
                    </w:tabs>
                    <w:ind w:firstLine="0"/>
                    <w:rPr>
                      <w:rFonts w:hint="default" w:ascii="Times New Roman" w:hAnsi="Times New Roman" w:cs="Times New Roman"/>
                      <w:highlight w:val="none"/>
                    </w:rPr>
                  </w:pPr>
                  <w:r>
                    <w:rPr>
                      <w:rFonts w:hint="default" w:ascii="Times New Roman" w:hAnsi="Times New Roman" w:cs="Times New Roman"/>
                      <w:highlight w:val="none"/>
                    </w:rPr>
                    <w:t>序号</w:t>
                  </w:r>
                </w:p>
              </w:tc>
              <w:tc>
                <w:tcPr>
                  <w:tcW w:w="2636" w:type="pct"/>
                  <w:tcBorders>
                    <w:tl2br w:val="nil"/>
                    <w:tr2bl w:val="nil"/>
                  </w:tcBorders>
                  <w:vAlign w:val="center"/>
                </w:tcPr>
                <w:p w14:paraId="105D1ACA">
                  <w:pPr>
                    <w:pStyle w:val="255"/>
                    <w:tabs>
                      <w:tab w:val="left" w:pos="8640"/>
                    </w:tabs>
                    <w:ind w:firstLine="0"/>
                    <w:rPr>
                      <w:rFonts w:hint="default" w:ascii="Times New Roman" w:hAnsi="Times New Roman" w:cs="Times New Roman"/>
                      <w:highlight w:val="none"/>
                    </w:rPr>
                  </w:pPr>
                  <w:r>
                    <w:rPr>
                      <w:rFonts w:hint="default" w:ascii="Times New Roman" w:hAnsi="Times New Roman" w:cs="Times New Roman"/>
                      <w:highlight w:val="none"/>
                    </w:rPr>
                    <w:t>文件相关要求</w:t>
                  </w:r>
                </w:p>
              </w:tc>
              <w:tc>
                <w:tcPr>
                  <w:tcW w:w="1584" w:type="pct"/>
                  <w:tcBorders>
                    <w:tl2br w:val="nil"/>
                    <w:tr2bl w:val="nil"/>
                  </w:tcBorders>
                  <w:vAlign w:val="center"/>
                </w:tcPr>
                <w:p w14:paraId="5ED971D3">
                  <w:pPr>
                    <w:pStyle w:val="255"/>
                    <w:tabs>
                      <w:tab w:val="left" w:pos="8640"/>
                    </w:tabs>
                    <w:ind w:firstLine="0"/>
                    <w:rPr>
                      <w:rFonts w:hint="default" w:ascii="Times New Roman" w:hAnsi="Times New Roman" w:cs="Times New Roman"/>
                      <w:highlight w:val="none"/>
                    </w:rPr>
                  </w:pPr>
                  <w:r>
                    <w:rPr>
                      <w:rFonts w:hint="default" w:ascii="Times New Roman" w:hAnsi="Times New Roman" w:cs="Times New Roman"/>
                      <w:highlight w:val="none"/>
                    </w:rPr>
                    <w:t>本项目情况</w:t>
                  </w:r>
                </w:p>
              </w:tc>
              <w:tc>
                <w:tcPr>
                  <w:tcW w:w="408" w:type="pct"/>
                  <w:tcBorders>
                    <w:tl2br w:val="nil"/>
                    <w:tr2bl w:val="nil"/>
                  </w:tcBorders>
                  <w:vAlign w:val="center"/>
                </w:tcPr>
                <w:p w14:paraId="56F09F91">
                  <w:pPr>
                    <w:pStyle w:val="255"/>
                    <w:tabs>
                      <w:tab w:val="left" w:pos="8640"/>
                    </w:tabs>
                    <w:ind w:firstLine="0"/>
                    <w:rPr>
                      <w:rFonts w:hint="default" w:ascii="Times New Roman" w:hAnsi="Times New Roman" w:cs="Times New Roman"/>
                      <w:highlight w:val="none"/>
                    </w:rPr>
                  </w:pPr>
                  <w:r>
                    <w:rPr>
                      <w:rFonts w:hint="default" w:ascii="Times New Roman" w:hAnsi="Times New Roman" w:cs="Times New Roman"/>
                      <w:highlight w:val="none"/>
                    </w:rPr>
                    <w:t>符合性</w:t>
                  </w:r>
                </w:p>
              </w:tc>
            </w:tr>
            <w:tr w14:paraId="5BC14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14:paraId="21F554C2">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一、空间布局约束</w:t>
                  </w:r>
                </w:p>
              </w:tc>
            </w:tr>
            <w:tr w14:paraId="55076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21CBC0FA">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1.1</w:t>
                  </w:r>
                </w:p>
              </w:tc>
              <w:tc>
                <w:tcPr>
                  <w:tcW w:w="2636" w:type="pct"/>
                  <w:tcBorders>
                    <w:tl2br w:val="nil"/>
                    <w:tr2bl w:val="nil"/>
                  </w:tcBorders>
                  <w:vAlign w:val="center"/>
                </w:tcPr>
                <w:p w14:paraId="20B70619">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禁止新建、扩建《产业结构调整指导目录》（现行）明确的淘汰类项目和引入《市场准入负面清单》（现行）禁止准入类事项；鼓励对列入《产业结构调整指导目录》的限制类、淘汰类工业项目进行淘汰和提升改造。</w:t>
                  </w:r>
                </w:p>
              </w:tc>
              <w:tc>
                <w:tcPr>
                  <w:tcW w:w="1584" w:type="pct"/>
                  <w:tcBorders>
                    <w:tl2br w:val="nil"/>
                    <w:tr2bl w:val="nil"/>
                  </w:tcBorders>
                  <w:vAlign w:val="center"/>
                </w:tcPr>
                <w:p w14:paraId="2871A74E">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项目不属于《产业结构调整指导目录》（2024年本）中淘汰类项目、不属于《市场准入负面清单》（2020年版）中禁止准入类项目</w:t>
                  </w:r>
                </w:p>
              </w:tc>
              <w:tc>
                <w:tcPr>
                  <w:tcW w:w="408" w:type="pct"/>
                  <w:tcBorders>
                    <w:tl2br w:val="nil"/>
                    <w:tr2bl w:val="nil"/>
                  </w:tcBorders>
                  <w:vAlign w:val="center"/>
                </w:tcPr>
                <w:p w14:paraId="2B2C13FC">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4DD14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188648A5">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1.2</w:t>
                  </w:r>
                </w:p>
              </w:tc>
              <w:tc>
                <w:tcPr>
                  <w:tcW w:w="2636" w:type="pct"/>
                  <w:tcBorders>
                    <w:tl2br w:val="nil"/>
                    <w:tr2bl w:val="nil"/>
                  </w:tcBorders>
                  <w:vAlign w:val="center"/>
                </w:tcPr>
                <w:p w14:paraId="729DA3A7">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强化规划、规划环评引领指导作用，科学规划建设工业园区，优化工业布局，引导符合园区产业定位的工业企业入驻，实现集中供热、供水、供气，实施水资源分类循环利用和水污染集中治理；原则上禁止准入园区规划及规划环评中不允许进入的生产工艺或工业项目</w:t>
                  </w:r>
                </w:p>
              </w:tc>
              <w:tc>
                <w:tcPr>
                  <w:tcW w:w="1584" w:type="pct"/>
                  <w:tcBorders>
                    <w:tl2br w:val="nil"/>
                    <w:tr2bl w:val="nil"/>
                  </w:tcBorders>
                  <w:vAlign w:val="center"/>
                </w:tcPr>
                <w:p w14:paraId="249C22F9">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项目符合园区产业定位，不属于禁止准入园区规划及规划环评中不允许进入的生产工艺或工业项目</w:t>
                  </w:r>
                </w:p>
              </w:tc>
              <w:tc>
                <w:tcPr>
                  <w:tcW w:w="408" w:type="pct"/>
                  <w:tcBorders>
                    <w:tl2br w:val="nil"/>
                    <w:tr2bl w:val="nil"/>
                  </w:tcBorders>
                  <w:vAlign w:val="center"/>
                </w:tcPr>
                <w:p w14:paraId="14F6741D">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755D9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70593029">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1.3</w:t>
                  </w:r>
                </w:p>
              </w:tc>
              <w:tc>
                <w:tcPr>
                  <w:tcW w:w="2636" w:type="pct"/>
                  <w:tcBorders>
                    <w:tl2br w:val="nil"/>
                    <w:tr2bl w:val="nil"/>
                  </w:tcBorders>
                  <w:vAlign w:val="center"/>
                </w:tcPr>
                <w:p w14:paraId="2899854A">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大气、安全防护距离内禁止建设商业住宅、医院、学校、养老机构等敏感机构</w:t>
                  </w:r>
                </w:p>
              </w:tc>
              <w:tc>
                <w:tcPr>
                  <w:tcW w:w="1584" w:type="pct"/>
                  <w:tcBorders>
                    <w:tl2br w:val="nil"/>
                    <w:tr2bl w:val="nil"/>
                  </w:tcBorders>
                  <w:vAlign w:val="center"/>
                </w:tcPr>
                <w:p w14:paraId="249B2D0B">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w:t>
                  </w:r>
                </w:p>
              </w:tc>
              <w:tc>
                <w:tcPr>
                  <w:tcW w:w="408" w:type="pct"/>
                  <w:tcBorders>
                    <w:tl2br w:val="nil"/>
                    <w:tr2bl w:val="nil"/>
                  </w:tcBorders>
                  <w:vAlign w:val="center"/>
                </w:tcPr>
                <w:p w14:paraId="701BCB92">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5E7B6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21C29454">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1.4</w:t>
                  </w:r>
                </w:p>
              </w:tc>
              <w:tc>
                <w:tcPr>
                  <w:tcW w:w="2636" w:type="pct"/>
                  <w:tcBorders>
                    <w:tl2br w:val="nil"/>
                    <w:tr2bl w:val="nil"/>
                  </w:tcBorders>
                  <w:vAlign w:val="center"/>
                </w:tcPr>
                <w:p w14:paraId="40C113D6">
                  <w:pPr>
                    <w:widowControl/>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按《山东省水利厅关于公布我省地下水限采区和禁采区的通知》要求，执行超采区管控要求</w:t>
                  </w:r>
                </w:p>
              </w:tc>
              <w:tc>
                <w:tcPr>
                  <w:tcW w:w="1584" w:type="pct"/>
                  <w:tcBorders>
                    <w:tl2br w:val="nil"/>
                    <w:tr2bl w:val="nil"/>
                  </w:tcBorders>
                  <w:vAlign w:val="center"/>
                </w:tcPr>
                <w:p w14:paraId="4A22D0DC">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w:t>
                  </w:r>
                </w:p>
              </w:tc>
              <w:tc>
                <w:tcPr>
                  <w:tcW w:w="408" w:type="pct"/>
                  <w:tcBorders>
                    <w:tl2br w:val="nil"/>
                    <w:tr2bl w:val="nil"/>
                  </w:tcBorders>
                  <w:vAlign w:val="center"/>
                </w:tcPr>
                <w:p w14:paraId="34B352C7">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16DEE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3E538BD9">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1.5</w:t>
                  </w:r>
                </w:p>
              </w:tc>
              <w:tc>
                <w:tcPr>
                  <w:tcW w:w="2636" w:type="pct"/>
                  <w:tcBorders>
                    <w:tl2br w:val="nil"/>
                    <w:tr2bl w:val="nil"/>
                  </w:tcBorders>
                  <w:vAlign w:val="center"/>
                </w:tcPr>
                <w:p w14:paraId="2628D3DB">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生态保护红线内严禁开展不符合主体功能定位的各类开发活动。对生态保护红线的管理，严格按照《关于在国土空间规划中统筹划定落实三条控制线的指导意见》（2019年11月）、《关于划定并严守生态保护红线的若干意见》《自然生态空间用途管制办法（试行）》（国土资发〔2017〕33号）等相关要求管控</w:t>
                  </w:r>
                </w:p>
              </w:tc>
              <w:tc>
                <w:tcPr>
                  <w:tcW w:w="1584" w:type="pct"/>
                  <w:tcBorders>
                    <w:tl2br w:val="nil"/>
                    <w:tr2bl w:val="nil"/>
                  </w:tcBorders>
                  <w:vAlign w:val="center"/>
                </w:tcPr>
                <w:p w14:paraId="0754521A">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项目不位于生态保护红线内</w:t>
                  </w:r>
                </w:p>
              </w:tc>
              <w:tc>
                <w:tcPr>
                  <w:tcW w:w="408" w:type="pct"/>
                  <w:tcBorders>
                    <w:tl2br w:val="nil"/>
                    <w:tr2bl w:val="nil"/>
                  </w:tcBorders>
                  <w:vAlign w:val="center"/>
                </w:tcPr>
                <w:p w14:paraId="48DE653E">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81A9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001346C9">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1.6</w:t>
                  </w:r>
                </w:p>
              </w:tc>
              <w:tc>
                <w:tcPr>
                  <w:tcW w:w="2636" w:type="pct"/>
                  <w:tcBorders>
                    <w:tl2br w:val="nil"/>
                    <w:tr2bl w:val="nil"/>
                  </w:tcBorders>
                  <w:vAlign w:val="center"/>
                </w:tcPr>
                <w:p w14:paraId="7E8F407E">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新改扩建项目符合市政府关于大武地下水富集区系列管控措施要求</w:t>
                  </w:r>
                </w:p>
              </w:tc>
              <w:tc>
                <w:tcPr>
                  <w:tcW w:w="1584" w:type="pct"/>
                  <w:tcBorders>
                    <w:tl2br w:val="nil"/>
                    <w:tr2bl w:val="nil"/>
                  </w:tcBorders>
                  <w:vAlign w:val="center"/>
                </w:tcPr>
                <w:p w14:paraId="58AA19CF">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项目符合大武地下水系列管控措施要求</w:t>
                  </w:r>
                </w:p>
              </w:tc>
              <w:tc>
                <w:tcPr>
                  <w:tcW w:w="408" w:type="pct"/>
                  <w:tcBorders>
                    <w:tl2br w:val="nil"/>
                    <w:tr2bl w:val="nil"/>
                  </w:tcBorders>
                  <w:vAlign w:val="center"/>
                </w:tcPr>
                <w:p w14:paraId="10AD0161">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89E9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10372B44">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1.7</w:t>
                  </w:r>
                </w:p>
              </w:tc>
              <w:tc>
                <w:tcPr>
                  <w:tcW w:w="2636" w:type="pct"/>
                  <w:tcBorders>
                    <w:tl2br w:val="nil"/>
                    <w:tr2bl w:val="nil"/>
                  </w:tcBorders>
                  <w:vAlign w:val="center"/>
                </w:tcPr>
                <w:p w14:paraId="2F8393E4">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原则上不再批准新（扩）建综合性危险废物集中处置项目（集团内部自建配套的危险废物处理设施除外），不再批准新（扩）建危险废物填埋项目：原则上不再批准新（扩）建废矿物油、废活性炭、废催化剂、有机溶剂、焦油类危险废物利用项目。新建危险废物综合利用项目，应立足于淄博市危险废物利用处置缺口，不再批准新（扩）建以外省、市危险废物为主要原料的利用项目</w:t>
                  </w:r>
                </w:p>
              </w:tc>
              <w:tc>
                <w:tcPr>
                  <w:tcW w:w="1584" w:type="pct"/>
                  <w:tcBorders>
                    <w:tl2br w:val="nil"/>
                    <w:tr2bl w:val="nil"/>
                  </w:tcBorders>
                  <w:vAlign w:val="center"/>
                </w:tcPr>
                <w:p w14:paraId="65CD508B">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w:t>
                  </w:r>
                </w:p>
              </w:tc>
              <w:tc>
                <w:tcPr>
                  <w:tcW w:w="408" w:type="pct"/>
                  <w:tcBorders>
                    <w:tl2br w:val="nil"/>
                    <w:tr2bl w:val="nil"/>
                  </w:tcBorders>
                  <w:vAlign w:val="center"/>
                </w:tcPr>
                <w:p w14:paraId="1097BF9D">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2C594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67558489">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1.8</w:t>
                  </w:r>
                </w:p>
              </w:tc>
              <w:tc>
                <w:tcPr>
                  <w:tcW w:w="2636" w:type="pct"/>
                  <w:tcBorders>
                    <w:tl2br w:val="nil"/>
                    <w:tr2bl w:val="nil"/>
                  </w:tcBorders>
                  <w:vAlign w:val="center"/>
                </w:tcPr>
                <w:p w14:paraId="56CA76BA">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按照省市要求，严格控制“两高”项目，新建“两高”项目实行“五个减量替代”</w:t>
                  </w:r>
                </w:p>
              </w:tc>
              <w:tc>
                <w:tcPr>
                  <w:tcW w:w="1584" w:type="pct"/>
                  <w:tcBorders>
                    <w:tl2br w:val="nil"/>
                    <w:tr2bl w:val="nil"/>
                  </w:tcBorders>
                  <w:vAlign w:val="center"/>
                </w:tcPr>
                <w:p w14:paraId="30399A2F">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项目不属于“两高”项目</w:t>
                  </w:r>
                </w:p>
              </w:tc>
              <w:tc>
                <w:tcPr>
                  <w:tcW w:w="408" w:type="pct"/>
                  <w:tcBorders>
                    <w:tl2br w:val="nil"/>
                    <w:tr2bl w:val="nil"/>
                  </w:tcBorders>
                  <w:vAlign w:val="center"/>
                </w:tcPr>
                <w:p w14:paraId="2CDCC408">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7326F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7729D026">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1.9</w:t>
                  </w:r>
                </w:p>
              </w:tc>
              <w:tc>
                <w:tcPr>
                  <w:tcW w:w="2636" w:type="pct"/>
                  <w:tcBorders>
                    <w:tl2br w:val="nil"/>
                    <w:tr2bl w:val="nil"/>
                  </w:tcBorders>
                  <w:vAlign w:val="center"/>
                </w:tcPr>
                <w:p w14:paraId="1A234B13">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严格控制燃煤项目，所有改建耗煤项目（包括以原煤或售炭等煤制品为原料或燃料，进行生产加工或燃烧的建设项目）、新增燃煤项目一律实施倍量煤炭减量执行替代，并且排污强度、能效和碳排放水平达到国内先进水平</w:t>
                  </w:r>
                </w:p>
              </w:tc>
              <w:tc>
                <w:tcPr>
                  <w:tcW w:w="1584" w:type="pct"/>
                  <w:tcBorders>
                    <w:tl2br w:val="nil"/>
                    <w:tr2bl w:val="nil"/>
                  </w:tcBorders>
                  <w:vAlign w:val="center"/>
                </w:tcPr>
                <w:p w14:paraId="5703E8C0">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项目不涉及燃煤</w:t>
                  </w:r>
                </w:p>
              </w:tc>
              <w:tc>
                <w:tcPr>
                  <w:tcW w:w="408" w:type="pct"/>
                  <w:tcBorders>
                    <w:tl2br w:val="nil"/>
                    <w:tr2bl w:val="nil"/>
                  </w:tcBorders>
                  <w:vAlign w:val="center"/>
                </w:tcPr>
                <w:p w14:paraId="4C04E737">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0C2B2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14:paraId="39F1CBFB">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二、污染物排放管控</w:t>
                  </w:r>
                </w:p>
              </w:tc>
            </w:tr>
            <w:tr w14:paraId="217CB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6EBEED21">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2.1</w:t>
                  </w:r>
                </w:p>
              </w:tc>
              <w:tc>
                <w:tcPr>
                  <w:tcW w:w="2636" w:type="pct"/>
                  <w:tcBorders>
                    <w:tl2br w:val="nil"/>
                    <w:tr2bl w:val="nil"/>
                  </w:tcBorders>
                  <w:vAlign w:val="center"/>
                </w:tcPr>
                <w:p w14:paraId="2D9BF144">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涉“两高”项目企业应当积极实施节能改造提升，提高能源使用效率，推进节能减排</w:t>
                  </w:r>
                </w:p>
              </w:tc>
              <w:tc>
                <w:tcPr>
                  <w:tcW w:w="1584" w:type="pct"/>
                  <w:tcBorders>
                    <w:tl2br w:val="nil"/>
                    <w:tr2bl w:val="nil"/>
                  </w:tcBorders>
                  <w:vAlign w:val="center"/>
                </w:tcPr>
                <w:p w14:paraId="5283954B">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项目不属于“两高”项目</w:t>
                  </w:r>
                </w:p>
              </w:tc>
              <w:tc>
                <w:tcPr>
                  <w:tcW w:w="408" w:type="pct"/>
                  <w:tcBorders>
                    <w:tl2br w:val="nil"/>
                    <w:tr2bl w:val="nil"/>
                  </w:tcBorders>
                  <w:vAlign w:val="center"/>
                </w:tcPr>
                <w:p w14:paraId="1D03450D">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77293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49C3633B">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2.2</w:t>
                  </w:r>
                </w:p>
              </w:tc>
              <w:tc>
                <w:tcPr>
                  <w:tcW w:w="2636" w:type="pct"/>
                  <w:tcBorders>
                    <w:tl2br w:val="nil"/>
                    <w:tr2bl w:val="nil"/>
                  </w:tcBorders>
                  <w:vAlign w:val="center"/>
                </w:tcPr>
                <w:p w14:paraId="67C2B71B">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化工区内企业能源优先采用天然气、电等清洁能源</w:t>
                  </w:r>
                </w:p>
              </w:tc>
              <w:tc>
                <w:tcPr>
                  <w:tcW w:w="1584" w:type="pct"/>
                  <w:tcBorders>
                    <w:tl2br w:val="nil"/>
                    <w:tr2bl w:val="nil"/>
                  </w:tcBorders>
                  <w:vAlign w:val="center"/>
                </w:tcPr>
                <w:p w14:paraId="33F77D7F">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项目仅涉及用电</w:t>
                  </w:r>
                </w:p>
              </w:tc>
              <w:tc>
                <w:tcPr>
                  <w:tcW w:w="408" w:type="pct"/>
                  <w:tcBorders>
                    <w:tl2br w:val="nil"/>
                    <w:tr2bl w:val="nil"/>
                  </w:tcBorders>
                  <w:vAlign w:val="center"/>
                </w:tcPr>
                <w:p w14:paraId="38964030">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42EDB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041A6CE9">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2.3</w:t>
                  </w:r>
                </w:p>
              </w:tc>
              <w:tc>
                <w:tcPr>
                  <w:tcW w:w="2636" w:type="pct"/>
                  <w:tcBorders>
                    <w:tl2br w:val="nil"/>
                    <w:tr2bl w:val="nil"/>
                  </w:tcBorders>
                  <w:vAlign w:val="center"/>
                </w:tcPr>
                <w:p w14:paraId="04D0E55D">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落实主要污染物总量替代要求，按照山东省生态环境厅《关于印发山东省建设项目主要大气污染物排放总量替代指标核算及管理办法的通知》，实施动态管控替代</w:t>
                  </w:r>
                </w:p>
              </w:tc>
              <w:tc>
                <w:tcPr>
                  <w:tcW w:w="1584" w:type="pct"/>
                  <w:tcBorders>
                    <w:tl2br w:val="nil"/>
                    <w:tr2bl w:val="nil"/>
                  </w:tcBorders>
                  <w:vAlign w:val="center"/>
                </w:tcPr>
                <w:p w14:paraId="5CFBD589">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项目</w:t>
                  </w:r>
                  <w:r>
                    <w:rPr>
                      <w:rFonts w:hint="default" w:ascii="Times New Roman" w:hAnsi="Times New Roman" w:cs="Times New Roman"/>
                      <w:szCs w:val="21"/>
                      <w:highlight w:val="none"/>
                    </w:rPr>
                    <w:t>落实主要污染物总量替代要求</w:t>
                  </w:r>
                </w:p>
              </w:tc>
              <w:tc>
                <w:tcPr>
                  <w:tcW w:w="408" w:type="pct"/>
                  <w:tcBorders>
                    <w:tl2br w:val="nil"/>
                    <w:tr2bl w:val="nil"/>
                  </w:tcBorders>
                  <w:vAlign w:val="center"/>
                </w:tcPr>
                <w:p w14:paraId="443BBDD0">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09A3B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34370C5B">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2.4</w:t>
                  </w:r>
                </w:p>
              </w:tc>
              <w:tc>
                <w:tcPr>
                  <w:tcW w:w="2636" w:type="pct"/>
                  <w:tcBorders>
                    <w:tl2br w:val="nil"/>
                    <w:tr2bl w:val="nil"/>
                  </w:tcBorders>
                  <w:vAlign w:val="center"/>
                </w:tcPr>
                <w:p w14:paraId="3EE1DBAC">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废水应当按照要求进行预处理，达到行业排放标准或综合排放标准后方可排放</w:t>
                  </w:r>
                </w:p>
              </w:tc>
              <w:tc>
                <w:tcPr>
                  <w:tcW w:w="1584" w:type="pct"/>
                  <w:vMerge w:val="restart"/>
                  <w:tcBorders>
                    <w:tl2br w:val="nil"/>
                    <w:tr2bl w:val="nil"/>
                  </w:tcBorders>
                  <w:vAlign w:val="center"/>
                </w:tcPr>
                <w:p w14:paraId="79B51C70">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项目无新增外排废水</w:t>
                  </w:r>
                </w:p>
              </w:tc>
              <w:tc>
                <w:tcPr>
                  <w:tcW w:w="408" w:type="pct"/>
                  <w:vMerge w:val="restart"/>
                  <w:tcBorders>
                    <w:tl2br w:val="nil"/>
                    <w:tr2bl w:val="nil"/>
                  </w:tcBorders>
                  <w:vAlign w:val="center"/>
                </w:tcPr>
                <w:p w14:paraId="3410F56A">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6145F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69FFCCDD">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w:t>
                  </w:r>
                </w:p>
              </w:tc>
              <w:tc>
                <w:tcPr>
                  <w:tcW w:w="2636" w:type="pct"/>
                  <w:tcBorders>
                    <w:tl2br w:val="nil"/>
                    <w:tr2bl w:val="nil"/>
                  </w:tcBorders>
                  <w:vAlign w:val="center"/>
                </w:tcPr>
                <w:p w14:paraId="15632942">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禁止工业废水和生活污水未经处理直排环境，原则上除工业污水集中处理设施、城镇污水处理厂外不得新建入河排污口</w:t>
                  </w:r>
                </w:p>
              </w:tc>
              <w:tc>
                <w:tcPr>
                  <w:tcW w:w="1584" w:type="pct"/>
                  <w:vMerge w:val="continue"/>
                  <w:tcBorders>
                    <w:tl2br w:val="nil"/>
                    <w:tr2bl w:val="nil"/>
                  </w:tcBorders>
                  <w:vAlign w:val="center"/>
                </w:tcPr>
                <w:p w14:paraId="18327CD4">
                  <w:pPr>
                    <w:autoSpaceDE w:val="0"/>
                    <w:autoSpaceDN w:val="0"/>
                    <w:adjustRightInd w:val="0"/>
                    <w:snapToGrid w:val="0"/>
                    <w:jc w:val="center"/>
                    <w:rPr>
                      <w:rFonts w:hint="default" w:ascii="Times New Roman" w:hAnsi="Times New Roman" w:cs="Times New Roman"/>
                      <w:szCs w:val="21"/>
                      <w:highlight w:val="none"/>
                    </w:rPr>
                  </w:pPr>
                </w:p>
              </w:tc>
              <w:tc>
                <w:tcPr>
                  <w:tcW w:w="408" w:type="pct"/>
                  <w:vMerge w:val="continue"/>
                  <w:tcBorders>
                    <w:tl2br w:val="nil"/>
                    <w:tr2bl w:val="nil"/>
                  </w:tcBorders>
                  <w:vAlign w:val="center"/>
                </w:tcPr>
                <w:p w14:paraId="63EB9F2A">
                  <w:pPr>
                    <w:snapToGrid w:val="0"/>
                    <w:jc w:val="center"/>
                    <w:rPr>
                      <w:rFonts w:hint="default" w:ascii="Times New Roman" w:hAnsi="Times New Roman" w:cs="Times New Roman"/>
                      <w:szCs w:val="21"/>
                      <w:highlight w:val="none"/>
                    </w:rPr>
                  </w:pPr>
                </w:p>
              </w:tc>
            </w:tr>
            <w:tr w14:paraId="2FCD6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547DDAE1">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2.6</w:t>
                  </w:r>
                </w:p>
              </w:tc>
              <w:tc>
                <w:tcPr>
                  <w:tcW w:w="2636" w:type="pct"/>
                  <w:tcBorders>
                    <w:tl2br w:val="nil"/>
                    <w:tr2bl w:val="nil"/>
                  </w:tcBorders>
                  <w:vAlign w:val="center"/>
                </w:tcPr>
                <w:p w14:paraId="7B42CA3E">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工业园区污水集中处理设施应当具备相应的处理能力并正常运行，保证工业园区的外排废水稳定达标，不能稳定达标的，工业园区不得建设新增水污染物排放的项目（污水集中处理设施除外）</w:t>
                  </w:r>
                </w:p>
              </w:tc>
              <w:tc>
                <w:tcPr>
                  <w:tcW w:w="1584" w:type="pct"/>
                  <w:tcBorders>
                    <w:tl2br w:val="nil"/>
                    <w:tr2bl w:val="nil"/>
                  </w:tcBorders>
                  <w:vAlign w:val="center"/>
                </w:tcPr>
                <w:p w14:paraId="4C55AAED">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w:t>
                  </w:r>
                </w:p>
              </w:tc>
              <w:tc>
                <w:tcPr>
                  <w:tcW w:w="408" w:type="pct"/>
                  <w:tcBorders>
                    <w:tl2br w:val="nil"/>
                    <w:tr2bl w:val="nil"/>
                  </w:tcBorders>
                  <w:vAlign w:val="center"/>
                </w:tcPr>
                <w:p w14:paraId="0D8B306D">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25E14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7737D041">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2.7</w:t>
                  </w:r>
                </w:p>
              </w:tc>
              <w:tc>
                <w:tcPr>
                  <w:tcW w:w="2636" w:type="pct"/>
                  <w:tcBorders>
                    <w:tl2br w:val="nil"/>
                    <w:tr2bl w:val="nil"/>
                  </w:tcBorders>
                  <w:vAlign w:val="center"/>
                </w:tcPr>
                <w:p w14:paraId="333D47E6">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落实园区污染物总量控制制度，保证安全的前提下加强车间、料仓等密闭，负压收集、处置，减少无组织排放</w:t>
                  </w:r>
                </w:p>
              </w:tc>
              <w:tc>
                <w:tcPr>
                  <w:tcW w:w="1584" w:type="pct"/>
                  <w:tcBorders>
                    <w:tl2br w:val="nil"/>
                    <w:tr2bl w:val="nil"/>
                  </w:tcBorders>
                  <w:vAlign w:val="center"/>
                </w:tcPr>
                <w:p w14:paraId="50FC06D0">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项目废气通过管道全部收集</w:t>
                  </w:r>
                </w:p>
              </w:tc>
              <w:tc>
                <w:tcPr>
                  <w:tcW w:w="408" w:type="pct"/>
                  <w:tcBorders>
                    <w:tl2br w:val="nil"/>
                    <w:tr2bl w:val="nil"/>
                  </w:tcBorders>
                  <w:vAlign w:val="center"/>
                </w:tcPr>
                <w:p w14:paraId="6F9E459B">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FE2D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4EAD7740">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2.8</w:t>
                  </w:r>
                </w:p>
              </w:tc>
              <w:tc>
                <w:tcPr>
                  <w:tcW w:w="2636" w:type="pct"/>
                  <w:tcBorders>
                    <w:tl2br w:val="nil"/>
                    <w:tr2bl w:val="nil"/>
                  </w:tcBorders>
                  <w:vAlign w:val="center"/>
                </w:tcPr>
                <w:p w14:paraId="6FC4B5C1">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化工、热电、包装印刷、表面涂装、铸造、建材、塑料加工等严格按照潘城市行业环境管控要求，实施源头替代，建立健全治理设施，确保污染物稳定达标排放，做到持证排污</w:t>
                  </w:r>
                </w:p>
              </w:tc>
              <w:tc>
                <w:tcPr>
                  <w:tcW w:w="1584" w:type="pct"/>
                  <w:tcBorders>
                    <w:tl2br w:val="nil"/>
                    <w:tr2bl w:val="nil"/>
                  </w:tcBorders>
                  <w:vAlign w:val="center"/>
                </w:tcPr>
                <w:p w14:paraId="687D8F58">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项目建成后，投产前进行排污许可证变更或申请工作，确保持证排污</w:t>
                  </w:r>
                </w:p>
              </w:tc>
              <w:tc>
                <w:tcPr>
                  <w:tcW w:w="408" w:type="pct"/>
                  <w:tcBorders>
                    <w:tl2br w:val="nil"/>
                    <w:tr2bl w:val="nil"/>
                  </w:tcBorders>
                  <w:vAlign w:val="center"/>
                </w:tcPr>
                <w:p w14:paraId="33F101E7">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08D1F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7CD4FEF6">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2.9</w:t>
                  </w:r>
                </w:p>
              </w:tc>
              <w:tc>
                <w:tcPr>
                  <w:tcW w:w="2636" w:type="pct"/>
                  <w:tcBorders>
                    <w:tl2br w:val="nil"/>
                    <w:tr2bl w:val="nil"/>
                  </w:tcBorders>
                  <w:vAlign w:val="center"/>
                </w:tcPr>
                <w:p w14:paraId="1246316F">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进一步加强对建设工程施工、建筑物拆除、交通运输、道路保洁、物料运输与堆存、采石取土、养护绿化等活动的扬尘管理</w:t>
                  </w:r>
                </w:p>
              </w:tc>
              <w:tc>
                <w:tcPr>
                  <w:tcW w:w="1584" w:type="pct"/>
                  <w:tcBorders>
                    <w:tl2br w:val="nil"/>
                    <w:tr2bl w:val="nil"/>
                  </w:tcBorders>
                  <w:vAlign w:val="center"/>
                </w:tcPr>
                <w:p w14:paraId="29E331CA">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项目不涉及</w:t>
                  </w:r>
                </w:p>
              </w:tc>
              <w:tc>
                <w:tcPr>
                  <w:tcW w:w="408" w:type="pct"/>
                  <w:tcBorders>
                    <w:tl2br w:val="nil"/>
                    <w:tr2bl w:val="nil"/>
                  </w:tcBorders>
                  <w:vAlign w:val="center"/>
                </w:tcPr>
                <w:p w14:paraId="0BF9CA48">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5B8C7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14:paraId="7962BA27">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三、环境风险防控</w:t>
                  </w:r>
                </w:p>
              </w:tc>
            </w:tr>
            <w:tr w14:paraId="4697A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366BFE27">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3.1</w:t>
                  </w:r>
                </w:p>
              </w:tc>
              <w:tc>
                <w:tcPr>
                  <w:tcW w:w="2636" w:type="pct"/>
                  <w:tcBorders>
                    <w:tl2br w:val="nil"/>
                    <w:tr2bl w:val="nil"/>
                  </w:tcBorders>
                  <w:vAlign w:val="center"/>
                </w:tcPr>
                <w:p w14:paraId="6801FD06">
                  <w:pPr>
                    <w:autoSpaceDE w:val="0"/>
                    <w:autoSpaceDN w:val="0"/>
                    <w:adjustRightIn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紧邻居住、科教、医院等环境敏感点的工业用地，禁止新建环境风险潜势等级高建设项目；现有项目严格落实环评及批复环境风险防控要求</w:t>
                  </w:r>
                </w:p>
              </w:tc>
              <w:tc>
                <w:tcPr>
                  <w:tcW w:w="1584" w:type="pct"/>
                  <w:tcBorders>
                    <w:tl2br w:val="nil"/>
                    <w:tr2bl w:val="nil"/>
                  </w:tcBorders>
                  <w:vAlign w:val="center"/>
                </w:tcPr>
                <w:p w14:paraId="2F54CDBC">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项目不紧邻居住、科教、医院等环境敏感点</w:t>
                  </w:r>
                </w:p>
              </w:tc>
              <w:tc>
                <w:tcPr>
                  <w:tcW w:w="408" w:type="pct"/>
                  <w:tcBorders>
                    <w:tl2br w:val="nil"/>
                    <w:tr2bl w:val="nil"/>
                  </w:tcBorders>
                  <w:vAlign w:val="center"/>
                </w:tcPr>
                <w:p w14:paraId="6365771E">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78B9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4210F40E">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3.2</w:t>
                  </w:r>
                </w:p>
              </w:tc>
              <w:tc>
                <w:tcPr>
                  <w:tcW w:w="2636" w:type="pct"/>
                  <w:tcBorders>
                    <w:tl2br w:val="nil"/>
                    <w:tr2bl w:val="nil"/>
                  </w:tcBorders>
                  <w:vAlign w:val="center"/>
                </w:tcPr>
                <w:p w14:paraId="1F6F8997">
                  <w:pPr>
                    <w:autoSpaceDE w:val="0"/>
                    <w:autoSpaceDN w:val="0"/>
                    <w:adjustRightIn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重点企业应采取防腐防渗等有效措施，建立完善三级防护体系，防止因渗漏污染土壤、地下水以及因事故废水直排污染地表水</w:t>
                  </w:r>
                </w:p>
              </w:tc>
              <w:tc>
                <w:tcPr>
                  <w:tcW w:w="1584" w:type="pct"/>
                  <w:tcBorders>
                    <w:tl2br w:val="nil"/>
                    <w:tr2bl w:val="nil"/>
                  </w:tcBorders>
                  <w:vAlign w:val="center"/>
                </w:tcPr>
                <w:p w14:paraId="14FE2ACB">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厂区针对各区域进行分区防控，厂区内已建立完善三级防护体系</w:t>
                  </w:r>
                </w:p>
              </w:tc>
              <w:tc>
                <w:tcPr>
                  <w:tcW w:w="408" w:type="pct"/>
                  <w:tcBorders>
                    <w:tl2br w:val="nil"/>
                    <w:tr2bl w:val="nil"/>
                  </w:tcBorders>
                  <w:vAlign w:val="center"/>
                </w:tcPr>
                <w:p w14:paraId="75BC656A">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29F8E34">
              <w:tblPrEx>
                <w:tblCellMar>
                  <w:top w:w="0" w:type="dxa"/>
                  <w:left w:w="108" w:type="dxa"/>
                  <w:bottom w:w="0" w:type="dxa"/>
                  <w:right w:w="108" w:type="dxa"/>
                </w:tblCellMar>
              </w:tblPrEx>
              <w:trPr>
                <w:trHeight w:val="340" w:hRule="atLeast"/>
              </w:trPr>
              <w:tc>
                <w:tcPr>
                  <w:tcW w:w="371" w:type="pct"/>
                  <w:tcBorders>
                    <w:tl2br w:val="nil"/>
                    <w:tr2bl w:val="nil"/>
                  </w:tcBorders>
                  <w:vAlign w:val="center"/>
                </w:tcPr>
                <w:p w14:paraId="207221A8">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3.3</w:t>
                  </w:r>
                </w:p>
              </w:tc>
              <w:tc>
                <w:tcPr>
                  <w:tcW w:w="2636" w:type="pct"/>
                  <w:tcBorders>
                    <w:tl2br w:val="nil"/>
                    <w:tr2bl w:val="nil"/>
                  </w:tcBorders>
                  <w:vAlign w:val="center"/>
                </w:tcPr>
                <w:p w14:paraId="5581F4CF">
                  <w:pPr>
                    <w:autoSpaceDE w:val="0"/>
                    <w:autoSpaceDN w:val="0"/>
                    <w:adjustRightIn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企业事业单位按照《企业事业单位突发环境事件应急预案备案管理办法（试行）》等要求，依法依规编制环境应急预案并定期开展演练</w:t>
                  </w:r>
                </w:p>
              </w:tc>
              <w:tc>
                <w:tcPr>
                  <w:tcW w:w="1584" w:type="pct"/>
                  <w:tcBorders>
                    <w:tl2br w:val="nil"/>
                    <w:tr2bl w:val="nil"/>
                  </w:tcBorders>
                  <w:vAlign w:val="center"/>
                </w:tcPr>
                <w:p w14:paraId="75998DAD">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企业依法依规编制环境应急预案并定期开展演练</w:t>
                  </w:r>
                </w:p>
              </w:tc>
              <w:tc>
                <w:tcPr>
                  <w:tcW w:w="408" w:type="pct"/>
                  <w:tcBorders>
                    <w:tl2br w:val="nil"/>
                    <w:tr2bl w:val="nil"/>
                  </w:tcBorders>
                  <w:vAlign w:val="center"/>
                </w:tcPr>
                <w:p w14:paraId="1EDD15F1">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0A9E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5E1F1796">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3.4</w:t>
                  </w:r>
                </w:p>
              </w:tc>
              <w:tc>
                <w:tcPr>
                  <w:tcW w:w="2636" w:type="pct"/>
                  <w:tcBorders>
                    <w:tl2br w:val="nil"/>
                    <w:tr2bl w:val="nil"/>
                  </w:tcBorders>
                  <w:vAlign w:val="center"/>
                </w:tcPr>
                <w:p w14:paraId="69D8C642">
                  <w:pPr>
                    <w:autoSpaceDE w:val="0"/>
                    <w:autoSpaceDN w:val="0"/>
                    <w:adjustRightIn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建立各企业危险废物的贮存、申报、经营许可（“无废城市”建设的除外）、转移及处置管理制度，并负责对危废相应活动的全过程监管和环境安全保障</w:t>
                  </w:r>
                </w:p>
              </w:tc>
              <w:tc>
                <w:tcPr>
                  <w:tcW w:w="1584" w:type="pct"/>
                  <w:tcBorders>
                    <w:tl2br w:val="nil"/>
                    <w:tr2bl w:val="nil"/>
                  </w:tcBorders>
                  <w:vAlign w:val="center"/>
                </w:tcPr>
                <w:p w14:paraId="3C3AB9FA">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企业已建立了危险废物贮存、申报制度</w:t>
                  </w:r>
                </w:p>
              </w:tc>
              <w:tc>
                <w:tcPr>
                  <w:tcW w:w="408" w:type="pct"/>
                  <w:tcBorders>
                    <w:tl2br w:val="nil"/>
                    <w:tr2bl w:val="nil"/>
                  </w:tcBorders>
                  <w:vAlign w:val="center"/>
                </w:tcPr>
                <w:p w14:paraId="33FD8A28">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1D86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32281502">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3.5</w:t>
                  </w:r>
                </w:p>
              </w:tc>
              <w:tc>
                <w:tcPr>
                  <w:tcW w:w="2636" w:type="pct"/>
                  <w:tcBorders>
                    <w:tl2br w:val="nil"/>
                    <w:tr2bl w:val="nil"/>
                  </w:tcBorders>
                  <w:vAlign w:val="center"/>
                </w:tcPr>
                <w:p w14:paraId="46BAAC11">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落实园区规划环评跟踪监测计划，定期开展检测并公开</w:t>
                  </w:r>
                </w:p>
              </w:tc>
              <w:tc>
                <w:tcPr>
                  <w:tcW w:w="1584" w:type="pct"/>
                  <w:tcBorders>
                    <w:tl2br w:val="nil"/>
                    <w:tr2bl w:val="nil"/>
                  </w:tcBorders>
                  <w:vAlign w:val="center"/>
                </w:tcPr>
                <w:p w14:paraId="0267E6D0">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w:t>
                  </w:r>
                </w:p>
              </w:tc>
              <w:tc>
                <w:tcPr>
                  <w:tcW w:w="408" w:type="pct"/>
                  <w:tcBorders>
                    <w:tl2br w:val="nil"/>
                    <w:tr2bl w:val="nil"/>
                  </w:tcBorders>
                  <w:vAlign w:val="center"/>
                </w:tcPr>
                <w:p w14:paraId="670E7CD9">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78027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5727E9A8">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3.6</w:t>
                  </w:r>
                </w:p>
              </w:tc>
              <w:tc>
                <w:tcPr>
                  <w:tcW w:w="2636" w:type="pct"/>
                  <w:tcBorders>
                    <w:tl2br w:val="nil"/>
                    <w:tr2bl w:val="nil"/>
                  </w:tcBorders>
                  <w:vAlign w:val="center"/>
                </w:tcPr>
                <w:p w14:paraId="313BBFE1">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强化管理，防范环境突发事件</w:t>
                  </w:r>
                </w:p>
              </w:tc>
              <w:tc>
                <w:tcPr>
                  <w:tcW w:w="1584" w:type="pct"/>
                  <w:tcBorders>
                    <w:tl2br w:val="nil"/>
                    <w:tr2bl w:val="nil"/>
                  </w:tcBorders>
                  <w:vAlign w:val="center"/>
                </w:tcPr>
                <w:p w14:paraId="5C3CD927">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企业依法依规编制环境应急预案并定期开展演练</w:t>
                  </w:r>
                </w:p>
              </w:tc>
              <w:tc>
                <w:tcPr>
                  <w:tcW w:w="408" w:type="pct"/>
                  <w:tcBorders>
                    <w:tl2br w:val="nil"/>
                    <w:tr2bl w:val="nil"/>
                  </w:tcBorders>
                  <w:vAlign w:val="center"/>
                </w:tcPr>
                <w:p w14:paraId="256392C6">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70B9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14:paraId="1152F848">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四、资源开发效率要求</w:t>
                  </w:r>
                </w:p>
              </w:tc>
            </w:tr>
            <w:tr w14:paraId="1B03D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53D12A01">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4.1</w:t>
                  </w:r>
                </w:p>
              </w:tc>
              <w:tc>
                <w:tcPr>
                  <w:tcW w:w="2636" w:type="pct"/>
                  <w:tcBorders>
                    <w:tl2br w:val="nil"/>
                    <w:tr2bl w:val="nil"/>
                  </w:tcBorders>
                  <w:vAlign w:val="center"/>
                </w:tcPr>
                <w:p w14:paraId="1A4545F4">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高污染燃料禁燃区内执行淄博市高污染燃料禁燃区划定文件的管控要求</w:t>
                  </w:r>
                </w:p>
              </w:tc>
              <w:tc>
                <w:tcPr>
                  <w:tcW w:w="1584" w:type="pct"/>
                  <w:tcBorders>
                    <w:tl2br w:val="nil"/>
                    <w:tr2bl w:val="nil"/>
                  </w:tcBorders>
                  <w:vAlign w:val="center"/>
                </w:tcPr>
                <w:p w14:paraId="6E995018">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w:t>
                  </w:r>
                </w:p>
              </w:tc>
              <w:tc>
                <w:tcPr>
                  <w:tcW w:w="408" w:type="pct"/>
                  <w:tcBorders>
                    <w:tl2br w:val="nil"/>
                    <w:tr2bl w:val="nil"/>
                  </w:tcBorders>
                  <w:vAlign w:val="center"/>
                </w:tcPr>
                <w:p w14:paraId="0AA29A3D">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2C5AD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7C6F3778">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4.2</w:t>
                  </w:r>
                </w:p>
              </w:tc>
              <w:tc>
                <w:tcPr>
                  <w:tcW w:w="2636" w:type="pct"/>
                  <w:tcBorders>
                    <w:tl2br w:val="nil"/>
                    <w:tr2bl w:val="nil"/>
                  </w:tcBorders>
                  <w:vAlign w:val="center"/>
                </w:tcPr>
                <w:p w14:paraId="51AFEA5B">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未经许可不得开采地下水，执行浅层地下水限采区管理规定</w:t>
                  </w:r>
                </w:p>
              </w:tc>
              <w:tc>
                <w:tcPr>
                  <w:tcW w:w="1584" w:type="pct"/>
                  <w:tcBorders>
                    <w:tl2br w:val="nil"/>
                    <w:tr2bl w:val="nil"/>
                  </w:tcBorders>
                  <w:vAlign w:val="center"/>
                </w:tcPr>
                <w:p w14:paraId="64BE9753">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w:t>
                  </w:r>
                </w:p>
              </w:tc>
              <w:tc>
                <w:tcPr>
                  <w:tcW w:w="408" w:type="pct"/>
                  <w:tcBorders>
                    <w:tl2br w:val="nil"/>
                    <w:tr2bl w:val="nil"/>
                  </w:tcBorders>
                  <w:vAlign w:val="center"/>
                </w:tcPr>
                <w:p w14:paraId="7EC02510">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4C509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33C98845">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4.3</w:t>
                  </w:r>
                </w:p>
              </w:tc>
              <w:tc>
                <w:tcPr>
                  <w:tcW w:w="2636" w:type="pct"/>
                  <w:tcBorders>
                    <w:tl2br w:val="nil"/>
                    <w:tr2bl w:val="nil"/>
                  </w:tcBorders>
                  <w:vAlign w:val="center"/>
                </w:tcPr>
                <w:p w14:paraId="557D94A2">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严格执行产业园区水的分类使用及循环利用原则和要求（GB/T36575-2018）</w:t>
                  </w:r>
                </w:p>
              </w:tc>
              <w:tc>
                <w:tcPr>
                  <w:tcW w:w="1584" w:type="pct"/>
                  <w:tcBorders>
                    <w:tl2br w:val="nil"/>
                    <w:tr2bl w:val="nil"/>
                  </w:tcBorders>
                  <w:vAlign w:val="center"/>
                </w:tcPr>
                <w:p w14:paraId="4DBBF553">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项目不涉及</w:t>
                  </w:r>
                </w:p>
              </w:tc>
              <w:tc>
                <w:tcPr>
                  <w:tcW w:w="408" w:type="pct"/>
                  <w:tcBorders>
                    <w:tl2br w:val="nil"/>
                    <w:tr2bl w:val="nil"/>
                  </w:tcBorders>
                  <w:vAlign w:val="center"/>
                </w:tcPr>
                <w:p w14:paraId="3EBF4F43">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7F048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4B938812">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4.4</w:t>
                  </w:r>
                </w:p>
              </w:tc>
              <w:tc>
                <w:tcPr>
                  <w:tcW w:w="2636" w:type="pct"/>
                  <w:tcBorders>
                    <w:tl2br w:val="nil"/>
                    <w:tr2bl w:val="nil"/>
                  </w:tcBorders>
                  <w:vAlign w:val="center"/>
                </w:tcPr>
                <w:p w14:paraId="75D7FE1E">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调整能源利用结构，控制煤炭消费量，实现减量化，鼓励使用清洁能源、新能源和可再生能源</w:t>
                  </w:r>
                </w:p>
              </w:tc>
              <w:tc>
                <w:tcPr>
                  <w:tcW w:w="1584" w:type="pct"/>
                  <w:tcBorders>
                    <w:tl2br w:val="nil"/>
                    <w:tr2bl w:val="nil"/>
                  </w:tcBorders>
                  <w:vAlign w:val="center"/>
                </w:tcPr>
                <w:p w14:paraId="7A3CAE18">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项目使用电能</w:t>
                  </w:r>
                </w:p>
              </w:tc>
              <w:tc>
                <w:tcPr>
                  <w:tcW w:w="408" w:type="pct"/>
                  <w:tcBorders>
                    <w:tl2br w:val="nil"/>
                    <w:tr2bl w:val="nil"/>
                  </w:tcBorders>
                  <w:vAlign w:val="center"/>
                </w:tcPr>
                <w:p w14:paraId="04EFCFD3">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123B2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1" w:type="pct"/>
                  <w:tcBorders>
                    <w:tl2br w:val="nil"/>
                    <w:tr2bl w:val="nil"/>
                  </w:tcBorders>
                  <w:vAlign w:val="center"/>
                </w:tcPr>
                <w:p w14:paraId="6B4616BA">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4.5</w:t>
                  </w:r>
                </w:p>
              </w:tc>
              <w:tc>
                <w:tcPr>
                  <w:tcW w:w="2636" w:type="pct"/>
                  <w:tcBorders>
                    <w:tl2br w:val="nil"/>
                    <w:tr2bl w:val="nil"/>
                  </w:tcBorders>
                  <w:vAlign w:val="center"/>
                </w:tcPr>
                <w:p w14:paraId="7AE2D2AE">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定期开展清洁生产审核，推动现有各类产业园区和重点企业生态化、循环化改造</w:t>
                  </w:r>
                </w:p>
              </w:tc>
              <w:tc>
                <w:tcPr>
                  <w:tcW w:w="1584" w:type="pct"/>
                  <w:tcBorders>
                    <w:tl2br w:val="nil"/>
                    <w:tr2bl w:val="nil"/>
                  </w:tcBorders>
                  <w:vAlign w:val="center"/>
                </w:tcPr>
                <w:p w14:paraId="6AB959D0">
                  <w:pPr>
                    <w:autoSpaceDE w:val="0"/>
                    <w:autoSpaceDN w:val="0"/>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bCs/>
                      <w:szCs w:val="21"/>
                      <w:highlight w:val="none"/>
                    </w:rPr>
                    <w:t>项目符合清洁生产要求</w:t>
                  </w:r>
                </w:p>
              </w:tc>
              <w:tc>
                <w:tcPr>
                  <w:tcW w:w="408" w:type="pct"/>
                  <w:tcBorders>
                    <w:tl2br w:val="nil"/>
                    <w:tr2bl w:val="nil"/>
                  </w:tcBorders>
                  <w:vAlign w:val="center"/>
                </w:tcPr>
                <w:p w14:paraId="63B78376">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bl>
          <w:p w14:paraId="031C3ED5">
            <w:pPr>
              <w:autoSpaceDE w:val="0"/>
              <w:autoSpaceDN w:val="0"/>
              <w:adjustRightInd w:val="0"/>
              <w:snapToGrid w:val="0"/>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根据淄博市人民政府2021年6月24日发布的《淄博市人民政府关于印发淄博市“三线一单”生态环境分区管控方案的通知》（淄政字〔2021〕49号）。本项目位于齐鲁化学工业园区，属于重点管控区。重点管控单元要求及符合性见下表：</w:t>
            </w:r>
          </w:p>
          <w:p w14:paraId="6DA326BA">
            <w:pPr>
              <w:autoSpaceDE w:val="0"/>
              <w:autoSpaceDN w:val="0"/>
              <w:adjustRightInd w:val="0"/>
              <w:snapToGrid w:val="0"/>
              <w:jc w:val="center"/>
              <w:rPr>
                <w:rFonts w:hint="default" w:ascii="Times New Roman" w:hAnsi="Times New Roman" w:cs="Times New Roman"/>
                <w:b/>
                <w:bCs/>
                <w:kern w:val="0"/>
                <w:sz w:val="24"/>
                <w:highlight w:val="none"/>
              </w:rPr>
            </w:pPr>
            <w:r>
              <w:rPr>
                <w:rFonts w:hint="default" w:ascii="Times New Roman" w:hAnsi="Times New Roman" w:cs="Times New Roman"/>
                <w:b/>
                <w:bCs/>
                <w:kern w:val="0"/>
                <w:sz w:val="24"/>
                <w:highlight w:val="none"/>
              </w:rPr>
              <w:t>表1-6  重点管控单元要求及符合性分析一览表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23"/>
              <w:gridCol w:w="2336"/>
              <w:gridCol w:w="1117"/>
            </w:tblGrid>
            <w:tr w14:paraId="3B5F8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3076" w:type="pct"/>
                  <w:vAlign w:val="center"/>
                </w:tcPr>
                <w:p w14:paraId="27119400">
                  <w:pPr>
                    <w:pStyle w:val="45"/>
                    <w:spacing w:after="0"/>
                    <w:ind w:left="0" w:leftChars="0" w:firstLine="0" w:firstLineChars="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具体规定</w:t>
                  </w:r>
                </w:p>
              </w:tc>
              <w:tc>
                <w:tcPr>
                  <w:tcW w:w="1300" w:type="pct"/>
                  <w:vAlign w:val="center"/>
                </w:tcPr>
                <w:p w14:paraId="68679A17">
                  <w:pPr>
                    <w:pStyle w:val="45"/>
                    <w:spacing w:after="0"/>
                    <w:ind w:left="0" w:leftChars="0" w:firstLine="0" w:firstLineChars="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本项目情况</w:t>
                  </w:r>
                </w:p>
              </w:tc>
              <w:tc>
                <w:tcPr>
                  <w:tcW w:w="622" w:type="pct"/>
                  <w:vAlign w:val="center"/>
                </w:tcPr>
                <w:p w14:paraId="698F593E">
                  <w:pPr>
                    <w:pStyle w:val="45"/>
                    <w:spacing w:after="0"/>
                    <w:ind w:left="0" w:leftChars="0" w:firstLine="0" w:firstLineChars="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符合情况</w:t>
                  </w:r>
                </w:p>
              </w:tc>
            </w:tr>
            <w:tr w14:paraId="58D59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3076" w:type="pct"/>
                  <w:vAlign w:val="center"/>
                </w:tcPr>
                <w:p w14:paraId="5AD09EA9">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空间布局管控要求。优化完善区域产业布局，合理布局各类工业项目。坚决淘汰落后产能，聚焦“高耗能、高污染、高排放、高风险”低效落后产能，进一步健全并严格落实环保、安全、技术、能耗、效益标准，分类组织实施转移、压减、整合、关停任务。坚决改造提升传统产业，聚焦“四强”产业，实施产业攀登计划，加快传统产业绿色化升级改造，形成高端引领、链条完整、生态完善、效益显著的产业发展格局。在满足产业准入、总量控制、排放标准等管理制度要求的前提下，实行工业项目进工业园区或聚集区，集约高效发展。从严审批“两高”建设项目，严格落实产能、煤炭、能耗等置换要求；加快推进“散乱污”企业搬迁入园或关闭退出。</w:t>
                  </w:r>
                </w:p>
              </w:tc>
              <w:tc>
                <w:tcPr>
                  <w:tcW w:w="1300" w:type="pct"/>
                  <w:vAlign w:val="center"/>
                </w:tcPr>
                <w:p w14:paraId="10639BC7">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项目不属于高耗能、高污染、高排放、高风险的项目；项目位于齐鲁化学工业园区；项目不属于“两高”行业，不属于“散乱污”企业。</w:t>
                  </w:r>
                </w:p>
              </w:tc>
              <w:tc>
                <w:tcPr>
                  <w:tcW w:w="622" w:type="pct"/>
                  <w:vAlign w:val="center"/>
                </w:tcPr>
                <w:p w14:paraId="585BE7B9">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4A96B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6" w:type="pct"/>
                  <w:vAlign w:val="center"/>
                </w:tcPr>
                <w:p w14:paraId="1595B2E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排放管控要求。落实污染物总量控制制度，根据区域环境质量改善目标，削减污染物排放总量。严格执行国家及省相关排放标准，新建工业项目污染物排放水平达到同行业国内先进水平，对主要污染物排放指标实施总量等量或倍量置换。加快污水收集处理设施建设与提质增效，逐步完善城乡污水管网，实施雨污分流改造。加强挥发性有机物、臭气异味防治和餐饮油烟治理，严格施工扬尘监管。加强土壤和地下水污染防治与修复。</w:t>
                  </w:r>
                </w:p>
              </w:tc>
              <w:tc>
                <w:tcPr>
                  <w:tcW w:w="1300" w:type="pct"/>
                  <w:vAlign w:val="center"/>
                </w:tcPr>
                <w:p w14:paraId="2AFC8EC0">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项目有机废气采取碱喷淋</w:t>
                  </w:r>
                  <w:r>
                    <w:rPr>
                      <w:rFonts w:hint="default" w:ascii="Times New Roman" w:hAnsi="Times New Roman" w:cs="Times New Roman"/>
                      <w:color w:val="000000"/>
                      <w:highlight w:val="none"/>
                      <w:lang w:val="en-US"/>
                    </w:rPr>
                    <w:t>+</w:t>
                  </w:r>
                  <w:r>
                    <w:rPr>
                      <w:rFonts w:hint="eastAsia"/>
                      <w:lang w:val="en-US" w:eastAsia="zh-CN"/>
                    </w:rPr>
                    <w:t>除雾装置</w:t>
                  </w:r>
                  <w:r>
                    <w:rPr>
                      <w:rFonts w:hint="default" w:ascii="Times New Roman" w:hAnsi="Times New Roman" w:cs="Times New Roman"/>
                      <w:szCs w:val="21"/>
                      <w:highlight w:val="none"/>
                    </w:rPr>
                    <w:t>+2级活性炭吸附处理；项目实行总量指标倍量替代制度。</w:t>
                  </w:r>
                </w:p>
              </w:tc>
              <w:tc>
                <w:tcPr>
                  <w:tcW w:w="622" w:type="pct"/>
                  <w:vAlign w:val="center"/>
                </w:tcPr>
                <w:p w14:paraId="35FD1EE3">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EBA4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3076" w:type="pct"/>
                  <w:vAlign w:val="center"/>
                </w:tcPr>
                <w:p w14:paraId="1385C691">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环境风险防控要求。加强风险防控体系建设，强化工业园区和聚集区内企业环境风险防范设施建设和正常运行监管，加强重点环境风险监控企业应急预案机制，建立企业隐患排查整治常态化监管机制。</w:t>
                  </w:r>
                </w:p>
              </w:tc>
              <w:tc>
                <w:tcPr>
                  <w:tcW w:w="1300" w:type="pct"/>
                  <w:vAlign w:val="center"/>
                </w:tcPr>
                <w:p w14:paraId="0E1F521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项目完成后按照要求编制应急预案。</w:t>
                  </w:r>
                </w:p>
              </w:tc>
              <w:tc>
                <w:tcPr>
                  <w:tcW w:w="622" w:type="pct"/>
                  <w:vAlign w:val="center"/>
                </w:tcPr>
                <w:p w14:paraId="629DE72B">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0F292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3076" w:type="pct"/>
                  <w:vAlign w:val="center"/>
                </w:tcPr>
                <w:p w14:paraId="2AFB8531">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能源资源利用要求。进工业园区和聚集区生态化改造，强化企业清洁生产改造，推进节水型企业、节水型工业园区建设，落实煤炭消费减量替代要求，鼓励使用清洁能源，提高资源能源利用效率。禁燃区内禁止新、改、扩建燃用高污染燃料的项目和设施，已建成的应依法限期改用天然气、电或者其他清洁能源。推广使用清洁能源车。因地制宜推进冬季清洁取暖。</w:t>
                  </w:r>
                </w:p>
              </w:tc>
              <w:tc>
                <w:tcPr>
                  <w:tcW w:w="1300" w:type="pct"/>
                  <w:vAlign w:val="center"/>
                </w:tcPr>
                <w:p w14:paraId="0E318018">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项目生产过程中无生产废水排放，无高污染燃料设施。</w:t>
                  </w:r>
                </w:p>
              </w:tc>
              <w:tc>
                <w:tcPr>
                  <w:tcW w:w="622" w:type="pct"/>
                  <w:vAlign w:val="center"/>
                </w:tcPr>
                <w:p w14:paraId="1C0BE3A6">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bl>
          <w:p w14:paraId="383E41E9">
            <w:pPr>
              <w:autoSpaceDE w:val="0"/>
              <w:autoSpaceDN w:val="0"/>
              <w:adjustRightInd w:val="0"/>
              <w:snapToGrid w:val="0"/>
              <w:spacing w:line="360" w:lineRule="auto"/>
              <w:ind w:firstLine="480" w:firstLineChars="200"/>
              <w:jc w:val="left"/>
              <w:rPr>
                <w:rFonts w:hint="default" w:ascii="Times New Roman" w:hAnsi="Times New Roman" w:cs="Times New Roman"/>
                <w:sz w:val="24"/>
                <w:highlight w:val="none"/>
              </w:rPr>
            </w:pPr>
            <w:r>
              <w:rPr>
                <w:rFonts w:hint="default" w:ascii="Times New Roman" w:hAnsi="Times New Roman" w:cs="Times New Roman"/>
                <w:sz w:val="24"/>
                <w:highlight w:val="none"/>
              </w:rPr>
              <w:t>综上，项目满足“三线一单”及重点管控单元要求。</w:t>
            </w:r>
          </w:p>
          <w:p w14:paraId="4773580B">
            <w:pPr>
              <w:autoSpaceDE w:val="0"/>
              <w:autoSpaceDN w:val="0"/>
              <w:adjustRightInd w:val="0"/>
              <w:snapToGrid w:val="0"/>
              <w:spacing w:line="360" w:lineRule="auto"/>
              <w:ind w:firstLine="480" w:firstLineChars="200"/>
              <w:jc w:val="left"/>
              <w:rPr>
                <w:rFonts w:hint="default" w:ascii="Times New Roman" w:hAnsi="Times New Roman" w:cs="Times New Roman"/>
                <w:sz w:val="24"/>
                <w:highlight w:val="none"/>
              </w:rPr>
            </w:pPr>
            <w:r>
              <w:rPr>
                <w:rFonts w:hint="default" w:ascii="Times New Roman" w:hAnsi="Times New Roman" w:cs="Times New Roman"/>
                <w:sz w:val="24"/>
                <w:highlight w:val="none"/>
              </w:rPr>
              <w:t>4、</w:t>
            </w:r>
            <w:r>
              <w:rPr>
                <w:rFonts w:hint="default" w:ascii="Times New Roman" w:hAnsi="Times New Roman" w:cs="Times New Roman"/>
                <w:bCs/>
                <w:sz w:val="24"/>
                <w:highlight w:val="none"/>
              </w:rPr>
              <w:t>与相关环保政策的符合性分析</w:t>
            </w:r>
          </w:p>
          <w:p w14:paraId="2F057404">
            <w:pPr>
              <w:pStyle w:val="122"/>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本项目与相关环保政策文件的符合性分析见下表。</w:t>
            </w:r>
          </w:p>
          <w:p w14:paraId="7F408502">
            <w:pPr>
              <w:pStyle w:val="94"/>
              <w:spacing w:beforeLines="0" w:afterLines="0" w:line="360" w:lineRule="auto"/>
              <w:rPr>
                <w:rFonts w:hint="default" w:ascii="Times New Roman" w:hAnsi="Times New Roman" w:cs="Times New Roman"/>
                <w:sz w:val="24"/>
                <w:szCs w:val="24"/>
                <w:highlight w:val="none"/>
              </w:rPr>
            </w:pPr>
            <w:r>
              <w:rPr>
                <w:rFonts w:hint="default" w:ascii="Times New Roman" w:hAnsi="Times New Roman" w:cs="Times New Roman"/>
                <w:b/>
                <w:bCs/>
                <w:sz w:val="24"/>
                <w:szCs w:val="24"/>
                <w:highlight w:val="none"/>
              </w:rPr>
              <w:t>表1-7  本项目与相关环保政策的符合性分析一览表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1392"/>
              <w:gridCol w:w="4052"/>
              <w:gridCol w:w="2238"/>
              <w:gridCol w:w="663"/>
            </w:tblGrid>
            <w:tr w14:paraId="005DF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693B8979">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3031" w:type="pct"/>
                  <w:gridSpan w:val="2"/>
                  <w:tcBorders>
                    <w:tl2br w:val="nil"/>
                    <w:tr2bl w:val="nil"/>
                  </w:tcBorders>
                  <w:tcMar>
                    <w:top w:w="0" w:type="dxa"/>
                    <w:left w:w="57" w:type="dxa"/>
                    <w:bottom w:w="0" w:type="dxa"/>
                    <w:right w:w="57" w:type="dxa"/>
                  </w:tcMar>
                  <w:vAlign w:val="center"/>
                </w:tcPr>
                <w:p w14:paraId="2C15C897">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文件要求</w:t>
                  </w:r>
                </w:p>
              </w:tc>
              <w:tc>
                <w:tcPr>
                  <w:tcW w:w="1246" w:type="pct"/>
                  <w:tcBorders>
                    <w:tl2br w:val="nil"/>
                    <w:tr2bl w:val="nil"/>
                  </w:tcBorders>
                  <w:tcMar>
                    <w:top w:w="0" w:type="dxa"/>
                    <w:left w:w="57" w:type="dxa"/>
                    <w:bottom w:w="0" w:type="dxa"/>
                    <w:right w:w="57" w:type="dxa"/>
                  </w:tcMar>
                  <w:vAlign w:val="center"/>
                </w:tcPr>
                <w:p w14:paraId="5ABD165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本项目情况</w:t>
                  </w:r>
                </w:p>
              </w:tc>
              <w:tc>
                <w:tcPr>
                  <w:tcW w:w="368" w:type="pct"/>
                  <w:tcBorders>
                    <w:tl2br w:val="nil"/>
                    <w:tr2bl w:val="nil"/>
                  </w:tcBorders>
                  <w:tcMar>
                    <w:top w:w="0" w:type="dxa"/>
                    <w:left w:w="57" w:type="dxa"/>
                    <w:bottom w:w="0" w:type="dxa"/>
                    <w:right w:w="57" w:type="dxa"/>
                  </w:tcMar>
                  <w:vAlign w:val="center"/>
                </w:tcPr>
                <w:p w14:paraId="230E8DA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符合性</w:t>
                  </w:r>
                </w:p>
              </w:tc>
            </w:tr>
            <w:tr w14:paraId="6102B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2F80479F">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1</w:t>
                  </w:r>
                </w:p>
              </w:tc>
              <w:tc>
                <w:tcPr>
                  <w:tcW w:w="4646" w:type="pct"/>
                  <w:gridSpan w:val="4"/>
                  <w:tcBorders>
                    <w:tl2br w:val="nil"/>
                    <w:tr2bl w:val="nil"/>
                  </w:tcBorders>
                  <w:tcMar>
                    <w:top w:w="0" w:type="dxa"/>
                    <w:left w:w="57" w:type="dxa"/>
                    <w:bottom w:w="0" w:type="dxa"/>
                    <w:right w:w="57" w:type="dxa"/>
                  </w:tcMar>
                  <w:vAlign w:val="center"/>
                </w:tcPr>
                <w:p w14:paraId="67487022">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《山东省环境保护条例》符合性分析</w:t>
                  </w:r>
                </w:p>
              </w:tc>
            </w:tr>
            <w:tr w14:paraId="7C6F4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40BE1950">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1.1</w:t>
                  </w:r>
                </w:p>
              </w:tc>
              <w:tc>
                <w:tcPr>
                  <w:tcW w:w="3031" w:type="pct"/>
                  <w:gridSpan w:val="2"/>
                  <w:tcBorders>
                    <w:tl2br w:val="nil"/>
                    <w:tr2bl w:val="nil"/>
                  </w:tcBorders>
                  <w:tcMar>
                    <w:top w:w="0" w:type="dxa"/>
                    <w:left w:w="57" w:type="dxa"/>
                    <w:bottom w:w="0" w:type="dxa"/>
                    <w:right w:w="57" w:type="dxa"/>
                  </w:tcMar>
                  <w:vAlign w:val="center"/>
                </w:tcPr>
                <w:p w14:paraId="57DDEAB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246" w:type="pct"/>
                  <w:tcBorders>
                    <w:tl2br w:val="nil"/>
                    <w:tr2bl w:val="nil"/>
                  </w:tcBorders>
                  <w:tcMar>
                    <w:top w:w="0" w:type="dxa"/>
                    <w:left w:w="57" w:type="dxa"/>
                    <w:bottom w:w="0" w:type="dxa"/>
                    <w:right w:w="57" w:type="dxa"/>
                  </w:tcMar>
                  <w:vAlign w:val="center"/>
                </w:tcPr>
                <w:p w14:paraId="7781D0A8">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本项目位于临淄区齐鲁化学工业园山东瑞海金山化学有限公司现有厂区内，选址位于化工园区内</w:t>
                  </w:r>
                </w:p>
              </w:tc>
              <w:tc>
                <w:tcPr>
                  <w:tcW w:w="368" w:type="pct"/>
                  <w:tcBorders>
                    <w:tl2br w:val="nil"/>
                    <w:tr2bl w:val="nil"/>
                  </w:tcBorders>
                  <w:tcMar>
                    <w:top w:w="0" w:type="dxa"/>
                    <w:left w:w="57" w:type="dxa"/>
                    <w:bottom w:w="0" w:type="dxa"/>
                    <w:right w:w="57" w:type="dxa"/>
                  </w:tcMar>
                  <w:vAlign w:val="center"/>
                </w:tcPr>
                <w:p w14:paraId="4A2EB1FE">
                  <w:pPr>
                    <w:pStyle w:val="122"/>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2E8D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54C14141">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1.2</w:t>
                  </w:r>
                </w:p>
              </w:tc>
              <w:tc>
                <w:tcPr>
                  <w:tcW w:w="3031" w:type="pct"/>
                  <w:gridSpan w:val="2"/>
                  <w:tcBorders>
                    <w:tl2br w:val="nil"/>
                    <w:tr2bl w:val="nil"/>
                  </w:tcBorders>
                  <w:tcMar>
                    <w:top w:w="0" w:type="dxa"/>
                    <w:left w:w="57" w:type="dxa"/>
                    <w:bottom w:w="0" w:type="dxa"/>
                    <w:right w:w="57" w:type="dxa"/>
                  </w:tcMar>
                  <w:vAlign w:val="center"/>
                </w:tcPr>
                <w:p w14:paraId="14F13940">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污单位应当采取措施，防治在生产建设或者其他活动中产生的废气、废水、废渣、医疗废物、颗粒物、恶臭气体、放射性物质以及噪声、振动、光辐射、电磁辐射等对环境的污染和危害，其污染排放不得超过排放标准和重点污染物排放总量控制指标。</w:t>
                  </w:r>
                </w:p>
              </w:tc>
              <w:tc>
                <w:tcPr>
                  <w:tcW w:w="1246" w:type="pct"/>
                  <w:tcBorders>
                    <w:tl2br w:val="nil"/>
                    <w:tr2bl w:val="nil"/>
                  </w:tcBorders>
                  <w:tcMar>
                    <w:top w:w="0" w:type="dxa"/>
                    <w:left w:w="57" w:type="dxa"/>
                    <w:bottom w:w="0" w:type="dxa"/>
                    <w:right w:w="57" w:type="dxa"/>
                  </w:tcMar>
                  <w:vAlign w:val="center"/>
                </w:tcPr>
                <w:p w14:paraId="052E0F8A">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本项目污染物排放均能满足要求</w:t>
                  </w:r>
                </w:p>
              </w:tc>
              <w:tc>
                <w:tcPr>
                  <w:tcW w:w="368" w:type="pct"/>
                  <w:tcBorders>
                    <w:tl2br w:val="nil"/>
                    <w:tr2bl w:val="nil"/>
                  </w:tcBorders>
                  <w:tcMar>
                    <w:top w:w="0" w:type="dxa"/>
                    <w:left w:w="57" w:type="dxa"/>
                    <w:bottom w:w="0" w:type="dxa"/>
                    <w:right w:w="57" w:type="dxa"/>
                  </w:tcMar>
                  <w:vAlign w:val="center"/>
                </w:tcPr>
                <w:p w14:paraId="5316D8F4">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D8C1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1610A50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1.3</w:t>
                  </w:r>
                </w:p>
              </w:tc>
              <w:tc>
                <w:tcPr>
                  <w:tcW w:w="3031" w:type="pct"/>
                  <w:gridSpan w:val="2"/>
                  <w:tcBorders>
                    <w:tl2br w:val="nil"/>
                    <w:tr2bl w:val="nil"/>
                  </w:tcBorders>
                  <w:tcMar>
                    <w:top w:w="0" w:type="dxa"/>
                    <w:left w:w="57" w:type="dxa"/>
                    <w:bottom w:w="0" w:type="dxa"/>
                    <w:right w:w="57" w:type="dxa"/>
                  </w:tcMar>
                  <w:vAlign w:val="center"/>
                </w:tcPr>
                <w:p w14:paraId="17976E69">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重点排污单位应当按照规定安装污染物排放自动监测设备，并保障其正常运行，不得擅自拆除、停用、改变或者损毁。自动监测设备应当与生态环境主管部门的监控设备联网。重点排污单位由设区的市生态环境主管部门确定，并向社会公布。</w:t>
                  </w:r>
                </w:p>
              </w:tc>
              <w:tc>
                <w:tcPr>
                  <w:tcW w:w="1246" w:type="pct"/>
                  <w:tcBorders>
                    <w:tl2br w:val="nil"/>
                    <w:tr2bl w:val="nil"/>
                  </w:tcBorders>
                  <w:tcMar>
                    <w:top w:w="0" w:type="dxa"/>
                    <w:left w:w="57" w:type="dxa"/>
                    <w:bottom w:w="0" w:type="dxa"/>
                    <w:right w:w="57" w:type="dxa"/>
                  </w:tcMar>
                  <w:vAlign w:val="center"/>
                </w:tcPr>
                <w:p w14:paraId="27737176">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本项目企业不属于重点排污单位</w:t>
                  </w:r>
                </w:p>
              </w:tc>
              <w:tc>
                <w:tcPr>
                  <w:tcW w:w="368" w:type="pct"/>
                  <w:tcBorders>
                    <w:tl2br w:val="nil"/>
                    <w:tr2bl w:val="nil"/>
                  </w:tcBorders>
                  <w:tcMar>
                    <w:top w:w="0" w:type="dxa"/>
                    <w:left w:w="57" w:type="dxa"/>
                    <w:bottom w:w="0" w:type="dxa"/>
                    <w:right w:w="57" w:type="dxa"/>
                  </w:tcMar>
                  <w:vAlign w:val="center"/>
                </w:tcPr>
                <w:p w14:paraId="12D48201">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6FB6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01F8EFBF">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1.4</w:t>
                  </w:r>
                </w:p>
              </w:tc>
              <w:tc>
                <w:tcPr>
                  <w:tcW w:w="3031" w:type="pct"/>
                  <w:gridSpan w:val="2"/>
                  <w:tcBorders>
                    <w:tl2br w:val="nil"/>
                    <w:tr2bl w:val="nil"/>
                  </w:tcBorders>
                  <w:tcMar>
                    <w:top w:w="0" w:type="dxa"/>
                    <w:left w:w="57" w:type="dxa"/>
                    <w:bottom w:w="0" w:type="dxa"/>
                    <w:right w:w="57" w:type="dxa"/>
                  </w:tcMar>
                  <w:vAlign w:val="center"/>
                </w:tcPr>
                <w:p w14:paraId="46122AF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各级人民政府及其有关部门应当加强重金属污染防治，确定重点防控的重金属污染地区、行业和企业，加强对涉铅、镉、汞、铬和类金属砷等加工企业的环境监管，推进涉重金属企业的技术改造和集中治理，实现重金属深度处理和循环利用，减少污染排放。禁止在重点防控区域内新建、改建、扩建增加重金属污染物排放总量的建设项目。</w:t>
                  </w:r>
                </w:p>
              </w:tc>
              <w:tc>
                <w:tcPr>
                  <w:tcW w:w="1246" w:type="pct"/>
                  <w:tcBorders>
                    <w:tl2br w:val="nil"/>
                    <w:tr2bl w:val="nil"/>
                  </w:tcBorders>
                  <w:tcMar>
                    <w:top w:w="0" w:type="dxa"/>
                    <w:left w:w="57" w:type="dxa"/>
                    <w:bottom w:w="0" w:type="dxa"/>
                    <w:right w:w="57" w:type="dxa"/>
                  </w:tcMar>
                  <w:vAlign w:val="center"/>
                </w:tcPr>
                <w:p w14:paraId="4206D82A">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本项目不涉及重金属产生及排放</w:t>
                  </w:r>
                </w:p>
              </w:tc>
              <w:tc>
                <w:tcPr>
                  <w:tcW w:w="368" w:type="pct"/>
                  <w:tcBorders>
                    <w:tl2br w:val="nil"/>
                    <w:tr2bl w:val="nil"/>
                  </w:tcBorders>
                  <w:tcMar>
                    <w:top w:w="0" w:type="dxa"/>
                    <w:left w:w="57" w:type="dxa"/>
                    <w:bottom w:w="0" w:type="dxa"/>
                    <w:right w:w="57" w:type="dxa"/>
                  </w:tcMar>
                  <w:vAlign w:val="center"/>
                </w:tcPr>
                <w:p w14:paraId="1B9FA7F7">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E929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05AB54A7">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2</w:t>
                  </w:r>
                </w:p>
              </w:tc>
              <w:tc>
                <w:tcPr>
                  <w:tcW w:w="4646" w:type="pct"/>
                  <w:gridSpan w:val="4"/>
                  <w:tcBorders>
                    <w:tl2br w:val="nil"/>
                    <w:tr2bl w:val="nil"/>
                  </w:tcBorders>
                  <w:tcMar>
                    <w:top w:w="0" w:type="dxa"/>
                    <w:left w:w="57" w:type="dxa"/>
                    <w:bottom w:w="0" w:type="dxa"/>
                    <w:right w:w="57" w:type="dxa"/>
                  </w:tcMar>
                  <w:vAlign w:val="center"/>
                </w:tcPr>
                <w:p w14:paraId="18DB427E">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《山东省工业企业无组织排放分行业管控指导意见》（鲁环发〔2020〕30号）符合性分析</w:t>
                  </w:r>
                </w:p>
              </w:tc>
            </w:tr>
            <w:tr w14:paraId="0D26D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4968A69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2.1</w:t>
                  </w:r>
                </w:p>
              </w:tc>
              <w:tc>
                <w:tcPr>
                  <w:tcW w:w="775" w:type="pct"/>
                  <w:tcBorders>
                    <w:tl2br w:val="nil"/>
                    <w:tr2bl w:val="nil"/>
                  </w:tcBorders>
                  <w:tcMar>
                    <w:top w:w="0" w:type="dxa"/>
                    <w:left w:w="57" w:type="dxa"/>
                    <w:bottom w:w="0" w:type="dxa"/>
                    <w:right w:w="57" w:type="dxa"/>
                  </w:tcMar>
                  <w:vAlign w:val="center"/>
                </w:tcPr>
                <w:p w14:paraId="4ECB861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加强物料运输、装卸环节管控</w:t>
                  </w:r>
                </w:p>
              </w:tc>
              <w:tc>
                <w:tcPr>
                  <w:tcW w:w="2256" w:type="pct"/>
                  <w:tcBorders>
                    <w:tl2br w:val="nil"/>
                    <w:tr2bl w:val="nil"/>
                  </w:tcBorders>
                  <w:tcMar>
                    <w:top w:w="0" w:type="dxa"/>
                    <w:left w:w="57" w:type="dxa"/>
                    <w:bottom w:w="0" w:type="dxa"/>
                    <w:right w:w="57" w:type="dxa"/>
                  </w:tcMar>
                  <w:vAlign w:val="center"/>
                </w:tcPr>
                <w:p w14:paraId="70E3B94E">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闲置裸露空地及时绿化或硬化，厂区道路定期洒水清扫。</w:t>
                  </w:r>
                </w:p>
              </w:tc>
              <w:tc>
                <w:tcPr>
                  <w:tcW w:w="1246" w:type="pct"/>
                  <w:tcBorders>
                    <w:tl2br w:val="nil"/>
                    <w:tr2bl w:val="nil"/>
                  </w:tcBorders>
                  <w:tcMar>
                    <w:top w:w="0" w:type="dxa"/>
                    <w:left w:w="57" w:type="dxa"/>
                    <w:bottom w:w="0" w:type="dxa"/>
                    <w:right w:w="57" w:type="dxa"/>
                  </w:tcMar>
                  <w:vAlign w:val="center"/>
                </w:tcPr>
                <w:p w14:paraId="6B48D1D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厂区内均为硬化路面，不定时洒水降尘。</w:t>
                  </w:r>
                </w:p>
              </w:tc>
              <w:tc>
                <w:tcPr>
                  <w:tcW w:w="368" w:type="pct"/>
                  <w:tcBorders>
                    <w:tl2br w:val="nil"/>
                    <w:tr2bl w:val="nil"/>
                  </w:tcBorders>
                  <w:tcMar>
                    <w:top w:w="0" w:type="dxa"/>
                    <w:left w:w="57" w:type="dxa"/>
                    <w:bottom w:w="0" w:type="dxa"/>
                    <w:right w:w="57" w:type="dxa"/>
                  </w:tcMar>
                  <w:vAlign w:val="center"/>
                </w:tcPr>
                <w:p w14:paraId="63A6B2D1">
                  <w:pPr>
                    <w:pStyle w:val="122"/>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5F2E3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274801D7">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2.2</w:t>
                  </w:r>
                </w:p>
              </w:tc>
              <w:tc>
                <w:tcPr>
                  <w:tcW w:w="775" w:type="pct"/>
                  <w:tcBorders>
                    <w:tl2br w:val="nil"/>
                    <w:tr2bl w:val="nil"/>
                  </w:tcBorders>
                  <w:tcMar>
                    <w:top w:w="0" w:type="dxa"/>
                    <w:left w:w="57" w:type="dxa"/>
                    <w:bottom w:w="0" w:type="dxa"/>
                    <w:right w:w="57" w:type="dxa"/>
                  </w:tcMar>
                  <w:vAlign w:val="center"/>
                </w:tcPr>
                <w:p w14:paraId="107B6236">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加强物料储存、输送环节管控</w:t>
                  </w:r>
                </w:p>
              </w:tc>
              <w:tc>
                <w:tcPr>
                  <w:tcW w:w="2256" w:type="pct"/>
                  <w:tcBorders>
                    <w:tl2br w:val="nil"/>
                    <w:tr2bl w:val="nil"/>
                  </w:tcBorders>
                  <w:tcMar>
                    <w:top w:w="0" w:type="dxa"/>
                    <w:left w:w="57" w:type="dxa"/>
                    <w:bottom w:w="0" w:type="dxa"/>
                    <w:right w:w="57" w:type="dxa"/>
                  </w:tcMar>
                  <w:vAlign w:val="center"/>
                </w:tcPr>
                <w:p w14:paraId="68736192">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含挥发性有机物（VOCs）物料储存于密闭容器、包装袋，高效密封储罐，封闭式储库、料仓等；封闭式储库、料仓设置VOCs有效收集治理设</w:t>
                  </w:r>
                </w:p>
              </w:tc>
              <w:tc>
                <w:tcPr>
                  <w:tcW w:w="1246" w:type="pct"/>
                  <w:tcBorders>
                    <w:tl2br w:val="nil"/>
                    <w:tr2bl w:val="nil"/>
                  </w:tcBorders>
                  <w:tcMar>
                    <w:top w:w="0" w:type="dxa"/>
                    <w:left w:w="57" w:type="dxa"/>
                    <w:bottom w:w="0" w:type="dxa"/>
                    <w:right w:w="57" w:type="dxa"/>
                  </w:tcMar>
                  <w:vAlign w:val="center"/>
                </w:tcPr>
                <w:p w14:paraId="2D730178">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本项目使用原料均为密闭储罐存储。</w:t>
                  </w:r>
                </w:p>
              </w:tc>
              <w:tc>
                <w:tcPr>
                  <w:tcW w:w="368" w:type="pct"/>
                  <w:tcBorders>
                    <w:tl2br w:val="nil"/>
                    <w:tr2bl w:val="nil"/>
                  </w:tcBorders>
                  <w:tcMar>
                    <w:top w:w="0" w:type="dxa"/>
                    <w:left w:w="57" w:type="dxa"/>
                    <w:bottom w:w="0" w:type="dxa"/>
                    <w:right w:w="57" w:type="dxa"/>
                  </w:tcMar>
                  <w:vAlign w:val="center"/>
                </w:tcPr>
                <w:p w14:paraId="300C33DC">
                  <w:pPr>
                    <w:pStyle w:val="122"/>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1F2A6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0BAEF4F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2.3</w:t>
                  </w:r>
                </w:p>
              </w:tc>
              <w:tc>
                <w:tcPr>
                  <w:tcW w:w="775" w:type="pct"/>
                  <w:tcBorders>
                    <w:tl2br w:val="nil"/>
                    <w:tr2bl w:val="nil"/>
                  </w:tcBorders>
                  <w:tcMar>
                    <w:top w:w="0" w:type="dxa"/>
                    <w:left w:w="57" w:type="dxa"/>
                    <w:bottom w:w="0" w:type="dxa"/>
                    <w:right w:w="57" w:type="dxa"/>
                  </w:tcMar>
                  <w:vAlign w:val="center"/>
                </w:tcPr>
                <w:p w14:paraId="51F7E39F">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加强生产环节管控</w:t>
                  </w:r>
                </w:p>
              </w:tc>
              <w:tc>
                <w:tcPr>
                  <w:tcW w:w="2256" w:type="pct"/>
                  <w:tcBorders>
                    <w:tl2br w:val="nil"/>
                    <w:tr2bl w:val="nil"/>
                  </w:tcBorders>
                  <w:tcMar>
                    <w:top w:w="0" w:type="dxa"/>
                    <w:left w:w="57" w:type="dxa"/>
                    <w:bottom w:w="0" w:type="dxa"/>
                    <w:right w:w="57" w:type="dxa"/>
                  </w:tcMar>
                  <w:vAlign w:val="center"/>
                </w:tcPr>
                <w:p w14:paraId="2DE4205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通过提高工艺自动化和设备密闭化水平，减少生产过程中的无组织排放。生产过程中的产尘点和VOCs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元件外，不得采用压缩空气吹扫等易产生扬尘的清理措施。厂内污水收集、输送、处理，污泥产生、暂存、处置，危险废物暂存等产生VOCs或恶臭气体的区域加罩或加盖封闭并进行收集处理。涉VOCs化（试）验室实验平台设置负压集气系统，对化（试）验室中产生的废气进行集中收集治理。</w:t>
                  </w:r>
                </w:p>
              </w:tc>
              <w:tc>
                <w:tcPr>
                  <w:tcW w:w="1246" w:type="pct"/>
                  <w:tcBorders>
                    <w:tl2br w:val="nil"/>
                    <w:tr2bl w:val="nil"/>
                  </w:tcBorders>
                  <w:tcMar>
                    <w:top w:w="0" w:type="dxa"/>
                    <w:left w:w="57" w:type="dxa"/>
                    <w:bottom w:w="0" w:type="dxa"/>
                    <w:right w:w="57" w:type="dxa"/>
                  </w:tcMar>
                  <w:vAlign w:val="center"/>
                </w:tcPr>
                <w:p w14:paraId="23B920FE">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项目废气通过管线密闭收集处理。</w:t>
                  </w:r>
                </w:p>
              </w:tc>
              <w:tc>
                <w:tcPr>
                  <w:tcW w:w="368" w:type="pct"/>
                  <w:tcBorders>
                    <w:tl2br w:val="nil"/>
                    <w:tr2bl w:val="nil"/>
                  </w:tcBorders>
                  <w:tcMar>
                    <w:top w:w="0" w:type="dxa"/>
                    <w:left w:w="57" w:type="dxa"/>
                    <w:bottom w:w="0" w:type="dxa"/>
                    <w:right w:w="57" w:type="dxa"/>
                  </w:tcMar>
                  <w:vAlign w:val="center"/>
                </w:tcPr>
                <w:p w14:paraId="10336806">
                  <w:pPr>
                    <w:pStyle w:val="122"/>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606D1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38C0326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2.4</w:t>
                  </w:r>
                </w:p>
              </w:tc>
              <w:tc>
                <w:tcPr>
                  <w:tcW w:w="775" w:type="pct"/>
                  <w:tcBorders>
                    <w:tl2br w:val="nil"/>
                    <w:tr2bl w:val="nil"/>
                  </w:tcBorders>
                  <w:tcMar>
                    <w:top w:w="0" w:type="dxa"/>
                    <w:left w:w="57" w:type="dxa"/>
                    <w:bottom w:w="0" w:type="dxa"/>
                    <w:right w:w="57" w:type="dxa"/>
                  </w:tcMar>
                  <w:vAlign w:val="center"/>
                </w:tcPr>
                <w:p w14:paraId="405A09E8">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加强精细化管控</w:t>
                  </w:r>
                </w:p>
              </w:tc>
              <w:tc>
                <w:tcPr>
                  <w:tcW w:w="2256" w:type="pct"/>
                  <w:tcBorders>
                    <w:tl2br w:val="nil"/>
                    <w:tr2bl w:val="nil"/>
                  </w:tcBorders>
                  <w:tcMar>
                    <w:top w:w="0" w:type="dxa"/>
                    <w:left w:w="57" w:type="dxa"/>
                    <w:bottom w:w="0" w:type="dxa"/>
                    <w:right w:w="57" w:type="dxa"/>
                  </w:tcMar>
                  <w:vAlign w:val="center"/>
                </w:tcPr>
                <w:p w14:paraId="593AF27B">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针对各无组织排放环节，制定“一厂一策”深度治理方案。制定无组织排放治理设施操作规程，并建立管理台账，记录操作人员操作内容、运行、维护、检修和含VOCs物料使用回收等情况，记录保存期限不得少于三年。鼓励安装视频、空气微站等监控设施和综合监控信息平台，用于企业日常自我监督，逐步实现无组织排放向精细化和可量化管理方式转变。</w:t>
                  </w:r>
                </w:p>
              </w:tc>
              <w:tc>
                <w:tcPr>
                  <w:tcW w:w="1246" w:type="pct"/>
                  <w:tcBorders>
                    <w:tl2br w:val="nil"/>
                    <w:tr2bl w:val="nil"/>
                  </w:tcBorders>
                  <w:tcMar>
                    <w:top w:w="0" w:type="dxa"/>
                    <w:left w:w="57" w:type="dxa"/>
                    <w:bottom w:w="0" w:type="dxa"/>
                    <w:right w:w="57" w:type="dxa"/>
                  </w:tcMar>
                  <w:vAlign w:val="center"/>
                </w:tcPr>
                <w:p w14:paraId="4575336C">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项目车间内加强日常管理，减少无组织排放。</w:t>
                  </w:r>
                </w:p>
              </w:tc>
              <w:tc>
                <w:tcPr>
                  <w:tcW w:w="368" w:type="pct"/>
                  <w:tcBorders>
                    <w:tl2br w:val="nil"/>
                    <w:tr2bl w:val="nil"/>
                  </w:tcBorders>
                  <w:tcMar>
                    <w:top w:w="0" w:type="dxa"/>
                    <w:left w:w="57" w:type="dxa"/>
                    <w:bottom w:w="0" w:type="dxa"/>
                    <w:right w:w="57" w:type="dxa"/>
                  </w:tcMar>
                  <w:vAlign w:val="center"/>
                </w:tcPr>
                <w:p w14:paraId="3C428ECD">
                  <w:pPr>
                    <w:pStyle w:val="122"/>
                    <w:jc w:val="center"/>
                    <w:rPr>
                      <w:rFonts w:hint="default" w:ascii="Times New Roman" w:hAnsi="Times New Roman" w:cs="Times New Roman"/>
                      <w:bCs/>
                      <w:color w:val="auto"/>
                      <w:sz w:val="21"/>
                      <w:szCs w:val="21"/>
                      <w:highlight w:val="none"/>
                    </w:rPr>
                  </w:pPr>
                </w:p>
              </w:tc>
            </w:tr>
            <w:tr w14:paraId="7DD54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54F5AAA6">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3</w:t>
                  </w:r>
                </w:p>
              </w:tc>
              <w:tc>
                <w:tcPr>
                  <w:tcW w:w="4646" w:type="pct"/>
                  <w:gridSpan w:val="4"/>
                  <w:tcBorders>
                    <w:tl2br w:val="nil"/>
                    <w:tr2bl w:val="nil"/>
                  </w:tcBorders>
                  <w:tcMar>
                    <w:top w:w="0" w:type="dxa"/>
                    <w:left w:w="57" w:type="dxa"/>
                    <w:bottom w:w="0" w:type="dxa"/>
                    <w:right w:w="57" w:type="dxa"/>
                  </w:tcMar>
                  <w:vAlign w:val="center"/>
                </w:tcPr>
                <w:p w14:paraId="6FA09086">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《山东省深入打好蓝天保卫战行动计划》(2021—2025年)符合性分析</w:t>
                  </w:r>
                </w:p>
              </w:tc>
            </w:tr>
            <w:tr w14:paraId="3779A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79E8D955">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w:t>
                  </w:r>
                </w:p>
              </w:tc>
              <w:tc>
                <w:tcPr>
                  <w:tcW w:w="3031" w:type="pct"/>
                  <w:gridSpan w:val="2"/>
                  <w:tcBorders>
                    <w:tl2br w:val="nil"/>
                    <w:tr2bl w:val="nil"/>
                  </w:tcBorders>
                  <w:tcMar>
                    <w:top w:w="0" w:type="dxa"/>
                    <w:left w:w="57" w:type="dxa"/>
                    <w:bottom w:w="0" w:type="dxa"/>
                    <w:right w:w="57" w:type="dxa"/>
                  </w:tcMar>
                  <w:vAlign w:val="center"/>
                </w:tcPr>
                <w:p w14:paraId="74E6874A">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一、淘汰低效落后产能聚焦钢铁、地炼、焦化、煤电、水泥、轮胎、煤炭、化工8个重点行业，加快淘汰低效落后产能。</w:t>
                  </w:r>
                </w:p>
              </w:tc>
              <w:tc>
                <w:tcPr>
                  <w:tcW w:w="1246" w:type="pct"/>
                  <w:tcBorders>
                    <w:tl2br w:val="nil"/>
                    <w:tr2bl w:val="nil"/>
                  </w:tcBorders>
                  <w:tcMar>
                    <w:top w:w="0" w:type="dxa"/>
                    <w:left w:w="57" w:type="dxa"/>
                    <w:bottom w:w="0" w:type="dxa"/>
                    <w:right w:w="57" w:type="dxa"/>
                  </w:tcMar>
                  <w:vAlign w:val="center"/>
                </w:tcPr>
                <w:p w14:paraId="4AE11400">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本项目不涉及上述8个重点行业。</w:t>
                  </w:r>
                </w:p>
              </w:tc>
              <w:tc>
                <w:tcPr>
                  <w:tcW w:w="368" w:type="pct"/>
                  <w:tcBorders>
                    <w:tl2br w:val="nil"/>
                    <w:tr2bl w:val="nil"/>
                  </w:tcBorders>
                  <w:tcMar>
                    <w:top w:w="0" w:type="dxa"/>
                    <w:left w:w="57" w:type="dxa"/>
                    <w:bottom w:w="0" w:type="dxa"/>
                    <w:right w:w="57" w:type="dxa"/>
                  </w:tcMar>
                  <w:vAlign w:val="center"/>
                </w:tcPr>
                <w:p w14:paraId="37C9100E">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47E8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519199CD">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w:t>
                  </w:r>
                </w:p>
              </w:tc>
              <w:tc>
                <w:tcPr>
                  <w:tcW w:w="3031" w:type="pct"/>
                  <w:gridSpan w:val="2"/>
                  <w:tcBorders>
                    <w:tl2br w:val="nil"/>
                    <w:tr2bl w:val="nil"/>
                  </w:tcBorders>
                  <w:tcMar>
                    <w:top w:w="0" w:type="dxa"/>
                    <w:left w:w="57" w:type="dxa"/>
                    <w:bottom w:w="0" w:type="dxa"/>
                    <w:right w:w="57" w:type="dxa"/>
                  </w:tcMar>
                  <w:vAlign w:val="center"/>
                </w:tcPr>
                <w:p w14:paraId="59C6237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二、压减煤炭消费量持续压减煤炭消费总量，“十四五”期间，全省煤炭消费总量下降10%，控制在3.5亿吨左右。</w:t>
                  </w:r>
                </w:p>
              </w:tc>
              <w:tc>
                <w:tcPr>
                  <w:tcW w:w="1246" w:type="pct"/>
                  <w:tcBorders>
                    <w:tl2br w:val="nil"/>
                    <w:tr2bl w:val="nil"/>
                  </w:tcBorders>
                  <w:tcMar>
                    <w:top w:w="0" w:type="dxa"/>
                    <w:left w:w="57" w:type="dxa"/>
                    <w:bottom w:w="0" w:type="dxa"/>
                    <w:right w:w="57" w:type="dxa"/>
                  </w:tcMar>
                  <w:vAlign w:val="center"/>
                </w:tcPr>
                <w:p w14:paraId="214C605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本项目不涉及煤炭消费。</w:t>
                  </w:r>
                </w:p>
              </w:tc>
              <w:tc>
                <w:tcPr>
                  <w:tcW w:w="368" w:type="pct"/>
                  <w:tcBorders>
                    <w:tl2br w:val="nil"/>
                    <w:tr2bl w:val="nil"/>
                  </w:tcBorders>
                  <w:tcMar>
                    <w:top w:w="0" w:type="dxa"/>
                    <w:left w:w="57" w:type="dxa"/>
                    <w:bottom w:w="0" w:type="dxa"/>
                    <w:right w:w="57" w:type="dxa"/>
                  </w:tcMar>
                  <w:vAlign w:val="center"/>
                </w:tcPr>
                <w:p w14:paraId="0A186244">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5233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64E0AF31">
                  <w:pPr>
                    <w:pStyle w:val="122"/>
                    <w:jc w:val="center"/>
                    <w:rPr>
                      <w:rFonts w:hint="default" w:ascii="Times New Roman" w:hAnsi="Times New Roman" w:cs="Times New Roman"/>
                      <w:color w:val="auto"/>
                      <w:sz w:val="21"/>
                      <w:szCs w:val="21"/>
                      <w:highlight w:val="none"/>
                    </w:rPr>
                  </w:pPr>
                </w:p>
              </w:tc>
              <w:tc>
                <w:tcPr>
                  <w:tcW w:w="3031" w:type="pct"/>
                  <w:gridSpan w:val="2"/>
                  <w:tcBorders>
                    <w:tl2br w:val="nil"/>
                    <w:tr2bl w:val="nil"/>
                  </w:tcBorders>
                  <w:tcMar>
                    <w:top w:w="0" w:type="dxa"/>
                    <w:left w:w="57" w:type="dxa"/>
                    <w:bottom w:w="0" w:type="dxa"/>
                    <w:right w:w="57" w:type="dxa"/>
                  </w:tcMar>
                  <w:vAlign w:val="center"/>
                </w:tcPr>
                <w:p w14:paraId="1AADC5D7">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五、强化工业源NOx深度治理实施玻璃、陶瓷、铸造、铁合金、有色等行业污染深度治理，确保各类大气污染物稳定达标排放</w:t>
                  </w:r>
                </w:p>
              </w:tc>
              <w:tc>
                <w:tcPr>
                  <w:tcW w:w="1246" w:type="pct"/>
                  <w:tcBorders>
                    <w:tl2br w:val="nil"/>
                    <w:tr2bl w:val="nil"/>
                  </w:tcBorders>
                  <w:tcMar>
                    <w:top w:w="0" w:type="dxa"/>
                    <w:left w:w="57" w:type="dxa"/>
                    <w:bottom w:w="0" w:type="dxa"/>
                    <w:right w:w="57" w:type="dxa"/>
                  </w:tcMar>
                  <w:vAlign w:val="center"/>
                </w:tcPr>
                <w:p w14:paraId="178B972F">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本项目不涉及上述行业，污染物能够达标排放</w:t>
                  </w:r>
                </w:p>
              </w:tc>
              <w:tc>
                <w:tcPr>
                  <w:tcW w:w="368" w:type="pct"/>
                  <w:tcBorders>
                    <w:tl2br w:val="nil"/>
                    <w:tr2bl w:val="nil"/>
                  </w:tcBorders>
                  <w:tcMar>
                    <w:top w:w="0" w:type="dxa"/>
                    <w:left w:w="57" w:type="dxa"/>
                    <w:bottom w:w="0" w:type="dxa"/>
                    <w:right w:w="57" w:type="dxa"/>
                  </w:tcMar>
                  <w:vAlign w:val="center"/>
                </w:tcPr>
                <w:p w14:paraId="6133A3E3">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1107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02DD4A7F">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4</w:t>
                  </w:r>
                </w:p>
              </w:tc>
              <w:tc>
                <w:tcPr>
                  <w:tcW w:w="4646" w:type="pct"/>
                  <w:gridSpan w:val="4"/>
                  <w:tcBorders>
                    <w:tl2br w:val="nil"/>
                    <w:tr2bl w:val="nil"/>
                  </w:tcBorders>
                  <w:tcMar>
                    <w:top w:w="0" w:type="dxa"/>
                    <w:left w:w="57" w:type="dxa"/>
                    <w:bottom w:w="0" w:type="dxa"/>
                    <w:right w:w="57" w:type="dxa"/>
                  </w:tcMar>
                  <w:vAlign w:val="center"/>
                </w:tcPr>
                <w:p w14:paraId="7E7F9F55">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山东省人民政府关于印发《山东省空气质量持续改善暨第三轮“四减四增”行动实施方案》（鲁政字〔2024〕102号）的通知符合性分析</w:t>
                  </w:r>
                </w:p>
              </w:tc>
            </w:tr>
            <w:tr w14:paraId="72928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70DAD0A1">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4.1</w:t>
                  </w:r>
                </w:p>
              </w:tc>
              <w:tc>
                <w:tcPr>
                  <w:tcW w:w="3031" w:type="pct"/>
                  <w:gridSpan w:val="2"/>
                  <w:tcBorders>
                    <w:tl2br w:val="nil"/>
                    <w:tr2bl w:val="nil"/>
                  </w:tcBorders>
                  <w:tcMar>
                    <w:top w:w="0" w:type="dxa"/>
                    <w:left w:w="57" w:type="dxa"/>
                    <w:bottom w:w="0" w:type="dxa"/>
                    <w:right w:w="57" w:type="dxa"/>
                  </w:tcMar>
                  <w:vAlign w:val="center"/>
                </w:tcPr>
                <w:p w14:paraId="1582A4A2">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一)严格环境准入。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严格落实国家粗钢产量调控目标。推行钢铁、焦化、烧结一体化布局，有序引导高炉一转炉长流程炼钢转型为电炉短流程炼钢，到2025年，电炉钢占比达到7%左右。多措并举治理环保领域低价低质中标乱象，营造公平竞争环境，推动产业健康有序发展。（二）优化调整重点行业结构。重点区域进一步提高落后产能能耗、环保、质量、安全、技术等要求，逐步退出限制类涉气行业工艺和装备；逐步淘汰步进式烧结机和球团竖炉以及半封闭式硅锰合金、镍铁、高碳铬铁、高碳锰铁电炉。引导钢铁、水泥、焦化、电解铝等产业有序调整优化。到2025年，2500吨/日水泥熟料生产线全部整合退出。2024年年底前，济宁、滨州、菏泽3市完成焦化退出装置关停；2025年6月底前，济南、枣庄、潍坊、泰安、日照、德州6市完成焦化退出装置关停，全省焦化装置产能压减至3300万吨左右。（三）开展传统产业集群升级改造。中小型传统制造企业集中的市要制定涉气产业集群发展规划，严格项目审批，严防污染下乡。针对现有产业集群制定专项整治方案，依法淘汰关停一批、搬迁入园一批、就地改造一批、做优做强一批。各市要结合产业集群特点，因地制宜建设集中供热中心、集中喷涂中心、有机溶剂集中回收处置中心、活性炭集中再生中心。（四）优化含VOCs原辅材料和产品结构。严格控制生产和使用高VOCs含量涂料、油墨、胶粘剂、清洗剂等建设项目，提高低（无）VOCs含量产品比重。实施源头替代工程，加大工业涂装、包装印刷和电子行业低（无）VOCs含量原辅材料替代力度。指导企业积极申报VOCs末端治理豁免。在生产、销售、进口、使用等环节严格执行VOCs含量限值标准。</w:t>
                  </w:r>
                </w:p>
              </w:tc>
              <w:tc>
                <w:tcPr>
                  <w:tcW w:w="1246" w:type="pct"/>
                  <w:tcBorders>
                    <w:tl2br w:val="nil"/>
                    <w:tr2bl w:val="nil"/>
                  </w:tcBorders>
                  <w:tcMar>
                    <w:top w:w="0" w:type="dxa"/>
                    <w:left w:w="57" w:type="dxa"/>
                    <w:bottom w:w="0" w:type="dxa"/>
                    <w:right w:w="57" w:type="dxa"/>
                  </w:tcMar>
                  <w:vAlign w:val="center"/>
                </w:tcPr>
                <w:p w14:paraId="4FF2885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1、本项目不属于高耗能、高排放、低水平项目，项目符合国家及地方产业政策要求，不涉及钢铁焦化工序</w:t>
                  </w:r>
                </w:p>
                <w:p w14:paraId="26650889">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2、本项目不属于钢铁、水泥、焦化、电解铝等产业</w:t>
                  </w:r>
                </w:p>
                <w:p w14:paraId="0D05399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3、本项目国民经济类别属于C2666环境污染处理专用药剂材料制造，不涉及传统产业升级改造</w:t>
                  </w:r>
                </w:p>
                <w:p w14:paraId="1C7E9306">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4、本项目生产过程中产生的有机废气经碱喷淋</w:t>
                  </w:r>
                  <w:r>
                    <w:rPr>
                      <w:rFonts w:hint="default" w:ascii="Times New Roman" w:hAnsi="Times New Roman" w:cs="Times New Roman"/>
                      <w:color w:val="000000"/>
                      <w:highlight w:val="none"/>
                      <w:lang w:val="en-US"/>
                    </w:rPr>
                    <w:t>+</w:t>
                  </w:r>
                  <w:r>
                    <w:rPr>
                      <w:rFonts w:hint="eastAsia"/>
                      <w:lang w:val="en-US" w:eastAsia="zh-CN"/>
                    </w:rPr>
                    <w:t>除雾装置</w:t>
                  </w:r>
                  <w:r>
                    <w:rPr>
                      <w:rFonts w:hint="default" w:ascii="Times New Roman" w:hAnsi="Times New Roman" w:cs="Times New Roman"/>
                      <w:szCs w:val="21"/>
                      <w:highlight w:val="none"/>
                    </w:rPr>
                    <w:t>+2级活性炭吸附处理后达标排放</w:t>
                  </w:r>
                </w:p>
              </w:tc>
              <w:tc>
                <w:tcPr>
                  <w:tcW w:w="368" w:type="pct"/>
                  <w:tcBorders>
                    <w:tl2br w:val="nil"/>
                    <w:tr2bl w:val="nil"/>
                  </w:tcBorders>
                  <w:tcMar>
                    <w:top w:w="0" w:type="dxa"/>
                    <w:left w:w="57" w:type="dxa"/>
                    <w:bottom w:w="0" w:type="dxa"/>
                    <w:right w:w="57" w:type="dxa"/>
                  </w:tcMar>
                  <w:vAlign w:val="center"/>
                </w:tcPr>
                <w:p w14:paraId="3EDAFFC2">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7077A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794F2217">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4.2</w:t>
                  </w:r>
                </w:p>
              </w:tc>
              <w:tc>
                <w:tcPr>
                  <w:tcW w:w="3031" w:type="pct"/>
                  <w:gridSpan w:val="2"/>
                  <w:tcBorders>
                    <w:tl2br w:val="nil"/>
                    <w:tr2bl w:val="nil"/>
                  </w:tcBorders>
                  <w:tcMar>
                    <w:top w:w="0" w:type="dxa"/>
                    <w:left w:w="57" w:type="dxa"/>
                    <w:bottom w:w="0" w:type="dxa"/>
                    <w:right w:w="57" w:type="dxa"/>
                  </w:tcMar>
                  <w:vAlign w:val="center"/>
                </w:tcPr>
                <w:p w14:paraId="6BDBBC8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一）加快推进能源低碳转型。推进清洁能源倍增行动，到2025年，非化石能源消费比重提高到14%以上，电能占终端能源消费比重达30%以上，新能源和可再生能源发电装机达到1.2亿千瓦以上。持续推进“外电入鲁”。持续增加天然气生产供应，新增天然气优先保障居民生活和清洁取暖需求（二）严格合理控制煤炭消费总量。到2025年，全省重点区域煤炭消费量较2020年下降10%左右，重点削减非电力用煤。重点区域新、改、扩建用煤项目，依法实行煤炭等量或减量替代，替代方案不完善的不予审批；不得将使用石油焦、焦炭、兰炭、油母页岩等高污染燃料作为煤炭减量替代措施。完善煤炭消费减量替代管理办法，煤研石、原料用煤不纳入煤炭消费总量考核。对支撑电力稳定供应、电网安全运行、清洁能源大规模并网消纳的煤电项目及其用煤量应予以合理保障。原则上不再新增自备燃煤机组，支持自备燃煤机组实施清洁能源替代。重点区域不再新增燃料类煤气发生炉，新、改、扩建加热炉、热处理炉、干燥炉、熔化炉原则上采用清洁低碳能源。（三）积极开展燃煤锅炉关停整合。各市要将燃煤供热锅炉替代项目纳入城镇供热规划。县级及以上城市建成区原则上不再新建35蒸吨/小时及以下的燃煤锅炉，重点区域原则上不再新建燃煤锅炉。重点区域基本完成茶水炉、经营性炉灶、储粮烘干设备、农产品加工等燃煤设施散煤清洁能源替代。对30万千瓦及以上热电联产电厂30公里供热半径范围内的燃煤锅炉和落后燃煤小热电机组（含自备电厂）进行关停或整合。（四）持续推进清洁取暖。因地制宜成片推进清洁取暖，加大散煤替代力度，重点区域平原地区散煤基本清零，逐步推进山区散煤清洁能源替代。引导规模化养殖场采用清洁能源供暖。依法将整体完成清洁取暖改造的地区划定为高污染燃料禁燃区，并禁止燃烧高污染燃料。对暂未实施清洁取暖的地区，强化商品煤质量监管。</w:t>
                  </w:r>
                </w:p>
              </w:tc>
              <w:tc>
                <w:tcPr>
                  <w:tcW w:w="1246" w:type="pct"/>
                  <w:tcBorders>
                    <w:tl2br w:val="nil"/>
                    <w:tr2bl w:val="nil"/>
                  </w:tcBorders>
                  <w:tcMar>
                    <w:top w:w="0" w:type="dxa"/>
                    <w:left w:w="57" w:type="dxa"/>
                    <w:bottom w:w="0" w:type="dxa"/>
                    <w:right w:w="57" w:type="dxa"/>
                  </w:tcMar>
                  <w:vAlign w:val="center"/>
                </w:tcPr>
                <w:p w14:paraId="67DC375F">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1、本项目使用清洁能源生产</w:t>
                  </w:r>
                </w:p>
                <w:p w14:paraId="06451780">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2、本项目不涉及煤炭使用</w:t>
                  </w:r>
                </w:p>
                <w:p w14:paraId="23A330C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3、本项目不涉及燃煤锅炉</w:t>
                  </w:r>
                </w:p>
                <w:p w14:paraId="46928992">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4、本项目不涉及单独取暖</w:t>
                  </w:r>
                </w:p>
              </w:tc>
              <w:tc>
                <w:tcPr>
                  <w:tcW w:w="368" w:type="pct"/>
                  <w:tcBorders>
                    <w:tl2br w:val="nil"/>
                    <w:tr2bl w:val="nil"/>
                  </w:tcBorders>
                  <w:tcMar>
                    <w:top w:w="0" w:type="dxa"/>
                    <w:left w:w="57" w:type="dxa"/>
                    <w:bottom w:w="0" w:type="dxa"/>
                    <w:right w:w="57" w:type="dxa"/>
                  </w:tcMar>
                  <w:vAlign w:val="center"/>
                </w:tcPr>
                <w:p w14:paraId="7EB492FB">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6AE7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39F88BBB">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4.3</w:t>
                  </w:r>
                </w:p>
              </w:tc>
              <w:tc>
                <w:tcPr>
                  <w:tcW w:w="3031" w:type="pct"/>
                  <w:gridSpan w:val="2"/>
                  <w:tcBorders>
                    <w:tl2br w:val="nil"/>
                    <w:tr2bl w:val="nil"/>
                  </w:tcBorders>
                  <w:tcMar>
                    <w:top w:w="0" w:type="dxa"/>
                    <w:left w:w="57" w:type="dxa"/>
                    <w:bottom w:w="0" w:type="dxa"/>
                    <w:right w:w="57" w:type="dxa"/>
                  </w:tcMar>
                  <w:vAlign w:val="center"/>
                </w:tcPr>
                <w:p w14:paraId="0F1546A6">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一）强化VOCs全流程、全环节综合治理。以石油炼制、石油化工、有机化工等行业以及储油库、港口码头为重点，开展VOCs液体储罐专项治理。做好石化、化工行业集中的工业园区泄漏检测与修复（LDAR）信息管理平台日常运维监管。（二）深化重点行业深度治理。推动火电、氧化铝等行业深度治理。鼓励各市因地制宜开展环保绩效提级行动，推动企业争创环保绩效A级或行业引领性企业。按照国家要求开展低效失效污染治理设施排查，通过清洁能源替代、升级改造、整合退出等方式实施分类处置。推进整合小型生物质锅炉，积极引导城市建成区内生物质锅炉（含电力）超低排放改造。（三）开展餐饮油烟、恶臭异味专项治理。禁止在居民住宅楼、未配套设立专用烟道的商住综合楼以及商住综合楼内与居住层相邻的商业楼层内新建、改建、扩建产生油烟、异味、废气的餐饮服务项目。推动化工、制药、工业涂装等行业，以及垃圾、污水集中式污染处理设施等加大密闭收集力度，采取除臭措施，防止恶臭污染。对群众反映强烈的恶臭异味扰民问题加强排查整治。（四）稳步推进大气氨污染防控。到2025年，全省大型规模化养殖场氨排放总量比2020年下降5%。（省生态环境厅、省农业农村厅、省畜牧局牵头）强化工业源烟气脱硫脱硝氨逃逸防控。</w:t>
                  </w:r>
                </w:p>
              </w:tc>
              <w:tc>
                <w:tcPr>
                  <w:tcW w:w="1246" w:type="pct"/>
                  <w:tcBorders>
                    <w:tl2br w:val="nil"/>
                    <w:tr2bl w:val="nil"/>
                  </w:tcBorders>
                  <w:tcMar>
                    <w:top w:w="0" w:type="dxa"/>
                    <w:left w:w="57" w:type="dxa"/>
                    <w:bottom w:w="0" w:type="dxa"/>
                    <w:right w:w="57" w:type="dxa"/>
                  </w:tcMar>
                  <w:vAlign w:val="center"/>
                </w:tcPr>
                <w:p w14:paraId="3E440D3F">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1、本项目建成后，制定监测计划，定期开展LDAR监测</w:t>
                  </w:r>
                </w:p>
                <w:p w14:paraId="53BCF38A">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2、本项目不涉及火电、氧化铝行业</w:t>
                  </w:r>
                </w:p>
                <w:p w14:paraId="12D7E42E">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3、本项目不涉及餐饮油烟</w:t>
                  </w:r>
                </w:p>
                <w:p w14:paraId="7F597387">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4、本项目不涉及氨排放</w:t>
                  </w:r>
                </w:p>
              </w:tc>
              <w:tc>
                <w:tcPr>
                  <w:tcW w:w="368" w:type="pct"/>
                  <w:tcBorders>
                    <w:tl2br w:val="nil"/>
                    <w:tr2bl w:val="nil"/>
                  </w:tcBorders>
                  <w:tcMar>
                    <w:top w:w="0" w:type="dxa"/>
                    <w:left w:w="57" w:type="dxa"/>
                    <w:bottom w:w="0" w:type="dxa"/>
                    <w:right w:w="57" w:type="dxa"/>
                  </w:tcMar>
                  <w:vAlign w:val="center"/>
                </w:tcPr>
                <w:p w14:paraId="25B1F270">
                  <w:pPr>
                    <w:pStyle w:val="12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E5DF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5E388C68">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5</w:t>
                  </w:r>
                </w:p>
              </w:tc>
              <w:tc>
                <w:tcPr>
                  <w:tcW w:w="4646" w:type="pct"/>
                  <w:gridSpan w:val="4"/>
                  <w:tcBorders>
                    <w:tl2br w:val="nil"/>
                    <w:tr2bl w:val="nil"/>
                  </w:tcBorders>
                  <w:tcMar>
                    <w:top w:w="0" w:type="dxa"/>
                    <w:left w:w="57" w:type="dxa"/>
                    <w:bottom w:w="0" w:type="dxa"/>
                    <w:right w:w="57" w:type="dxa"/>
                  </w:tcMar>
                  <w:vAlign w:val="center"/>
                </w:tcPr>
                <w:p w14:paraId="3A6F640C">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《挥发性有机物无组织排放控制标准》（GB37822-2019）</w:t>
                  </w:r>
                </w:p>
              </w:tc>
            </w:tr>
            <w:tr w14:paraId="082A4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56572812">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5.1</w:t>
                  </w:r>
                </w:p>
              </w:tc>
              <w:tc>
                <w:tcPr>
                  <w:tcW w:w="3031" w:type="pct"/>
                  <w:gridSpan w:val="2"/>
                  <w:tcBorders>
                    <w:tl2br w:val="nil"/>
                    <w:tr2bl w:val="nil"/>
                  </w:tcBorders>
                  <w:tcMar>
                    <w:top w:w="0" w:type="dxa"/>
                    <w:left w:w="57" w:type="dxa"/>
                    <w:bottom w:w="0" w:type="dxa"/>
                    <w:right w:w="57" w:type="dxa"/>
                  </w:tcMar>
                  <w:vAlign w:val="center"/>
                </w:tcPr>
                <w:p w14:paraId="68A90FCE">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1246" w:type="pct"/>
                  <w:tcBorders>
                    <w:tl2br w:val="nil"/>
                    <w:tr2bl w:val="nil"/>
                  </w:tcBorders>
                  <w:tcMar>
                    <w:top w:w="0" w:type="dxa"/>
                    <w:left w:w="57" w:type="dxa"/>
                    <w:bottom w:w="0" w:type="dxa"/>
                    <w:right w:w="57" w:type="dxa"/>
                  </w:tcMar>
                  <w:vAlign w:val="center"/>
                </w:tcPr>
                <w:p w14:paraId="38D046C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本项目废气收集处理系统发生故障或检修时，对应的生产工艺设备停止运行，待检修完毕后同步投入使用。</w:t>
                  </w:r>
                </w:p>
              </w:tc>
              <w:tc>
                <w:tcPr>
                  <w:tcW w:w="368" w:type="pct"/>
                  <w:tcBorders>
                    <w:tl2br w:val="nil"/>
                    <w:tr2bl w:val="nil"/>
                  </w:tcBorders>
                  <w:tcMar>
                    <w:top w:w="0" w:type="dxa"/>
                    <w:left w:w="57" w:type="dxa"/>
                    <w:bottom w:w="0" w:type="dxa"/>
                    <w:right w:w="57" w:type="dxa"/>
                  </w:tcMar>
                  <w:vAlign w:val="center"/>
                </w:tcPr>
                <w:p w14:paraId="2938EEB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7028A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59DDA761">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5.2</w:t>
                  </w:r>
                </w:p>
              </w:tc>
              <w:tc>
                <w:tcPr>
                  <w:tcW w:w="3031" w:type="pct"/>
                  <w:gridSpan w:val="2"/>
                  <w:tcBorders>
                    <w:tl2br w:val="nil"/>
                    <w:tr2bl w:val="nil"/>
                  </w:tcBorders>
                  <w:tcMar>
                    <w:top w:w="0" w:type="dxa"/>
                    <w:left w:w="57" w:type="dxa"/>
                    <w:bottom w:w="0" w:type="dxa"/>
                    <w:right w:w="57" w:type="dxa"/>
                  </w:tcMar>
                  <w:vAlign w:val="center"/>
                </w:tcPr>
                <w:p w14:paraId="276B1D8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企业应考虑生产工艺、操作方式、废气性质、处理方法等因素，对VOCs废气进行分类收集。</w:t>
                  </w:r>
                </w:p>
              </w:tc>
              <w:tc>
                <w:tcPr>
                  <w:tcW w:w="1246" w:type="pct"/>
                  <w:tcBorders>
                    <w:tl2br w:val="nil"/>
                    <w:tr2bl w:val="nil"/>
                  </w:tcBorders>
                  <w:tcMar>
                    <w:top w:w="0" w:type="dxa"/>
                    <w:left w:w="57" w:type="dxa"/>
                    <w:bottom w:w="0" w:type="dxa"/>
                    <w:right w:w="57" w:type="dxa"/>
                  </w:tcMar>
                  <w:vAlign w:val="center"/>
                </w:tcPr>
                <w:p w14:paraId="53580C4C">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本项目根据生产工艺、操作方式、废气性质、处理方法等因素，对VOCs废气进行分类收集。</w:t>
                  </w:r>
                </w:p>
              </w:tc>
              <w:tc>
                <w:tcPr>
                  <w:tcW w:w="368" w:type="pct"/>
                  <w:tcBorders>
                    <w:tl2br w:val="nil"/>
                    <w:tr2bl w:val="nil"/>
                  </w:tcBorders>
                  <w:tcMar>
                    <w:top w:w="0" w:type="dxa"/>
                    <w:left w:w="57" w:type="dxa"/>
                    <w:bottom w:w="0" w:type="dxa"/>
                    <w:right w:w="57" w:type="dxa"/>
                  </w:tcMar>
                  <w:vAlign w:val="center"/>
                </w:tcPr>
                <w:p w14:paraId="73DC940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08826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63522730">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5.3</w:t>
                  </w:r>
                </w:p>
              </w:tc>
              <w:tc>
                <w:tcPr>
                  <w:tcW w:w="3031" w:type="pct"/>
                  <w:gridSpan w:val="2"/>
                  <w:tcBorders>
                    <w:tl2br w:val="nil"/>
                    <w:tr2bl w:val="nil"/>
                  </w:tcBorders>
                  <w:tcMar>
                    <w:top w:w="0" w:type="dxa"/>
                    <w:left w:w="57" w:type="dxa"/>
                    <w:bottom w:w="0" w:type="dxa"/>
                    <w:right w:w="57" w:type="dxa"/>
                  </w:tcMar>
                  <w:vAlign w:val="center"/>
                </w:tcPr>
                <w:p w14:paraId="61B64410">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废气收集系统排风罩（集气罩）的设置应符合GB/T16758的规定。</w:t>
                  </w:r>
                </w:p>
              </w:tc>
              <w:tc>
                <w:tcPr>
                  <w:tcW w:w="1246" w:type="pct"/>
                  <w:tcBorders>
                    <w:tl2br w:val="nil"/>
                    <w:tr2bl w:val="nil"/>
                  </w:tcBorders>
                  <w:tcMar>
                    <w:top w:w="0" w:type="dxa"/>
                    <w:left w:w="57" w:type="dxa"/>
                    <w:bottom w:w="0" w:type="dxa"/>
                    <w:right w:w="57" w:type="dxa"/>
                  </w:tcMar>
                  <w:vAlign w:val="center"/>
                </w:tcPr>
                <w:p w14:paraId="285DFBAC">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本项目废气收集系统的设置符合GB/T16758的规定。</w:t>
                  </w:r>
                </w:p>
              </w:tc>
              <w:tc>
                <w:tcPr>
                  <w:tcW w:w="368" w:type="pct"/>
                  <w:tcBorders>
                    <w:tl2br w:val="nil"/>
                    <w:tr2bl w:val="nil"/>
                  </w:tcBorders>
                  <w:tcMar>
                    <w:top w:w="0" w:type="dxa"/>
                    <w:left w:w="57" w:type="dxa"/>
                    <w:bottom w:w="0" w:type="dxa"/>
                    <w:right w:w="57" w:type="dxa"/>
                  </w:tcMar>
                  <w:vAlign w:val="center"/>
                </w:tcPr>
                <w:p w14:paraId="388CB181">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19E2F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0DE7FB90">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5.4</w:t>
                  </w:r>
                </w:p>
              </w:tc>
              <w:tc>
                <w:tcPr>
                  <w:tcW w:w="3031" w:type="pct"/>
                  <w:gridSpan w:val="2"/>
                  <w:tcBorders>
                    <w:tl2br w:val="nil"/>
                    <w:tr2bl w:val="nil"/>
                  </w:tcBorders>
                  <w:tcMar>
                    <w:top w:w="0" w:type="dxa"/>
                    <w:left w:w="57" w:type="dxa"/>
                    <w:bottom w:w="0" w:type="dxa"/>
                    <w:right w:w="57" w:type="dxa"/>
                  </w:tcMar>
                  <w:vAlign w:val="center"/>
                </w:tcPr>
                <w:p w14:paraId="17AA6F86">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废气收集系统输送管道应封闭，废气收集系统应在负压下运行，若处于正压状态，应对输送管道组件的密封点进行泄漏检测。</w:t>
                  </w:r>
                </w:p>
              </w:tc>
              <w:tc>
                <w:tcPr>
                  <w:tcW w:w="1246" w:type="pct"/>
                  <w:tcBorders>
                    <w:tl2br w:val="nil"/>
                    <w:tr2bl w:val="nil"/>
                  </w:tcBorders>
                  <w:tcMar>
                    <w:top w:w="0" w:type="dxa"/>
                    <w:left w:w="57" w:type="dxa"/>
                    <w:bottom w:w="0" w:type="dxa"/>
                    <w:right w:w="57" w:type="dxa"/>
                  </w:tcMar>
                  <w:vAlign w:val="center"/>
                </w:tcPr>
                <w:p w14:paraId="0085219A">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本项目废气收集系统输送管道密闭，且废气收集系统在负压下运行的。</w:t>
                  </w:r>
                </w:p>
              </w:tc>
              <w:tc>
                <w:tcPr>
                  <w:tcW w:w="368" w:type="pct"/>
                  <w:tcBorders>
                    <w:tl2br w:val="nil"/>
                    <w:tr2bl w:val="nil"/>
                  </w:tcBorders>
                  <w:tcMar>
                    <w:top w:w="0" w:type="dxa"/>
                    <w:left w:w="57" w:type="dxa"/>
                    <w:bottom w:w="0" w:type="dxa"/>
                    <w:right w:w="57" w:type="dxa"/>
                  </w:tcMar>
                  <w:vAlign w:val="center"/>
                </w:tcPr>
                <w:p w14:paraId="0E66D416">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4F1F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33990052">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5.5</w:t>
                  </w:r>
                </w:p>
              </w:tc>
              <w:tc>
                <w:tcPr>
                  <w:tcW w:w="3031" w:type="pct"/>
                  <w:gridSpan w:val="2"/>
                  <w:tcBorders>
                    <w:tl2br w:val="nil"/>
                    <w:tr2bl w:val="nil"/>
                  </w:tcBorders>
                  <w:tcMar>
                    <w:top w:w="0" w:type="dxa"/>
                    <w:left w:w="57" w:type="dxa"/>
                    <w:bottom w:w="0" w:type="dxa"/>
                    <w:right w:w="57" w:type="dxa"/>
                  </w:tcMar>
                  <w:vAlign w:val="center"/>
                </w:tcPr>
                <w:p w14:paraId="0FAE283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VOCs废气收集处理系统污染物排放应符合GB16297或相关行业排放标准规定。</w:t>
                  </w:r>
                </w:p>
              </w:tc>
              <w:tc>
                <w:tcPr>
                  <w:tcW w:w="1246" w:type="pct"/>
                  <w:tcBorders>
                    <w:tl2br w:val="nil"/>
                    <w:tr2bl w:val="nil"/>
                  </w:tcBorders>
                  <w:tcMar>
                    <w:top w:w="0" w:type="dxa"/>
                    <w:left w:w="57" w:type="dxa"/>
                    <w:bottom w:w="0" w:type="dxa"/>
                    <w:right w:w="57" w:type="dxa"/>
                  </w:tcMar>
                  <w:vAlign w:val="center"/>
                </w:tcPr>
                <w:p w14:paraId="274A713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VOCs废气收集处理系统污染物排放符合相关行业排放标准规定。</w:t>
                  </w:r>
                </w:p>
              </w:tc>
              <w:tc>
                <w:tcPr>
                  <w:tcW w:w="368" w:type="pct"/>
                  <w:tcBorders>
                    <w:tl2br w:val="nil"/>
                    <w:tr2bl w:val="nil"/>
                  </w:tcBorders>
                  <w:tcMar>
                    <w:top w:w="0" w:type="dxa"/>
                    <w:left w:w="57" w:type="dxa"/>
                    <w:bottom w:w="0" w:type="dxa"/>
                    <w:right w:w="57" w:type="dxa"/>
                  </w:tcMar>
                  <w:vAlign w:val="center"/>
                </w:tcPr>
                <w:p w14:paraId="6DE5D38F">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7839A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7218E95E">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5.6</w:t>
                  </w:r>
                </w:p>
              </w:tc>
              <w:tc>
                <w:tcPr>
                  <w:tcW w:w="3031" w:type="pct"/>
                  <w:gridSpan w:val="2"/>
                  <w:tcBorders>
                    <w:tl2br w:val="nil"/>
                    <w:tr2bl w:val="nil"/>
                  </w:tcBorders>
                  <w:tcMar>
                    <w:top w:w="0" w:type="dxa"/>
                    <w:left w:w="57" w:type="dxa"/>
                    <w:bottom w:w="0" w:type="dxa"/>
                    <w:right w:w="57" w:type="dxa"/>
                  </w:tcMar>
                  <w:vAlign w:val="center"/>
                </w:tcPr>
                <w:p w14:paraId="40BDAFB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收集的废气中NMHC初始排放速率≥3kg/h时，应配置VOCs处理措施，处理效率不应低于80%；对于重点地区，收集的废气中NMHC初始排放速率≥2kg/h时，应配置VOCs处理措施，处理效率不应低于80%；采用的原辅材料符合国家有关低VOCs含量产品规定的除外。</w:t>
                  </w:r>
                </w:p>
              </w:tc>
              <w:tc>
                <w:tcPr>
                  <w:tcW w:w="1246" w:type="pct"/>
                  <w:tcBorders>
                    <w:tl2br w:val="nil"/>
                    <w:tr2bl w:val="nil"/>
                  </w:tcBorders>
                  <w:tcMar>
                    <w:top w:w="0" w:type="dxa"/>
                    <w:left w:w="57" w:type="dxa"/>
                    <w:bottom w:w="0" w:type="dxa"/>
                    <w:right w:w="57" w:type="dxa"/>
                  </w:tcMar>
                  <w:vAlign w:val="center"/>
                </w:tcPr>
                <w:p w14:paraId="480BB16A">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本项目属于重点地区，已配置对应处理措施，处理效率满足要求。</w:t>
                  </w:r>
                </w:p>
              </w:tc>
              <w:tc>
                <w:tcPr>
                  <w:tcW w:w="368" w:type="pct"/>
                  <w:tcBorders>
                    <w:tl2br w:val="nil"/>
                    <w:tr2bl w:val="nil"/>
                  </w:tcBorders>
                  <w:tcMar>
                    <w:top w:w="0" w:type="dxa"/>
                    <w:left w:w="57" w:type="dxa"/>
                    <w:bottom w:w="0" w:type="dxa"/>
                    <w:right w:w="57" w:type="dxa"/>
                  </w:tcMar>
                  <w:vAlign w:val="center"/>
                </w:tcPr>
                <w:p w14:paraId="03A1FB7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03822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567912FB">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5.7</w:t>
                  </w:r>
                </w:p>
              </w:tc>
              <w:tc>
                <w:tcPr>
                  <w:tcW w:w="3031" w:type="pct"/>
                  <w:gridSpan w:val="2"/>
                  <w:tcBorders>
                    <w:tl2br w:val="nil"/>
                    <w:tr2bl w:val="nil"/>
                  </w:tcBorders>
                  <w:tcMar>
                    <w:top w:w="0" w:type="dxa"/>
                    <w:left w:w="57" w:type="dxa"/>
                    <w:bottom w:w="0" w:type="dxa"/>
                    <w:right w:w="57" w:type="dxa"/>
                  </w:tcMar>
                  <w:vAlign w:val="center"/>
                </w:tcPr>
                <w:p w14:paraId="7DD9FCD3">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吸附、吸收、冷凝、生物、膜分离等其他VOCs处理设施，以实测质量浓度作为达标）判定依据，不得稀释排放。</w:t>
                  </w:r>
                </w:p>
              </w:tc>
              <w:tc>
                <w:tcPr>
                  <w:tcW w:w="1246" w:type="pct"/>
                  <w:tcBorders>
                    <w:tl2br w:val="nil"/>
                    <w:tr2bl w:val="nil"/>
                  </w:tcBorders>
                  <w:tcMar>
                    <w:top w:w="0" w:type="dxa"/>
                    <w:left w:w="57" w:type="dxa"/>
                    <w:bottom w:w="0" w:type="dxa"/>
                    <w:right w:w="57" w:type="dxa"/>
                  </w:tcMar>
                  <w:vAlign w:val="center"/>
                </w:tcPr>
                <w:p w14:paraId="2EC51C18">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本项目VOCs处理设施采用碱喷淋</w:t>
                  </w:r>
                  <w:r>
                    <w:rPr>
                      <w:rFonts w:hint="default" w:ascii="Times New Roman" w:hAnsi="Times New Roman" w:cs="Times New Roman"/>
                      <w:color w:val="000000"/>
                      <w:highlight w:val="none"/>
                      <w:lang w:val="en-US"/>
                    </w:rPr>
                    <w:t>+</w:t>
                  </w:r>
                  <w:r>
                    <w:rPr>
                      <w:rFonts w:hint="eastAsia"/>
                      <w:lang w:val="en-US" w:eastAsia="zh-CN"/>
                    </w:rPr>
                    <w:t>除雾装置</w:t>
                  </w:r>
                  <w:r>
                    <w:rPr>
                      <w:rFonts w:hint="default" w:ascii="Times New Roman" w:hAnsi="Times New Roman" w:cs="Times New Roman"/>
                      <w:szCs w:val="21"/>
                      <w:highlight w:val="none"/>
                    </w:rPr>
                    <w:t>+2级活性炭吸附，可以达标排放。</w:t>
                  </w:r>
                </w:p>
              </w:tc>
              <w:tc>
                <w:tcPr>
                  <w:tcW w:w="368" w:type="pct"/>
                  <w:tcBorders>
                    <w:tl2br w:val="nil"/>
                    <w:tr2bl w:val="nil"/>
                  </w:tcBorders>
                  <w:tcMar>
                    <w:top w:w="0" w:type="dxa"/>
                    <w:left w:w="57" w:type="dxa"/>
                    <w:bottom w:w="0" w:type="dxa"/>
                    <w:right w:w="57" w:type="dxa"/>
                  </w:tcMar>
                  <w:vAlign w:val="center"/>
                </w:tcPr>
                <w:p w14:paraId="5AD39EDB">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BEFB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32D645B7">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5.8</w:t>
                  </w:r>
                </w:p>
              </w:tc>
              <w:tc>
                <w:tcPr>
                  <w:tcW w:w="3031" w:type="pct"/>
                  <w:gridSpan w:val="2"/>
                  <w:tcBorders>
                    <w:tl2br w:val="nil"/>
                    <w:tr2bl w:val="nil"/>
                  </w:tcBorders>
                  <w:tcMar>
                    <w:top w:w="0" w:type="dxa"/>
                    <w:left w:w="57" w:type="dxa"/>
                    <w:bottom w:w="0" w:type="dxa"/>
                    <w:right w:w="57" w:type="dxa"/>
                  </w:tcMar>
                  <w:vAlign w:val="center"/>
                </w:tcPr>
                <w:p w14:paraId="613D4D3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排气筒高度不低于15m（因安全考虑或有特殊工艺要求的除外），具体高度以及与周围建筑物的相对高度关系应根据环境影响评价文件确定。</w:t>
                  </w:r>
                </w:p>
              </w:tc>
              <w:tc>
                <w:tcPr>
                  <w:tcW w:w="1246" w:type="pct"/>
                  <w:tcBorders>
                    <w:tl2br w:val="nil"/>
                    <w:tr2bl w:val="nil"/>
                  </w:tcBorders>
                  <w:tcMar>
                    <w:top w:w="0" w:type="dxa"/>
                    <w:left w:w="57" w:type="dxa"/>
                    <w:bottom w:w="0" w:type="dxa"/>
                    <w:right w:w="57" w:type="dxa"/>
                  </w:tcMar>
                  <w:vAlign w:val="center"/>
                </w:tcPr>
                <w:p w14:paraId="07C7A7EC">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根据环境影响评价文件，本项目排气筒高度15m。</w:t>
                  </w:r>
                </w:p>
              </w:tc>
              <w:tc>
                <w:tcPr>
                  <w:tcW w:w="368" w:type="pct"/>
                  <w:tcBorders>
                    <w:tl2br w:val="nil"/>
                    <w:tr2bl w:val="nil"/>
                  </w:tcBorders>
                  <w:tcMar>
                    <w:top w:w="0" w:type="dxa"/>
                    <w:left w:w="57" w:type="dxa"/>
                    <w:bottom w:w="0" w:type="dxa"/>
                    <w:right w:w="57" w:type="dxa"/>
                  </w:tcMar>
                  <w:vAlign w:val="center"/>
                </w:tcPr>
                <w:p w14:paraId="1181CF0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3619F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75F903D3">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5.9</w:t>
                  </w:r>
                </w:p>
              </w:tc>
              <w:tc>
                <w:tcPr>
                  <w:tcW w:w="3031" w:type="pct"/>
                  <w:gridSpan w:val="2"/>
                  <w:tcBorders>
                    <w:tl2br w:val="nil"/>
                    <w:tr2bl w:val="nil"/>
                  </w:tcBorders>
                  <w:tcMar>
                    <w:top w:w="0" w:type="dxa"/>
                    <w:left w:w="57" w:type="dxa"/>
                    <w:bottom w:w="0" w:type="dxa"/>
                    <w:right w:w="57" w:type="dxa"/>
                  </w:tcMar>
                  <w:vAlign w:val="center"/>
                </w:tcPr>
                <w:p w14:paraId="6D14BB8C">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当执行不同排放控制要求的废气合并排气筒排放时，应在废气混合前进行检测，并执行相应的排放控制要求；若可选择的控制位置只能对混合后的废气进行检测，则应按各排放控制要求中最严格的规定执行。</w:t>
                  </w:r>
                </w:p>
              </w:tc>
              <w:tc>
                <w:tcPr>
                  <w:tcW w:w="1246" w:type="pct"/>
                  <w:tcBorders>
                    <w:tl2br w:val="nil"/>
                    <w:tr2bl w:val="nil"/>
                  </w:tcBorders>
                  <w:tcMar>
                    <w:top w:w="0" w:type="dxa"/>
                    <w:left w:w="57" w:type="dxa"/>
                    <w:bottom w:w="0" w:type="dxa"/>
                    <w:right w:w="57" w:type="dxa"/>
                  </w:tcMar>
                  <w:vAlign w:val="center"/>
                </w:tcPr>
                <w:p w14:paraId="4F6BDA7A">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本项目废气按照严格标准规定执行。</w:t>
                  </w:r>
                </w:p>
              </w:tc>
              <w:tc>
                <w:tcPr>
                  <w:tcW w:w="368" w:type="pct"/>
                  <w:tcBorders>
                    <w:tl2br w:val="nil"/>
                    <w:tr2bl w:val="nil"/>
                  </w:tcBorders>
                  <w:tcMar>
                    <w:top w:w="0" w:type="dxa"/>
                    <w:left w:w="57" w:type="dxa"/>
                    <w:bottom w:w="0" w:type="dxa"/>
                    <w:right w:w="57" w:type="dxa"/>
                  </w:tcMar>
                  <w:vAlign w:val="center"/>
                </w:tcPr>
                <w:p w14:paraId="77A9547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B1EB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1D9A8DC8">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6</w:t>
                  </w:r>
                </w:p>
              </w:tc>
              <w:tc>
                <w:tcPr>
                  <w:tcW w:w="4646" w:type="pct"/>
                  <w:gridSpan w:val="4"/>
                  <w:tcBorders>
                    <w:tl2br w:val="nil"/>
                    <w:tr2bl w:val="nil"/>
                  </w:tcBorders>
                  <w:tcMar>
                    <w:top w:w="0" w:type="dxa"/>
                    <w:left w:w="57" w:type="dxa"/>
                    <w:bottom w:w="0" w:type="dxa"/>
                    <w:right w:w="57" w:type="dxa"/>
                  </w:tcMar>
                  <w:vAlign w:val="center"/>
                </w:tcPr>
                <w:p w14:paraId="4D3DE8F4">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《山东省“十四五”生态环境保护规划》符合性分析</w:t>
                  </w:r>
                </w:p>
              </w:tc>
            </w:tr>
            <w:tr w14:paraId="28D65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43FCA6FE">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6.1</w:t>
                  </w:r>
                </w:p>
              </w:tc>
              <w:tc>
                <w:tcPr>
                  <w:tcW w:w="3031" w:type="pct"/>
                  <w:gridSpan w:val="2"/>
                  <w:tcBorders>
                    <w:tl2br w:val="nil"/>
                    <w:tr2bl w:val="nil"/>
                  </w:tcBorders>
                  <w:tcMar>
                    <w:top w:w="0" w:type="dxa"/>
                    <w:left w:w="57" w:type="dxa"/>
                    <w:bottom w:w="0" w:type="dxa"/>
                    <w:right w:w="57" w:type="dxa"/>
                  </w:tcMar>
                  <w:vAlign w:val="center"/>
                </w:tcPr>
                <w:p w14:paraId="4E9F3F9B">
                  <w:pPr>
                    <w:pStyle w:val="267"/>
                    <w:spacing w:before="28" w:line="219" w:lineRule="auto"/>
                    <w:jc w:val="center"/>
                    <w:rPr>
                      <w:rFonts w:hint="default" w:ascii="Times New Roman" w:hAnsi="Times New Roman" w:cs="Times New Roman"/>
                      <w:highlight w:val="none"/>
                      <w:lang w:eastAsia="zh-CN"/>
                    </w:rPr>
                  </w:pPr>
                  <w:r>
                    <w:rPr>
                      <w:rFonts w:hint="default" w:ascii="Times New Roman" w:hAnsi="Times New Roman" w:cs="Times New Roman"/>
                      <w:spacing w:val="1"/>
                      <w:highlight w:val="none"/>
                      <w:lang w:eastAsia="zh-CN"/>
                    </w:rPr>
                    <w:t>坚决淘汰落后动能。严格落实《产业结构调整指导目</w:t>
                  </w:r>
                  <w:r>
                    <w:rPr>
                      <w:rFonts w:hint="default" w:ascii="Times New Roman" w:hAnsi="Times New Roman" w:cs="Times New Roman"/>
                      <w:spacing w:val="-7"/>
                      <w:highlight w:val="none"/>
                      <w:lang w:eastAsia="zh-CN"/>
                    </w:rPr>
                    <w:t>录》加快推动“淘汰类”生产工艺和产品退出。精准聚</w:t>
                  </w:r>
                  <w:r>
                    <w:rPr>
                      <w:rFonts w:hint="default" w:ascii="Times New Roman" w:hAnsi="Times New Roman" w:cs="Times New Roman"/>
                      <w:spacing w:val="-1"/>
                      <w:highlight w:val="none"/>
                      <w:lang w:eastAsia="zh-CN"/>
                    </w:rPr>
                    <w:t>焦钢铁、地炼、焦化、煤电、水泥、轮胎、煤炭、化工等8个重点行业，加快淘汰低效落后动能。进一步</w:t>
                  </w:r>
                  <w:r>
                    <w:rPr>
                      <w:rFonts w:hint="default" w:ascii="Times New Roman" w:hAnsi="Times New Roman" w:cs="Times New Roman"/>
                      <w:spacing w:val="-3"/>
                      <w:highlight w:val="none"/>
                      <w:lang w:eastAsia="zh-CN"/>
                    </w:rPr>
                    <w:t>健全并严格落实环保、安全、技术、能耗、效益标</w:t>
                  </w:r>
                  <w:r>
                    <w:rPr>
                      <w:rFonts w:hint="default" w:ascii="Times New Roman" w:hAnsi="Times New Roman" w:cs="Times New Roman"/>
                      <w:spacing w:val="-4"/>
                      <w:highlight w:val="none"/>
                      <w:lang w:eastAsia="zh-CN"/>
                    </w:rPr>
                    <w:t>准，</w:t>
                  </w:r>
                  <w:r>
                    <w:rPr>
                      <w:rFonts w:hint="default" w:ascii="Times New Roman" w:hAnsi="Times New Roman" w:cs="Times New Roman"/>
                      <w:spacing w:val="-1"/>
                      <w:highlight w:val="none"/>
                      <w:lang w:eastAsia="zh-CN"/>
                    </w:rPr>
                    <w:t>各市制定具体措施，重点围绕再生橡胶、废旧塑料再</w:t>
                  </w:r>
                  <w:r>
                    <w:rPr>
                      <w:rFonts w:hint="default" w:ascii="Times New Roman" w:hAnsi="Times New Roman" w:cs="Times New Roman"/>
                      <w:spacing w:val="3"/>
                      <w:highlight w:val="none"/>
                      <w:lang w:eastAsia="zh-CN"/>
                    </w:rPr>
                    <w:t>生、砖瓦、石灰、石膏等行业，分类组织实施转移、</w:t>
                  </w:r>
                  <w:r>
                    <w:rPr>
                      <w:rFonts w:hint="default" w:ascii="Times New Roman" w:hAnsi="Times New Roman" w:cs="Times New Roman"/>
                      <w:spacing w:val="-2"/>
                      <w:highlight w:val="none"/>
                      <w:lang w:eastAsia="zh-CN"/>
                    </w:rPr>
                    <w:t>压减、整合、关停任务，推动低效落后产能退出。</w:t>
                  </w:r>
                </w:p>
              </w:tc>
              <w:tc>
                <w:tcPr>
                  <w:tcW w:w="1246" w:type="pct"/>
                  <w:tcBorders>
                    <w:tl2br w:val="nil"/>
                    <w:tr2bl w:val="nil"/>
                  </w:tcBorders>
                  <w:tcMar>
                    <w:top w:w="0" w:type="dxa"/>
                    <w:left w:w="57" w:type="dxa"/>
                    <w:bottom w:w="0" w:type="dxa"/>
                    <w:right w:w="57" w:type="dxa"/>
                  </w:tcMar>
                  <w:vAlign w:val="center"/>
                </w:tcPr>
                <w:p w14:paraId="4E57F546">
                  <w:pPr>
                    <w:pStyle w:val="45"/>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本项目不属于《产业结构调整指导目录》中的“淘汰类”。</w:t>
                  </w:r>
                </w:p>
              </w:tc>
              <w:tc>
                <w:tcPr>
                  <w:tcW w:w="368" w:type="pct"/>
                  <w:tcBorders>
                    <w:tl2br w:val="nil"/>
                    <w:tr2bl w:val="nil"/>
                  </w:tcBorders>
                  <w:tcMar>
                    <w:top w:w="0" w:type="dxa"/>
                    <w:left w:w="57" w:type="dxa"/>
                    <w:bottom w:w="0" w:type="dxa"/>
                    <w:right w:w="57" w:type="dxa"/>
                  </w:tcMar>
                  <w:vAlign w:val="center"/>
                </w:tcPr>
                <w:p w14:paraId="1F6961B6">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40E44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40D8EA46">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6.2</w:t>
                  </w:r>
                </w:p>
              </w:tc>
              <w:tc>
                <w:tcPr>
                  <w:tcW w:w="3031" w:type="pct"/>
                  <w:gridSpan w:val="2"/>
                  <w:tcBorders>
                    <w:tl2br w:val="nil"/>
                    <w:tr2bl w:val="nil"/>
                  </w:tcBorders>
                  <w:tcMar>
                    <w:top w:w="0" w:type="dxa"/>
                    <w:left w:w="57" w:type="dxa"/>
                    <w:bottom w:w="0" w:type="dxa"/>
                    <w:right w:w="57" w:type="dxa"/>
                  </w:tcMar>
                  <w:vAlign w:val="center"/>
                </w:tcPr>
                <w:p w14:paraId="5CA0567F">
                  <w:pPr>
                    <w:pStyle w:val="267"/>
                    <w:spacing w:before="30" w:line="228" w:lineRule="auto"/>
                    <w:ind w:right="67"/>
                    <w:jc w:val="center"/>
                    <w:rPr>
                      <w:rFonts w:hint="default" w:ascii="Times New Roman" w:hAnsi="Times New Roman" w:cs="Times New Roman"/>
                      <w:highlight w:val="none"/>
                      <w:lang w:eastAsia="zh-CN"/>
                    </w:rPr>
                  </w:pPr>
                  <w:r>
                    <w:rPr>
                      <w:rFonts w:hint="default" w:ascii="Times New Roman" w:hAnsi="Times New Roman" w:cs="Times New Roman"/>
                      <w:spacing w:val="-1"/>
                      <w:highlight w:val="none"/>
                      <w:lang w:eastAsia="zh-CN"/>
                    </w:rPr>
                    <w:t>着力提高工业园区绿色化水平。提高铸造、有色、化</w:t>
                  </w:r>
                  <w:r>
                    <w:rPr>
                      <w:rFonts w:hint="default" w:ascii="Times New Roman" w:hAnsi="Times New Roman" w:cs="Times New Roman"/>
                      <w:highlight w:val="none"/>
                      <w:lang w:eastAsia="zh-CN"/>
                    </w:rPr>
                    <w:t>工、砖瓦、玻璃、耐火材料、陶瓷、制革、印染等行业的园区集聚水平，深入推进园区循环化改造。</w:t>
                  </w:r>
                </w:p>
              </w:tc>
              <w:tc>
                <w:tcPr>
                  <w:tcW w:w="1246" w:type="pct"/>
                  <w:tcBorders>
                    <w:tl2br w:val="nil"/>
                    <w:tr2bl w:val="nil"/>
                  </w:tcBorders>
                  <w:tcMar>
                    <w:top w:w="0" w:type="dxa"/>
                    <w:left w:w="57" w:type="dxa"/>
                    <w:bottom w:w="0" w:type="dxa"/>
                    <w:right w:w="57" w:type="dxa"/>
                  </w:tcMar>
                  <w:vAlign w:val="center"/>
                </w:tcPr>
                <w:p w14:paraId="0E232287">
                  <w:pPr>
                    <w:pStyle w:val="45"/>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本项目在齐鲁化学工业园。</w:t>
                  </w:r>
                </w:p>
              </w:tc>
              <w:tc>
                <w:tcPr>
                  <w:tcW w:w="368" w:type="pct"/>
                  <w:tcBorders>
                    <w:tl2br w:val="nil"/>
                    <w:tr2bl w:val="nil"/>
                  </w:tcBorders>
                  <w:tcMar>
                    <w:top w:w="0" w:type="dxa"/>
                    <w:left w:w="57" w:type="dxa"/>
                    <w:bottom w:w="0" w:type="dxa"/>
                    <w:right w:w="57" w:type="dxa"/>
                  </w:tcMar>
                  <w:vAlign w:val="center"/>
                </w:tcPr>
                <w:p w14:paraId="74F0471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F65C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1108D27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6.3</w:t>
                  </w:r>
                </w:p>
              </w:tc>
              <w:tc>
                <w:tcPr>
                  <w:tcW w:w="3031" w:type="pct"/>
                  <w:gridSpan w:val="2"/>
                  <w:tcBorders>
                    <w:tl2br w:val="nil"/>
                    <w:tr2bl w:val="nil"/>
                  </w:tcBorders>
                  <w:tcMar>
                    <w:top w:w="0" w:type="dxa"/>
                    <w:left w:w="57" w:type="dxa"/>
                    <w:bottom w:w="0" w:type="dxa"/>
                    <w:right w:w="57" w:type="dxa"/>
                  </w:tcMar>
                  <w:vAlign w:val="center"/>
                </w:tcPr>
                <w:p w14:paraId="1A7E7A38">
                  <w:pPr>
                    <w:pStyle w:val="267"/>
                    <w:spacing w:before="49" w:line="232" w:lineRule="auto"/>
                    <w:ind w:right="32"/>
                    <w:jc w:val="center"/>
                    <w:rPr>
                      <w:rFonts w:hint="default" w:ascii="Times New Roman" w:hAnsi="Times New Roman" w:cs="Times New Roman"/>
                      <w:highlight w:val="none"/>
                      <w:lang w:eastAsia="zh-CN"/>
                    </w:rPr>
                  </w:pPr>
                  <w:r>
                    <w:rPr>
                      <w:rFonts w:hint="default" w:ascii="Times New Roman" w:hAnsi="Times New Roman" w:cs="Times New Roman"/>
                      <w:spacing w:val="-1"/>
                      <w:highlight w:val="none"/>
                      <w:lang w:eastAsia="zh-CN"/>
                    </w:rPr>
                    <w:t>优化能源供给结构。积极推进能源生产和消费革命，加快构建清洁低碳安全高效能源体系，推进能源低碳化转型。严控化石能源消费总量，推动煤炭等化石能源清洁高效利用。实施可再生能源替代行动，加快推</w:t>
                  </w:r>
                  <w:r>
                    <w:rPr>
                      <w:rFonts w:hint="default" w:ascii="Times New Roman" w:hAnsi="Times New Roman" w:cs="Times New Roman"/>
                      <w:highlight w:val="none"/>
                      <w:lang w:eastAsia="zh-CN"/>
                    </w:rPr>
                    <w:t>进风电、光伏、生物质等可再生能源发展。</w:t>
                  </w:r>
                </w:p>
              </w:tc>
              <w:tc>
                <w:tcPr>
                  <w:tcW w:w="1246" w:type="pct"/>
                  <w:tcBorders>
                    <w:tl2br w:val="nil"/>
                    <w:tr2bl w:val="nil"/>
                  </w:tcBorders>
                  <w:tcMar>
                    <w:top w:w="0" w:type="dxa"/>
                    <w:left w:w="57" w:type="dxa"/>
                    <w:bottom w:w="0" w:type="dxa"/>
                    <w:right w:w="57" w:type="dxa"/>
                  </w:tcMar>
                  <w:vAlign w:val="center"/>
                </w:tcPr>
                <w:p w14:paraId="0123742A">
                  <w:pPr>
                    <w:pStyle w:val="45"/>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本项目使用的能源为清洁能源。</w:t>
                  </w:r>
                </w:p>
              </w:tc>
              <w:tc>
                <w:tcPr>
                  <w:tcW w:w="368" w:type="pct"/>
                  <w:tcBorders>
                    <w:tl2br w:val="nil"/>
                    <w:tr2bl w:val="nil"/>
                  </w:tcBorders>
                  <w:tcMar>
                    <w:top w:w="0" w:type="dxa"/>
                    <w:left w:w="57" w:type="dxa"/>
                    <w:bottom w:w="0" w:type="dxa"/>
                    <w:right w:w="57" w:type="dxa"/>
                  </w:tcMar>
                  <w:vAlign w:val="center"/>
                </w:tcPr>
                <w:p w14:paraId="482C1D1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7139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5DC3A425">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6.4</w:t>
                  </w:r>
                </w:p>
              </w:tc>
              <w:tc>
                <w:tcPr>
                  <w:tcW w:w="3031" w:type="pct"/>
                  <w:gridSpan w:val="2"/>
                  <w:tcBorders>
                    <w:tl2br w:val="nil"/>
                    <w:tr2bl w:val="nil"/>
                  </w:tcBorders>
                  <w:tcMar>
                    <w:top w:w="0" w:type="dxa"/>
                    <w:left w:w="57" w:type="dxa"/>
                    <w:bottom w:w="0" w:type="dxa"/>
                    <w:right w:w="57" w:type="dxa"/>
                  </w:tcMar>
                  <w:vAlign w:val="center"/>
                </w:tcPr>
                <w:p w14:paraId="357D1647">
                  <w:pPr>
                    <w:pStyle w:val="267"/>
                    <w:spacing w:before="62" w:line="228" w:lineRule="auto"/>
                    <w:ind w:right="70"/>
                    <w:jc w:val="center"/>
                    <w:rPr>
                      <w:rFonts w:hint="default" w:ascii="Times New Roman" w:hAnsi="Times New Roman" w:cs="Times New Roman"/>
                      <w:highlight w:val="none"/>
                      <w:lang w:eastAsia="zh-CN"/>
                    </w:rPr>
                  </w:pPr>
                  <w:r>
                    <w:rPr>
                      <w:rFonts w:hint="default" w:ascii="Times New Roman" w:hAnsi="Times New Roman" w:cs="Times New Roman"/>
                      <w:highlight w:val="none"/>
                      <w:lang w:eastAsia="zh-CN"/>
                    </w:rPr>
                    <w:t>实施重点行业NOx等污染物深度治理。持续推进钢</w:t>
                  </w:r>
                  <w:r>
                    <w:rPr>
                      <w:rFonts w:hint="default" w:ascii="Times New Roman" w:hAnsi="Times New Roman" w:cs="Times New Roman"/>
                      <w:spacing w:val="-1"/>
                      <w:highlight w:val="none"/>
                      <w:lang w:eastAsia="zh-CN"/>
                    </w:rPr>
                    <w:t>铁行业超低排放改造，开展焦化、水泥行业超低排放</w:t>
                  </w:r>
                  <w:r>
                    <w:rPr>
                      <w:rFonts w:hint="default" w:ascii="Times New Roman" w:hAnsi="Times New Roman" w:cs="Times New Roman"/>
                      <w:highlight w:val="none"/>
                      <w:lang w:eastAsia="zh-CN"/>
                    </w:rPr>
                    <w:t>改造。推进玻璃、陶瓷、铸造、铁合金、有色等行业</w:t>
                  </w:r>
                  <w:r>
                    <w:rPr>
                      <w:rFonts w:hint="default" w:ascii="Times New Roman" w:hAnsi="Times New Roman" w:cs="Times New Roman"/>
                      <w:spacing w:val="-1"/>
                      <w:highlight w:val="none"/>
                      <w:lang w:eastAsia="zh-CN"/>
                    </w:rPr>
                    <w:t>污染深度治理。加强燃煤机组、锅炉、钢铁污染治理</w:t>
                  </w:r>
                  <w:r>
                    <w:rPr>
                      <w:rFonts w:hint="default" w:ascii="Times New Roman" w:hAnsi="Times New Roman" w:cs="Times New Roman"/>
                      <w:highlight w:val="none"/>
                      <w:lang w:eastAsia="zh-CN"/>
                    </w:rPr>
                    <w:t>设施运行管控，确保按照超低排放要求稳定运行。</w:t>
                  </w:r>
                </w:p>
              </w:tc>
              <w:tc>
                <w:tcPr>
                  <w:tcW w:w="1246" w:type="pct"/>
                  <w:tcBorders>
                    <w:tl2br w:val="nil"/>
                    <w:tr2bl w:val="nil"/>
                  </w:tcBorders>
                  <w:tcMar>
                    <w:top w:w="0" w:type="dxa"/>
                    <w:left w:w="57" w:type="dxa"/>
                    <w:bottom w:w="0" w:type="dxa"/>
                    <w:right w:w="57" w:type="dxa"/>
                  </w:tcMar>
                  <w:vAlign w:val="center"/>
                </w:tcPr>
                <w:p w14:paraId="1ACC7EC8">
                  <w:pPr>
                    <w:pStyle w:val="45"/>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本项目不涉及。</w:t>
                  </w:r>
                </w:p>
              </w:tc>
              <w:tc>
                <w:tcPr>
                  <w:tcW w:w="368" w:type="pct"/>
                  <w:tcBorders>
                    <w:tl2br w:val="nil"/>
                    <w:tr2bl w:val="nil"/>
                  </w:tcBorders>
                  <w:tcMar>
                    <w:top w:w="0" w:type="dxa"/>
                    <w:left w:w="57" w:type="dxa"/>
                    <w:bottom w:w="0" w:type="dxa"/>
                    <w:right w:w="57" w:type="dxa"/>
                  </w:tcMar>
                  <w:vAlign w:val="center"/>
                </w:tcPr>
                <w:p w14:paraId="3228821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62585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25CD5E48">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7</w:t>
                  </w:r>
                </w:p>
              </w:tc>
              <w:tc>
                <w:tcPr>
                  <w:tcW w:w="4646" w:type="pct"/>
                  <w:gridSpan w:val="4"/>
                  <w:tcBorders>
                    <w:tl2br w:val="nil"/>
                    <w:tr2bl w:val="nil"/>
                  </w:tcBorders>
                  <w:tcMar>
                    <w:top w:w="0" w:type="dxa"/>
                    <w:left w:w="57" w:type="dxa"/>
                    <w:bottom w:w="0" w:type="dxa"/>
                    <w:right w:w="57" w:type="dxa"/>
                  </w:tcMar>
                  <w:vAlign w:val="center"/>
                </w:tcPr>
                <w:p w14:paraId="52A6C174">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《关于严格项目审批工作坚决防止新上“散乱污”项目的通知》鲁环字〔2021〕58号文符合性分析</w:t>
                  </w:r>
                </w:p>
              </w:tc>
            </w:tr>
            <w:tr w14:paraId="75063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72D0418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7.1</w:t>
                  </w:r>
                </w:p>
              </w:tc>
              <w:tc>
                <w:tcPr>
                  <w:tcW w:w="3031" w:type="pct"/>
                  <w:gridSpan w:val="2"/>
                  <w:tcBorders>
                    <w:tl2br w:val="nil"/>
                    <w:tr2bl w:val="nil"/>
                  </w:tcBorders>
                  <w:tcMar>
                    <w:top w:w="0" w:type="dxa"/>
                    <w:left w:w="57" w:type="dxa"/>
                    <w:bottom w:w="0" w:type="dxa"/>
                    <w:right w:w="57" w:type="dxa"/>
                  </w:tcMar>
                  <w:vAlign w:val="center"/>
                </w:tcPr>
                <w:p w14:paraId="3A6FAE77">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1、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p>
              </w:tc>
              <w:tc>
                <w:tcPr>
                  <w:tcW w:w="1246" w:type="pct"/>
                  <w:tcBorders>
                    <w:tl2br w:val="nil"/>
                    <w:tr2bl w:val="nil"/>
                  </w:tcBorders>
                  <w:tcMar>
                    <w:top w:w="0" w:type="dxa"/>
                    <w:left w:w="57" w:type="dxa"/>
                    <w:bottom w:w="0" w:type="dxa"/>
                    <w:right w:w="57" w:type="dxa"/>
                  </w:tcMar>
                  <w:vAlign w:val="center"/>
                </w:tcPr>
                <w:p w14:paraId="6984E8F7">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本项目对照《产业结构调整指导目录（2024年本）》，属于允许建设项目，符合国家产业政策。</w:t>
                  </w:r>
                </w:p>
              </w:tc>
              <w:tc>
                <w:tcPr>
                  <w:tcW w:w="368" w:type="pct"/>
                  <w:tcBorders>
                    <w:tl2br w:val="nil"/>
                    <w:tr2bl w:val="nil"/>
                  </w:tcBorders>
                  <w:tcMar>
                    <w:top w:w="0" w:type="dxa"/>
                    <w:left w:w="57" w:type="dxa"/>
                    <w:bottom w:w="0" w:type="dxa"/>
                    <w:right w:w="57" w:type="dxa"/>
                  </w:tcMar>
                  <w:vAlign w:val="center"/>
                </w:tcPr>
                <w:p w14:paraId="2AEA2E7D">
                  <w:pPr>
                    <w:pStyle w:val="267"/>
                    <w:spacing w:before="49" w:line="232" w:lineRule="auto"/>
                    <w:ind w:right="32"/>
                    <w:jc w:val="center"/>
                    <w:rPr>
                      <w:rFonts w:hint="default" w:ascii="Times New Roman" w:hAnsi="Times New Roman" w:cs="Times New Roman"/>
                      <w:spacing w:val="-1"/>
                      <w:highlight w:val="none"/>
                    </w:rPr>
                  </w:pPr>
                  <w:r>
                    <w:rPr>
                      <w:rFonts w:hint="default" w:ascii="Times New Roman" w:hAnsi="Times New Roman" w:cs="Times New Roman"/>
                      <w:highlight w:val="none"/>
                    </w:rPr>
                    <w:t>符合</w:t>
                  </w:r>
                </w:p>
              </w:tc>
            </w:tr>
            <w:tr w14:paraId="2EBC6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0A120F80">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7.2</w:t>
                  </w:r>
                </w:p>
              </w:tc>
              <w:tc>
                <w:tcPr>
                  <w:tcW w:w="3031" w:type="pct"/>
                  <w:gridSpan w:val="2"/>
                  <w:tcBorders>
                    <w:tl2br w:val="nil"/>
                    <w:tr2bl w:val="nil"/>
                  </w:tcBorders>
                  <w:tcMar>
                    <w:top w:w="0" w:type="dxa"/>
                    <w:left w:w="57" w:type="dxa"/>
                    <w:bottom w:w="0" w:type="dxa"/>
                    <w:right w:w="57" w:type="dxa"/>
                  </w:tcMar>
                  <w:vAlign w:val="center"/>
                </w:tcPr>
                <w:p w14:paraId="71E94F94">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2、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246" w:type="pct"/>
                  <w:tcBorders>
                    <w:tl2br w:val="nil"/>
                    <w:tr2bl w:val="nil"/>
                  </w:tcBorders>
                  <w:tcMar>
                    <w:top w:w="0" w:type="dxa"/>
                    <w:left w:w="57" w:type="dxa"/>
                    <w:bottom w:w="0" w:type="dxa"/>
                    <w:right w:w="57" w:type="dxa"/>
                  </w:tcMar>
                  <w:vAlign w:val="center"/>
                </w:tcPr>
                <w:p w14:paraId="1E9ED5CE">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本项目位于齐鲁化学工业区内，使用现有厂房进行建设，符合国土空间规划、产业发展规划等要求。</w:t>
                  </w:r>
                </w:p>
              </w:tc>
              <w:tc>
                <w:tcPr>
                  <w:tcW w:w="368" w:type="pct"/>
                  <w:tcBorders>
                    <w:tl2br w:val="nil"/>
                    <w:tr2bl w:val="nil"/>
                  </w:tcBorders>
                  <w:tcMar>
                    <w:top w:w="0" w:type="dxa"/>
                    <w:left w:w="57" w:type="dxa"/>
                    <w:bottom w:w="0" w:type="dxa"/>
                    <w:right w:w="57" w:type="dxa"/>
                  </w:tcMar>
                  <w:vAlign w:val="center"/>
                </w:tcPr>
                <w:p w14:paraId="4E7D0F2F">
                  <w:pPr>
                    <w:spacing w:before="49" w:line="232" w:lineRule="auto"/>
                    <w:ind w:right="32"/>
                    <w:jc w:val="center"/>
                    <w:rPr>
                      <w:rFonts w:hint="default" w:ascii="Times New Roman" w:hAnsi="Times New Roman" w:cs="Times New Roman"/>
                      <w:spacing w:val="-1"/>
                      <w:szCs w:val="21"/>
                      <w:highlight w:val="none"/>
                    </w:rPr>
                  </w:pPr>
                  <w:r>
                    <w:rPr>
                      <w:rFonts w:hint="default" w:ascii="Times New Roman" w:hAnsi="Times New Roman" w:cs="Times New Roman"/>
                      <w:szCs w:val="21"/>
                      <w:highlight w:val="none"/>
                    </w:rPr>
                    <w:t>符合</w:t>
                  </w:r>
                </w:p>
              </w:tc>
            </w:tr>
            <w:tr w14:paraId="5E6F0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0C938604">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7.3</w:t>
                  </w:r>
                </w:p>
              </w:tc>
              <w:tc>
                <w:tcPr>
                  <w:tcW w:w="3031" w:type="pct"/>
                  <w:gridSpan w:val="2"/>
                  <w:tcBorders>
                    <w:tl2br w:val="nil"/>
                    <w:tr2bl w:val="nil"/>
                  </w:tcBorders>
                  <w:tcMar>
                    <w:top w:w="0" w:type="dxa"/>
                    <w:left w:w="57" w:type="dxa"/>
                    <w:bottom w:w="0" w:type="dxa"/>
                    <w:right w:w="57" w:type="dxa"/>
                  </w:tcMar>
                  <w:vAlign w:val="center"/>
                </w:tcPr>
                <w:p w14:paraId="12890798">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3、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1246" w:type="pct"/>
                  <w:tcBorders>
                    <w:tl2br w:val="nil"/>
                    <w:tr2bl w:val="nil"/>
                  </w:tcBorders>
                  <w:tcMar>
                    <w:top w:w="0" w:type="dxa"/>
                    <w:left w:w="57" w:type="dxa"/>
                    <w:bottom w:w="0" w:type="dxa"/>
                    <w:right w:w="57" w:type="dxa"/>
                  </w:tcMar>
                  <w:vAlign w:val="center"/>
                </w:tcPr>
                <w:p w14:paraId="2DF51847">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本项目位于齐鲁化学工业区内，使用现有厂房进行建设，符合国土空间规划、产业发展规划等要求。</w:t>
                  </w:r>
                </w:p>
              </w:tc>
              <w:tc>
                <w:tcPr>
                  <w:tcW w:w="368" w:type="pct"/>
                  <w:tcBorders>
                    <w:tl2br w:val="nil"/>
                    <w:tr2bl w:val="nil"/>
                  </w:tcBorders>
                  <w:tcMar>
                    <w:top w:w="0" w:type="dxa"/>
                    <w:left w:w="57" w:type="dxa"/>
                    <w:bottom w:w="0" w:type="dxa"/>
                    <w:right w:w="57" w:type="dxa"/>
                  </w:tcMar>
                  <w:vAlign w:val="center"/>
                </w:tcPr>
                <w:p w14:paraId="2EB12F44">
                  <w:pPr>
                    <w:spacing w:before="49" w:line="232" w:lineRule="auto"/>
                    <w:ind w:right="32"/>
                    <w:jc w:val="center"/>
                    <w:rPr>
                      <w:rFonts w:hint="default" w:ascii="Times New Roman" w:hAnsi="Times New Roman" w:cs="Times New Roman"/>
                      <w:spacing w:val="-1"/>
                      <w:szCs w:val="21"/>
                      <w:highlight w:val="none"/>
                    </w:rPr>
                  </w:pPr>
                  <w:r>
                    <w:rPr>
                      <w:rFonts w:hint="default" w:ascii="Times New Roman" w:hAnsi="Times New Roman" w:cs="Times New Roman"/>
                      <w:szCs w:val="21"/>
                      <w:highlight w:val="none"/>
                    </w:rPr>
                    <w:t>符合</w:t>
                  </w:r>
                </w:p>
              </w:tc>
            </w:tr>
            <w:tr w14:paraId="4DFB1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640D1A5C">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7.4</w:t>
                  </w:r>
                </w:p>
              </w:tc>
              <w:tc>
                <w:tcPr>
                  <w:tcW w:w="3031" w:type="pct"/>
                  <w:gridSpan w:val="2"/>
                  <w:tcBorders>
                    <w:tl2br w:val="nil"/>
                    <w:tr2bl w:val="nil"/>
                  </w:tcBorders>
                  <w:tcMar>
                    <w:top w:w="0" w:type="dxa"/>
                    <w:left w:w="57" w:type="dxa"/>
                    <w:bottom w:w="0" w:type="dxa"/>
                    <w:right w:w="57" w:type="dxa"/>
                  </w:tcMar>
                  <w:vAlign w:val="center"/>
                </w:tcPr>
                <w:p w14:paraId="65B93687">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4、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246" w:type="pct"/>
                  <w:tcBorders>
                    <w:tl2br w:val="nil"/>
                    <w:tr2bl w:val="nil"/>
                  </w:tcBorders>
                  <w:tcMar>
                    <w:top w:w="0" w:type="dxa"/>
                    <w:left w:w="57" w:type="dxa"/>
                    <w:bottom w:w="0" w:type="dxa"/>
                    <w:right w:w="57" w:type="dxa"/>
                  </w:tcMar>
                  <w:vAlign w:val="center"/>
                </w:tcPr>
                <w:p w14:paraId="0D6DC398">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本项目严格按照要求执行环评审批“三挂钩”机制和“五个不批”要求，落实“三线一单”生态环境分区管控要求。</w:t>
                  </w:r>
                </w:p>
              </w:tc>
              <w:tc>
                <w:tcPr>
                  <w:tcW w:w="368" w:type="pct"/>
                  <w:tcBorders>
                    <w:tl2br w:val="nil"/>
                    <w:tr2bl w:val="nil"/>
                  </w:tcBorders>
                  <w:tcMar>
                    <w:top w:w="0" w:type="dxa"/>
                    <w:left w:w="57" w:type="dxa"/>
                    <w:bottom w:w="0" w:type="dxa"/>
                    <w:right w:w="57" w:type="dxa"/>
                  </w:tcMar>
                  <w:vAlign w:val="center"/>
                </w:tcPr>
                <w:p w14:paraId="46F55CEF">
                  <w:pPr>
                    <w:spacing w:before="49" w:line="232" w:lineRule="auto"/>
                    <w:ind w:right="32"/>
                    <w:jc w:val="center"/>
                    <w:rPr>
                      <w:rFonts w:hint="default" w:ascii="Times New Roman" w:hAnsi="Times New Roman" w:cs="Times New Roman"/>
                      <w:spacing w:val="-1"/>
                      <w:szCs w:val="21"/>
                      <w:highlight w:val="none"/>
                    </w:rPr>
                  </w:pPr>
                  <w:r>
                    <w:rPr>
                      <w:rFonts w:hint="default" w:ascii="Times New Roman" w:hAnsi="Times New Roman" w:cs="Times New Roman"/>
                      <w:szCs w:val="21"/>
                      <w:highlight w:val="none"/>
                    </w:rPr>
                    <w:t>符合</w:t>
                  </w:r>
                </w:p>
              </w:tc>
            </w:tr>
            <w:tr w14:paraId="53CE1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34D2273B">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7.5</w:t>
                  </w:r>
                </w:p>
              </w:tc>
              <w:tc>
                <w:tcPr>
                  <w:tcW w:w="3031" w:type="pct"/>
                  <w:gridSpan w:val="2"/>
                  <w:tcBorders>
                    <w:tl2br w:val="nil"/>
                    <w:tr2bl w:val="nil"/>
                  </w:tcBorders>
                  <w:tcMar>
                    <w:top w:w="0" w:type="dxa"/>
                    <w:left w:w="57" w:type="dxa"/>
                    <w:bottom w:w="0" w:type="dxa"/>
                    <w:right w:w="57" w:type="dxa"/>
                  </w:tcMar>
                  <w:vAlign w:val="center"/>
                </w:tcPr>
                <w:p w14:paraId="7D37E27D">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5、建立部门联动协调机制。各级发展改革、工业和信息化、自然资源、生态环境等部门要按照职责分工，建立长效工作机制，密切配合，强化对项目产业政策、固定资产投资、能耗、用地标准、环境等的论证，对不符合要求的，一律不得办理立项、规划、土地、环评等手续。</w:t>
                  </w:r>
                </w:p>
              </w:tc>
              <w:tc>
                <w:tcPr>
                  <w:tcW w:w="1246" w:type="pct"/>
                  <w:tcBorders>
                    <w:tl2br w:val="nil"/>
                    <w:tr2bl w:val="nil"/>
                  </w:tcBorders>
                  <w:tcMar>
                    <w:top w:w="0" w:type="dxa"/>
                    <w:left w:w="57" w:type="dxa"/>
                    <w:bottom w:w="0" w:type="dxa"/>
                    <w:right w:w="57" w:type="dxa"/>
                  </w:tcMar>
                  <w:vAlign w:val="center"/>
                </w:tcPr>
                <w:p w14:paraId="63F8D05E">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项目建设前对产业政策、固定资产投资、能耗、用地标准、环境等进行严格的论证。</w:t>
                  </w:r>
                </w:p>
              </w:tc>
              <w:tc>
                <w:tcPr>
                  <w:tcW w:w="368" w:type="pct"/>
                  <w:tcBorders>
                    <w:tl2br w:val="nil"/>
                    <w:tr2bl w:val="nil"/>
                  </w:tcBorders>
                  <w:tcMar>
                    <w:top w:w="0" w:type="dxa"/>
                    <w:left w:w="57" w:type="dxa"/>
                    <w:bottom w:w="0" w:type="dxa"/>
                    <w:right w:w="57" w:type="dxa"/>
                  </w:tcMar>
                  <w:vAlign w:val="center"/>
                </w:tcPr>
                <w:p w14:paraId="5B5E82D5">
                  <w:pPr>
                    <w:spacing w:before="49" w:line="232" w:lineRule="auto"/>
                    <w:ind w:right="32"/>
                    <w:jc w:val="center"/>
                    <w:rPr>
                      <w:rFonts w:hint="default" w:ascii="Times New Roman" w:hAnsi="Times New Roman" w:cs="Times New Roman"/>
                      <w:spacing w:val="-1"/>
                      <w:szCs w:val="21"/>
                      <w:highlight w:val="none"/>
                    </w:rPr>
                  </w:pPr>
                  <w:r>
                    <w:rPr>
                      <w:rFonts w:hint="default" w:ascii="Times New Roman" w:hAnsi="Times New Roman" w:cs="Times New Roman"/>
                      <w:szCs w:val="21"/>
                      <w:highlight w:val="none"/>
                    </w:rPr>
                    <w:t>符合</w:t>
                  </w:r>
                </w:p>
              </w:tc>
            </w:tr>
            <w:tr w14:paraId="3F909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24BB8B5E">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7.6</w:t>
                  </w:r>
                </w:p>
              </w:tc>
              <w:tc>
                <w:tcPr>
                  <w:tcW w:w="3031" w:type="pct"/>
                  <w:gridSpan w:val="2"/>
                  <w:tcBorders>
                    <w:tl2br w:val="nil"/>
                    <w:tr2bl w:val="nil"/>
                  </w:tcBorders>
                  <w:tcMar>
                    <w:top w:w="0" w:type="dxa"/>
                    <w:left w:w="57" w:type="dxa"/>
                    <w:bottom w:w="0" w:type="dxa"/>
                    <w:right w:w="57" w:type="dxa"/>
                  </w:tcMar>
                  <w:vAlign w:val="center"/>
                </w:tcPr>
                <w:p w14:paraId="49DE4B3F">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6、强化日常监管执法。持续加大对违反产业政策、规划、准入规定等违法违规建设行为的查处力度，坚决遏制“未批先建”等违法行为。畅通群众举报投诉渠道，对“散乱污”项目做到早发现、早应对、早处置，严防死灰复燃。</w:t>
                  </w:r>
                </w:p>
              </w:tc>
              <w:tc>
                <w:tcPr>
                  <w:tcW w:w="1246" w:type="pct"/>
                  <w:tcBorders>
                    <w:tl2br w:val="nil"/>
                    <w:tr2bl w:val="nil"/>
                  </w:tcBorders>
                  <w:tcMar>
                    <w:top w:w="0" w:type="dxa"/>
                    <w:left w:w="57" w:type="dxa"/>
                    <w:bottom w:w="0" w:type="dxa"/>
                    <w:right w:w="57" w:type="dxa"/>
                  </w:tcMar>
                  <w:vAlign w:val="center"/>
                </w:tcPr>
                <w:p w14:paraId="6FF98F45">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项目在未通过审批前不进行建设。</w:t>
                  </w:r>
                </w:p>
              </w:tc>
              <w:tc>
                <w:tcPr>
                  <w:tcW w:w="368" w:type="pct"/>
                  <w:tcBorders>
                    <w:tl2br w:val="nil"/>
                    <w:tr2bl w:val="nil"/>
                  </w:tcBorders>
                  <w:tcMar>
                    <w:top w:w="0" w:type="dxa"/>
                    <w:left w:w="57" w:type="dxa"/>
                    <w:bottom w:w="0" w:type="dxa"/>
                    <w:right w:w="57" w:type="dxa"/>
                  </w:tcMar>
                  <w:vAlign w:val="center"/>
                </w:tcPr>
                <w:p w14:paraId="53FA2CAC">
                  <w:pPr>
                    <w:spacing w:before="49" w:line="232" w:lineRule="auto"/>
                    <w:ind w:right="32"/>
                    <w:jc w:val="center"/>
                    <w:rPr>
                      <w:rFonts w:hint="default" w:ascii="Times New Roman" w:hAnsi="Times New Roman" w:cs="Times New Roman"/>
                      <w:spacing w:val="-1"/>
                      <w:szCs w:val="21"/>
                      <w:highlight w:val="none"/>
                    </w:rPr>
                  </w:pPr>
                  <w:r>
                    <w:rPr>
                      <w:rFonts w:hint="default" w:ascii="Times New Roman" w:hAnsi="Times New Roman" w:cs="Times New Roman"/>
                      <w:szCs w:val="21"/>
                      <w:highlight w:val="none"/>
                    </w:rPr>
                    <w:t>符合</w:t>
                  </w:r>
                </w:p>
              </w:tc>
            </w:tr>
            <w:tr w14:paraId="0C806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2A036B3D">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8</w:t>
                  </w:r>
                </w:p>
              </w:tc>
              <w:tc>
                <w:tcPr>
                  <w:tcW w:w="4646" w:type="pct"/>
                  <w:gridSpan w:val="4"/>
                  <w:tcBorders>
                    <w:tl2br w:val="nil"/>
                    <w:tr2bl w:val="nil"/>
                  </w:tcBorders>
                  <w:tcMar>
                    <w:top w:w="0" w:type="dxa"/>
                    <w:left w:w="57" w:type="dxa"/>
                    <w:bottom w:w="0" w:type="dxa"/>
                    <w:right w:w="57" w:type="dxa"/>
                  </w:tcMar>
                  <w:vAlign w:val="center"/>
                </w:tcPr>
                <w:p w14:paraId="6035D6DA">
                  <w:pPr>
                    <w:pStyle w:val="267"/>
                    <w:spacing w:before="40" w:line="222" w:lineRule="auto"/>
                    <w:jc w:val="center"/>
                    <w:rPr>
                      <w:rFonts w:hint="default" w:ascii="Times New Roman" w:hAnsi="Times New Roman" w:cs="Times New Roman"/>
                      <w:b/>
                      <w:bCs/>
                      <w:color w:val="000000"/>
                      <w:spacing w:val="-3"/>
                      <w:sz w:val="22"/>
                      <w:szCs w:val="22"/>
                      <w:highlight w:val="none"/>
                      <w:lang w:eastAsia="zh-CN"/>
                    </w:rPr>
                  </w:pPr>
                  <w:r>
                    <w:rPr>
                      <w:rFonts w:hint="default" w:ascii="Times New Roman" w:hAnsi="Times New Roman" w:cs="Times New Roman"/>
                      <w:b/>
                      <w:bCs/>
                      <w:color w:val="000000"/>
                      <w:spacing w:val="-3"/>
                      <w:sz w:val="22"/>
                      <w:szCs w:val="22"/>
                      <w:highlight w:val="none"/>
                      <w:lang w:eastAsia="zh-CN"/>
                    </w:rPr>
                    <w:t>《建设项目环境保护管理条例》符合性分析</w:t>
                  </w:r>
                </w:p>
              </w:tc>
            </w:tr>
            <w:tr w14:paraId="39001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34BA26D7">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8.1</w:t>
                  </w:r>
                </w:p>
              </w:tc>
              <w:tc>
                <w:tcPr>
                  <w:tcW w:w="3031" w:type="pct"/>
                  <w:gridSpan w:val="2"/>
                  <w:tcBorders>
                    <w:tl2br w:val="nil"/>
                    <w:tr2bl w:val="nil"/>
                  </w:tcBorders>
                  <w:tcMar>
                    <w:top w:w="0" w:type="dxa"/>
                    <w:left w:w="57" w:type="dxa"/>
                    <w:bottom w:w="0" w:type="dxa"/>
                    <w:right w:w="57" w:type="dxa"/>
                  </w:tcMar>
                  <w:vAlign w:val="center"/>
                </w:tcPr>
                <w:p w14:paraId="6470DBF9">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建设项目类型及其选址、布局、规模等不符合环境保护法律法规和相关法定规划</w:t>
                  </w:r>
                </w:p>
              </w:tc>
              <w:tc>
                <w:tcPr>
                  <w:tcW w:w="1246" w:type="pct"/>
                  <w:tcBorders>
                    <w:tl2br w:val="nil"/>
                    <w:tr2bl w:val="nil"/>
                  </w:tcBorders>
                  <w:tcMar>
                    <w:top w:w="0" w:type="dxa"/>
                    <w:left w:w="57" w:type="dxa"/>
                    <w:bottom w:w="0" w:type="dxa"/>
                    <w:right w:w="57" w:type="dxa"/>
                  </w:tcMar>
                  <w:vAlign w:val="center"/>
                </w:tcPr>
                <w:p w14:paraId="58B3BF70">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本项目属于允许类项目，本项目选址为工业用地，厂区布局合理，生产规模等符合环境保护法律法规和相关法定规划。</w:t>
                  </w:r>
                </w:p>
              </w:tc>
              <w:tc>
                <w:tcPr>
                  <w:tcW w:w="368" w:type="pct"/>
                  <w:tcBorders>
                    <w:tl2br w:val="nil"/>
                    <w:tr2bl w:val="nil"/>
                  </w:tcBorders>
                  <w:tcMar>
                    <w:top w:w="0" w:type="dxa"/>
                    <w:left w:w="57" w:type="dxa"/>
                    <w:bottom w:w="0" w:type="dxa"/>
                    <w:right w:w="57" w:type="dxa"/>
                  </w:tcMar>
                  <w:vAlign w:val="center"/>
                </w:tcPr>
                <w:p w14:paraId="02C41FA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68666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5288EAB7">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8.2</w:t>
                  </w:r>
                </w:p>
              </w:tc>
              <w:tc>
                <w:tcPr>
                  <w:tcW w:w="3031" w:type="pct"/>
                  <w:gridSpan w:val="2"/>
                  <w:tcBorders>
                    <w:tl2br w:val="nil"/>
                    <w:tr2bl w:val="nil"/>
                  </w:tcBorders>
                  <w:tcMar>
                    <w:top w:w="0" w:type="dxa"/>
                    <w:left w:w="57" w:type="dxa"/>
                    <w:bottom w:w="0" w:type="dxa"/>
                    <w:right w:w="57" w:type="dxa"/>
                  </w:tcMar>
                  <w:vAlign w:val="center"/>
                </w:tcPr>
                <w:p w14:paraId="69A13D01">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所在区域环境质量未达到国家或者地方环境质量标准，且建设项目拟采取的措施不能满足区域环境质量改善目标管理要求</w:t>
                  </w:r>
                </w:p>
              </w:tc>
              <w:tc>
                <w:tcPr>
                  <w:tcW w:w="1246" w:type="pct"/>
                  <w:tcBorders>
                    <w:tl2br w:val="nil"/>
                    <w:tr2bl w:val="nil"/>
                  </w:tcBorders>
                  <w:tcMar>
                    <w:top w:w="0" w:type="dxa"/>
                    <w:left w:w="57" w:type="dxa"/>
                    <w:bottom w:w="0" w:type="dxa"/>
                    <w:right w:w="57" w:type="dxa"/>
                  </w:tcMar>
                  <w:vAlign w:val="center"/>
                </w:tcPr>
                <w:p w14:paraId="69AE36FD">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项目周边环境空气质量PM</w:t>
                  </w:r>
                  <w:r>
                    <w:rPr>
                      <w:rFonts w:hint="default" w:ascii="Times New Roman" w:hAnsi="Times New Roman" w:cs="Times New Roman"/>
                      <w:spacing w:val="-1"/>
                      <w:highlight w:val="none"/>
                      <w:vertAlign w:val="subscript"/>
                      <w:lang w:eastAsia="zh-CN"/>
                    </w:rPr>
                    <w:t>10</w:t>
                  </w:r>
                  <w:r>
                    <w:rPr>
                      <w:rFonts w:hint="default" w:ascii="Times New Roman" w:hAnsi="Times New Roman" w:cs="Times New Roman"/>
                      <w:spacing w:val="-1"/>
                      <w:highlight w:val="none"/>
                      <w:lang w:eastAsia="zh-CN"/>
                    </w:rPr>
                    <w:t>、PM</w:t>
                  </w:r>
                  <w:r>
                    <w:rPr>
                      <w:rFonts w:hint="default" w:ascii="Times New Roman" w:hAnsi="Times New Roman" w:cs="Times New Roman"/>
                      <w:spacing w:val="-1"/>
                      <w:highlight w:val="none"/>
                      <w:vertAlign w:val="subscript"/>
                      <w:lang w:eastAsia="zh-CN"/>
                    </w:rPr>
                    <w:t>2.5</w:t>
                  </w:r>
                  <w:r>
                    <w:rPr>
                      <w:rFonts w:hint="default" w:ascii="Times New Roman" w:hAnsi="Times New Roman" w:cs="Times New Roman"/>
                      <w:spacing w:val="-1"/>
                      <w:highlight w:val="none"/>
                      <w:lang w:eastAsia="zh-CN"/>
                    </w:rPr>
                    <w:t>、O</w:t>
                  </w:r>
                  <w:r>
                    <w:rPr>
                      <w:rFonts w:hint="default" w:ascii="Times New Roman" w:hAnsi="Times New Roman" w:cs="Times New Roman"/>
                      <w:spacing w:val="-1"/>
                      <w:highlight w:val="none"/>
                      <w:vertAlign w:val="subscript"/>
                      <w:lang w:eastAsia="zh-CN"/>
                    </w:rPr>
                    <w:t>3</w:t>
                  </w:r>
                  <w:r>
                    <w:rPr>
                      <w:rFonts w:hint="default" w:ascii="Times New Roman" w:hAnsi="Times New Roman" w:cs="Times New Roman"/>
                      <w:spacing w:val="-1"/>
                      <w:highlight w:val="none"/>
                      <w:lang w:eastAsia="zh-CN"/>
                    </w:rPr>
                    <w:t>不满足《环境空气质量标准》（GB3095-2012）二级标准的要求；项目所在地主要地表水能够满足《地表水环境质量标准》（GB3838-2002）中Ⅴ类标准要求；评价区域地下水能满足《地下水质量标准》（GB/T14848-2017）Ⅲ类标准；区域环境噪声质量符合《声环境质量标准》（GB3096-2008）中的</w:t>
                  </w:r>
                  <w:r>
                    <w:rPr>
                      <w:rFonts w:hint="eastAsia" w:ascii="Times New Roman" w:hAnsi="Times New Roman" w:cs="Times New Roman"/>
                      <w:spacing w:val="-1"/>
                      <w:highlight w:val="none"/>
                      <w:lang w:val="en-US" w:eastAsia="zh-CN"/>
                    </w:rPr>
                    <w:t>3</w:t>
                  </w:r>
                  <w:r>
                    <w:rPr>
                      <w:rFonts w:hint="default" w:ascii="Times New Roman" w:hAnsi="Times New Roman" w:cs="Times New Roman"/>
                      <w:spacing w:val="-1"/>
                      <w:highlight w:val="none"/>
                      <w:lang w:eastAsia="zh-CN"/>
                    </w:rPr>
                    <w:t>类区标准要求。项目废气规范收集处理，确保达标排放，噪声采取减振、距离衰减、隔声以及合理布局等措施，不会对区域环境质量的改善目标造成影响。</w:t>
                  </w:r>
                </w:p>
              </w:tc>
              <w:tc>
                <w:tcPr>
                  <w:tcW w:w="368" w:type="pct"/>
                  <w:tcBorders>
                    <w:tl2br w:val="nil"/>
                    <w:tr2bl w:val="nil"/>
                  </w:tcBorders>
                  <w:tcMar>
                    <w:top w:w="0" w:type="dxa"/>
                    <w:left w:w="57" w:type="dxa"/>
                    <w:bottom w:w="0" w:type="dxa"/>
                    <w:right w:w="57" w:type="dxa"/>
                  </w:tcMar>
                  <w:vAlign w:val="center"/>
                </w:tcPr>
                <w:p w14:paraId="5B8069C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2534E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3B7A4EE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8.3</w:t>
                  </w:r>
                </w:p>
              </w:tc>
              <w:tc>
                <w:tcPr>
                  <w:tcW w:w="3031" w:type="pct"/>
                  <w:gridSpan w:val="2"/>
                  <w:tcBorders>
                    <w:tl2br w:val="nil"/>
                    <w:tr2bl w:val="nil"/>
                  </w:tcBorders>
                  <w:tcMar>
                    <w:top w:w="0" w:type="dxa"/>
                    <w:left w:w="57" w:type="dxa"/>
                    <w:bottom w:w="0" w:type="dxa"/>
                    <w:right w:w="57" w:type="dxa"/>
                  </w:tcMar>
                  <w:vAlign w:val="center"/>
                </w:tcPr>
                <w:p w14:paraId="5E32AA0B">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建设项目采取的污染防治措施无法确保污染物排放达到国家和地方标准，或者未采取必要措施预防和控制生态破坏</w:t>
                  </w:r>
                </w:p>
              </w:tc>
              <w:tc>
                <w:tcPr>
                  <w:tcW w:w="1246" w:type="pct"/>
                  <w:tcBorders>
                    <w:tl2br w:val="nil"/>
                    <w:tr2bl w:val="nil"/>
                  </w:tcBorders>
                  <w:tcMar>
                    <w:top w:w="0" w:type="dxa"/>
                    <w:left w:w="57" w:type="dxa"/>
                    <w:bottom w:w="0" w:type="dxa"/>
                    <w:right w:w="57" w:type="dxa"/>
                  </w:tcMar>
                  <w:vAlign w:val="center"/>
                </w:tcPr>
                <w:p w14:paraId="58B260EE">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项目采取的污染物治理技术可行，措施有效，能够满足达标排放。</w:t>
                  </w:r>
                </w:p>
              </w:tc>
              <w:tc>
                <w:tcPr>
                  <w:tcW w:w="368" w:type="pct"/>
                  <w:tcBorders>
                    <w:tl2br w:val="nil"/>
                    <w:tr2bl w:val="nil"/>
                  </w:tcBorders>
                  <w:tcMar>
                    <w:top w:w="0" w:type="dxa"/>
                    <w:left w:w="57" w:type="dxa"/>
                    <w:bottom w:w="0" w:type="dxa"/>
                    <w:right w:w="57" w:type="dxa"/>
                  </w:tcMar>
                  <w:vAlign w:val="center"/>
                </w:tcPr>
                <w:p w14:paraId="4E3D6AB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r w14:paraId="5ED6C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3" w:type="pct"/>
                  <w:tcBorders>
                    <w:tl2br w:val="nil"/>
                    <w:tr2bl w:val="nil"/>
                  </w:tcBorders>
                  <w:tcMar>
                    <w:top w:w="0" w:type="dxa"/>
                    <w:left w:w="57" w:type="dxa"/>
                    <w:bottom w:w="0" w:type="dxa"/>
                    <w:right w:w="57" w:type="dxa"/>
                  </w:tcMar>
                  <w:vAlign w:val="center"/>
                </w:tcPr>
                <w:p w14:paraId="792FB8ED">
                  <w:pPr>
                    <w:pStyle w:val="45"/>
                    <w:spacing w:after="0"/>
                    <w:ind w:left="0" w:leftChars="0" w:firstLine="0" w:firstLineChars="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8.4</w:t>
                  </w:r>
                </w:p>
              </w:tc>
              <w:tc>
                <w:tcPr>
                  <w:tcW w:w="3031" w:type="pct"/>
                  <w:gridSpan w:val="2"/>
                  <w:tcBorders>
                    <w:tl2br w:val="nil"/>
                    <w:tr2bl w:val="nil"/>
                  </w:tcBorders>
                  <w:tcMar>
                    <w:top w:w="0" w:type="dxa"/>
                    <w:left w:w="57" w:type="dxa"/>
                    <w:bottom w:w="0" w:type="dxa"/>
                    <w:right w:w="57" w:type="dxa"/>
                  </w:tcMar>
                  <w:vAlign w:val="center"/>
                </w:tcPr>
                <w:p w14:paraId="36D64A8B">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lang w:eastAsia="zh-CN"/>
                    </w:rPr>
                    <w:t>改建、扩建和技术改造项目，未针对项目原有环境污染和生态破坏提出有效防治措施</w:t>
                  </w:r>
                </w:p>
              </w:tc>
              <w:tc>
                <w:tcPr>
                  <w:tcW w:w="1246" w:type="pct"/>
                  <w:tcBorders>
                    <w:tl2br w:val="nil"/>
                    <w:tr2bl w:val="nil"/>
                  </w:tcBorders>
                  <w:tcMar>
                    <w:top w:w="0" w:type="dxa"/>
                    <w:left w:w="57" w:type="dxa"/>
                    <w:bottom w:w="0" w:type="dxa"/>
                    <w:right w:w="57" w:type="dxa"/>
                  </w:tcMar>
                  <w:vAlign w:val="center"/>
                </w:tcPr>
                <w:p w14:paraId="55F68672">
                  <w:pPr>
                    <w:pStyle w:val="267"/>
                    <w:spacing w:before="49" w:line="232" w:lineRule="auto"/>
                    <w:ind w:right="32"/>
                    <w:jc w:val="center"/>
                    <w:rPr>
                      <w:rFonts w:hint="default" w:ascii="Times New Roman" w:hAnsi="Times New Roman" w:cs="Times New Roman"/>
                      <w:spacing w:val="-1"/>
                      <w:highlight w:val="none"/>
                      <w:lang w:eastAsia="zh-CN"/>
                    </w:rPr>
                  </w:pPr>
                  <w:r>
                    <w:rPr>
                      <w:rFonts w:hint="default" w:ascii="Times New Roman" w:hAnsi="Times New Roman" w:cs="Times New Roman"/>
                      <w:spacing w:val="-1"/>
                      <w:highlight w:val="none"/>
                    </w:rPr>
                    <w:t>项目为</w:t>
                  </w:r>
                  <w:r>
                    <w:rPr>
                      <w:rFonts w:hint="default" w:ascii="Times New Roman" w:hAnsi="Times New Roman" w:cs="Times New Roman"/>
                      <w:spacing w:val="-1"/>
                      <w:highlight w:val="none"/>
                      <w:lang w:eastAsia="zh-CN"/>
                    </w:rPr>
                    <w:t>新建</w:t>
                  </w:r>
                  <w:r>
                    <w:rPr>
                      <w:rFonts w:hint="default" w:ascii="Times New Roman" w:hAnsi="Times New Roman" w:cs="Times New Roman"/>
                      <w:spacing w:val="-1"/>
                      <w:highlight w:val="none"/>
                    </w:rPr>
                    <w:t>项目。</w:t>
                  </w:r>
                </w:p>
              </w:tc>
              <w:tc>
                <w:tcPr>
                  <w:tcW w:w="368" w:type="pct"/>
                  <w:tcBorders>
                    <w:tl2br w:val="nil"/>
                    <w:tr2bl w:val="nil"/>
                  </w:tcBorders>
                  <w:tcMar>
                    <w:top w:w="0" w:type="dxa"/>
                    <w:left w:w="57" w:type="dxa"/>
                    <w:bottom w:w="0" w:type="dxa"/>
                    <w:right w:w="57" w:type="dxa"/>
                  </w:tcMar>
                  <w:vAlign w:val="center"/>
                </w:tcPr>
                <w:p w14:paraId="6D9095F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符合</w:t>
                  </w:r>
                </w:p>
              </w:tc>
            </w:tr>
          </w:tbl>
          <w:p w14:paraId="7049E296">
            <w:pPr>
              <w:rPr>
                <w:rFonts w:hint="default" w:ascii="Times New Roman" w:hAnsi="Times New Roman" w:cs="Times New Roman"/>
                <w:sz w:val="24"/>
                <w:highlight w:val="none"/>
              </w:rPr>
            </w:pPr>
          </w:p>
        </w:tc>
      </w:tr>
    </w:tbl>
    <w:p w14:paraId="0E9EA6DE">
      <w:pPr>
        <w:spacing w:line="360" w:lineRule="auto"/>
        <w:outlineLvl w:val="0"/>
        <w:rPr>
          <w:rFonts w:hint="default" w:ascii="Times New Roman" w:hAnsi="Times New Roman" w:eastAsia="黑体" w:cs="Times New Roman"/>
          <w:sz w:val="30"/>
          <w:highlight w:val="none"/>
        </w:rPr>
        <w:sectPr>
          <w:footerReference r:id="rId6" w:type="default"/>
          <w:pgSz w:w="11906" w:h="16838"/>
          <w:pgMar w:top="1440" w:right="1080" w:bottom="1440" w:left="1080" w:header="851" w:footer="737" w:gutter="0"/>
          <w:pgNumType w:start="1" w:chapStyle="1"/>
          <w:cols w:space="720" w:num="1"/>
          <w:docGrid w:linePitch="312" w:charSpace="0"/>
        </w:sectPr>
      </w:pPr>
    </w:p>
    <w:p w14:paraId="77743C75">
      <w:pPr>
        <w:pStyle w:val="42"/>
        <w:spacing w:before="0" w:beforeAutospacing="0" w:after="0" w:afterAutospacing="0" w:line="360" w:lineRule="auto"/>
        <w:jc w:val="center"/>
        <w:outlineLvl w:val="0"/>
        <w:rPr>
          <w:rFonts w:hint="default" w:ascii="Times New Roman" w:hAnsi="Times New Roman" w:eastAsia="黑体" w:cs="Times New Roman"/>
          <w:snapToGrid w:val="0"/>
          <w:sz w:val="30"/>
          <w:szCs w:val="30"/>
          <w:highlight w:val="none"/>
        </w:rPr>
        <w:sectPr>
          <w:type w:val="continuous"/>
          <w:pgSz w:w="11906" w:h="16838"/>
          <w:pgMar w:top="1440" w:right="1080" w:bottom="1440" w:left="1080" w:header="851" w:footer="851" w:gutter="0"/>
          <w:cols w:space="720" w:num="1"/>
          <w:docGrid w:linePitch="312" w:charSpace="0"/>
        </w:sectPr>
      </w:pPr>
    </w:p>
    <w:p w14:paraId="41403BFB">
      <w:pPr>
        <w:pStyle w:val="42"/>
        <w:spacing w:before="0" w:beforeAutospacing="0" w:after="0" w:afterAutospacing="0" w:line="360" w:lineRule="auto"/>
        <w:jc w:val="center"/>
        <w:outlineLvl w:val="0"/>
        <w:rPr>
          <w:rFonts w:hint="default" w:ascii="Times New Roman" w:hAnsi="Times New Roman" w:eastAsia="黑体" w:cs="Times New Roman"/>
          <w:snapToGrid w:val="0"/>
          <w:sz w:val="30"/>
          <w:szCs w:val="30"/>
          <w:highlight w:val="none"/>
        </w:rPr>
      </w:pPr>
      <w:r>
        <w:rPr>
          <w:rFonts w:hint="default" w:ascii="Times New Roman" w:hAnsi="Times New Roman" w:eastAsia="黑体" w:cs="Times New Roman"/>
          <w:snapToGrid w:val="0"/>
          <w:sz w:val="30"/>
          <w:szCs w:val="30"/>
          <w:highlight w:val="none"/>
        </w:rPr>
        <w:t>二、建设项目工程分析</w:t>
      </w:r>
    </w:p>
    <w:tbl>
      <w:tblPr>
        <w:tblStyle w:val="46"/>
        <w:tblW w:w="494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4"/>
        <w:gridCol w:w="9316"/>
      </w:tblGrid>
      <w:tr w14:paraId="7459F3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1" w:type="pct"/>
            <w:vAlign w:val="center"/>
          </w:tcPr>
          <w:p w14:paraId="5849E02D">
            <w:pPr>
              <w:pStyle w:val="42"/>
              <w:adjustRightInd w:val="0"/>
              <w:snapToGrid w:val="0"/>
              <w:spacing w:before="0" w:beforeAutospacing="0" w:after="0" w:afterAutospacing="0"/>
              <w:jc w:val="center"/>
              <w:rPr>
                <w:rFonts w:hint="default" w:ascii="Times New Roman" w:hAnsi="Times New Roman" w:eastAsia="黑体" w:cs="Times New Roman"/>
                <w:szCs w:val="24"/>
                <w:highlight w:val="none"/>
              </w:rPr>
            </w:pPr>
            <w:r>
              <w:rPr>
                <w:rFonts w:hint="default" w:ascii="Times New Roman" w:hAnsi="Times New Roman" w:eastAsia="黑体" w:cs="Times New Roman"/>
                <w:szCs w:val="24"/>
                <w:highlight w:val="none"/>
              </w:rPr>
              <w:t>建设内容</w:t>
            </w:r>
          </w:p>
        </w:tc>
        <w:tc>
          <w:tcPr>
            <w:tcW w:w="4728" w:type="pct"/>
          </w:tcPr>
          <w:p w14:paraId="252A0FF1">
            <w:pPr>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1、项目基本情况</w:t>
            </w:r>
          </w:p>
          <w:p w14:paraId="59B2521D">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山东瑞海金山化学有限公司原为山东鑫脉石化科技有限公司，企业成立于2013年1月11日，注册资本10000万元人民币，企业类型为有限责任公司。2021年8月31日，企业名称变更为山东瑞海金山化学有限公司。</w:t>
            </w:r>
          </w:p>
          <w:p w14:paraId="2904F9E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随着公司生产规模扩大，为了应对不断变化的市场需求和客户订单，山东瑞海金山化学有限公司在现有厂区预留空地新建“10万吨/年净水剂药剂装置项目”。</w:t>
            </w:r>
          </w:p>
          <w:p w14:paraId="3EF3E4D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根据《中华人民共和国环境保护法》和《中华人民共和国环境影响评价法》，本项目应开展环境影响评价，属于《建设项目环境影响评价分类管理名录》（2024年版）中二十三、化学原料和化学制品制造业 专用化学产品制造 266 单纯物理分离、物理提纯、混合、分装的（不产生废水或挥发性有机物的除外），应编制报告表。受山东瑞海金山化学有限公司委托，我单位承担该项目的环境影响评价工作，经过现场踏勘和资料收集，按照国家环评技术规范要求，编制该项目环境影响报告表。</w:t>
            </w:r>
          </w:p>
          <w:p w14:paraId="2D9DEDDC">
            <w:pPr>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2、建设规模及主要内容</w:t>
            </w:r>
          </w:p>
          <w:p w14:paraId="1EBAD2C9">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000000"/>
                <w:kern w:val="0"/>
                <w:sz w:val="24"/>
                <w:highlight w:val="none"/>
                <w:lang w:eastAsia="zh-CN"/>
              </w:rPr>
            </w:pPr>
            <w:r>
              <w:rPr>
                <w:rFonts w:hint="default" w:ascii="Times New Roman" w:hAnsi="Times New Roman" w:cs="Times New Roman"/>
                <w:color w:val="000000"/>
                <w:kern w:val="0"/>
                <w:sz w:val="24"/>
                <w:highlight w:val="none"/>
              </w:rPr>
              <w:t>项目名称：10万吨/年净水剂药剂生产项目</w:t>
            </w:r>
          </w:p>
          <w:p w14:paraId="003535E6">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000000"/>
                <w:kern w:val="0"/>
                <w:sz w:val="24"/>
                <w:highlight w:val="none"/>
                <w:lang w:eastAsia="zh-CN"/>
              </w:rPr>
            </w:pPr>
            <w:r>
              <w:rPr>
                <w:rFonts w:hint="default" w:ascii="Times New Roman" w:hAnsi="Times New Roman" w:cs="Times New Roman"/>
                <w:color w:val="000000"/>
                <w:kern w:val="0"/>
                <w:sz w:val="24"/>
                <w:highlight w:val="none"/>
              </w:rPr>
              <w:t>建设单位：山东瑞海金山化学有限公司</w:t>
            </w:r>
          </w:p>
          <w:p w14:paraId="146179F8">
            <w:pPr>
              <w:autoSpaceDE w:val="0"/>
              <w:autoSpaceDN w:val="0"/>
              <w:adjustRightInd w:val="0"/>
              <w:snapToGrid w:val="0"/>
              <w:spacing w:line="360" w:lineRule="auto"/>
              <w:ind w:firstLine="480" w:firstLineChars="200"/>
              <w:jc w:val="left"/>
              <w:rPr>
                <w:rFonts w:hint="default" w:ascii="Times New Roman" w:hAnsi="Times New Roman" w:cs="Times New Roman"/>
                <w:color w:val="000000"/>
                <w:kern w:val="0"/>
                <w:sz w:val="24"/>
                <w:highlight w:val="none"/>
              </w:rPr>
            </w:pPr>
            <w:r>
              <w:rPr>
                <w:rFonts w:hint="default" w:ascii="Times New Roman" w:hAnsi="Times New Roman" w:cs="Times New Roman"/>
                <w:color w:val="000000"/>
                <w:kern w:val="0"/>
                <w:sz w:val="24"/>
                <w:highlight w:val="none"/>
              </w:rPr>
              <w:t>项目性质：新建</w:t>
            </w:r>
          </w:p>
          <w:p w14:paraId="7A90E886">
            <w:pPr>
              <w:autoSpaceDE w:val="0"/>
              <w:autoSpaceDN w:val="0"/>
              <w:adjustRightInd w:val="0"/>
              <w:snapToGrid w:val="0"/>
              <w:spacing w:line="360" w:lineRule="auto"/>
              <w:ind w:firstLine="480" w:firstLineChars="200"/>
              <w:jc w:val="left"/>
              <w:rPr>
                <w:rFonts w:hint="default" w:ascii="Times New Roman" w:hAnsi="Times New Roman" w:cs="Times New Roman"/>
                <w:color w:val="000000"/>
                <w:kern w:val="0"/>
                <w:sz w:val="24"/>
                <w:highlight w:val="none"/>
              </w:rPr>
            </w:pPr>
            <w:r>
              <w:rPr>
                <w:rFonts w:hint="default" w:ascii="Times New Roman" w:hAnsi="Times New Roman" w:cs="Times New Roman"/>
                <w:color w:val="000000"/>
                <w:kern w:val="0"/>
                <w:sz w:val="24"/>
                <w:highlight w:val="none"/>
              </w:rPr>
              <w:t>建设内容：生产规模为10万吨/年净水剂药剂生产项目，建设内容包括4万t/年醋酸钠及复合醋酸钠脱氮系列助剂、3万t/年葡萄糖及葡萄糖类脱氮系列助剂、3万t/年醇类复合碳源系列助剂，及其配套的罐区、仓库等公用辅助设施。三种产品共用1套</w:t>
            </w:r>
            <w:r>
              <w:rPr>
                <w:rFonts w:hint="default" w:ascii="Times New Roman" w:hAnsi="Times New Roman" w:cs="Times New Roman"/>
                <w:color w:val="000000"/>
                <w:kern w:val="0"/>
                <w:sz w:val="24"/>
                <w:highlight w:val="none"/>
                <w:lang w:val="en-US" w:eastAsia="zh-CN"/>
              </w:rPr>
              <w:t>助剂</w:t>
            </w:r>
            <w:r>
              <w:rPr>
                <w:rFonts w:hint="default" w:ascii="Times New Roman" w:hAnsi="Times New Roman" w:cs="Times New Roman"/>
                <w:color w:val="000000"/>
                <w:kern w:val="0"/>
                <w:sz w:val="24"/>
                <w:highlight w:val="none"/>
              </w:rPr>
              <w:t>产品生产装置及管线、罐区等储运设施。</w:t>
            </w:r>
          </w:p>
          <w:p w14:paraId="24354530">
            <w:pPr>
              <w:pStyle w:val="13"/>
              <w:spacing w:line="360" w:lineRule="auto"/>
              <w:ind w:firstLine="480" w:firstLineChars="20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具体工程内容见下表。</w:t>
            </w:r>
          </w:p>
          <w:p w14:paraId="2AAC0CB1">
            <w:pPr>
              <w:pStyle w:val="94"/>
              <w:spacing w:before="24" w:after="24" w:line="240" w:lineRule="auto"/>
              <w:rPr>
                <w:rFonts w:hint="default" w:ascii="Times New Roman" w:hAnsi="Times New Roman" w:cs="Times New Roman"/>
                <w:b/>
                <w:bCs/>
                <w:sz w:val="24"/>
                <w:szCs w:val="24"/>
                <w:highlight w:val="none"/>
              </w:rPr>
            </w:pPr>
            <w:bookmarkStart w:id="1" w:name="_Hlk18614731"/>
            <w:r>
              <w:rPr>
                <w:rFonts w:hint="default" w:ascii="Times New Roman" w:hAnsi="Times New Roman" w:cs="Times New Roman"/>
                <w:b/>
                <w:bCs/>
                <w:sz w:val="24"/>
                <w:szCs w:val="24"/>
                <w:highlight w:val="none"/>
              </w:rPr>
              <w:t>表2-1  项目工程内容情况一览表</w:t>
            </w:r>
            <w:bookmarkEnd w:id="1"/>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1150"/>
              <w:gridCol w:w="6002"/>
              <w:gridCol w:w="1225"/>
            </w:tblGrid>
            <w:tr w14:paraId="2FA1E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tcBorders>
                    <w:tl2br w:val="nil"/>
                    <w:tr2bl w:val="nil"/>
                  </w:tcBorders>
                  <w:vAlign w:val="center"/>
                </w:tcPr>
                <w:p w14:paraId="256FBC5E">
                  <w:pPr>
                    <w:spacing w:line="240" w:lineRule="atLeas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工程名称</w:t>
                  </w:r>
                </w:p>
              </w:tc>
              <w:tc>
                <w:tcPr>
                  <w:tcW w:w="632" w:type="pct"/>
                  <w:tcBorders>
                    <w:tl2br w:val="nil"/>
                    <w:tr2bl w:val="nil"/>
                  </w:tcBorders>
                  <w:vAlign w:val="center"/>
                </w:tcPr>
                <w:p w14:paraId="4A9A225D">
                  <w:pPr>
                    <w:spacing w:line="240" w:lineRule="atLeas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项目名称</w:t>
                  </w:r>
                </w:p>
              </w:tc>
              <w:tc>
                <w:tcPr>
                  <w:tcW w:w="3303" w:type="pct"/>
                  <w:tcBorders>
                    <w:tl2br w:val="nil"/>
                    <w:tr2bl w:val="nil"/>
                  </w:tcBorders>
                  <w:vAlign w:val="center"/>
                </w:tcPr>
                <w:p w14:paraId="162516D0">
                  <w:pPr>
                    <w:spacing w:line="240" w:lineRule="atLeas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建设内容</w:t>
                  </w:r>
                </w:p>
              </w:tc>
              <w:tc>
                <w:tcPr>
                  <w:tcW w:w="674" w:type="pct"/>
                  <w:tcBorders>
                    <w:tl2br w:val="nil"/>
                    <w:tr2bl w:val="nil"/>
                  </w:tcBorders>
                  <w:vAlign w:val="center"/>
                </w:tcPr>
                <w:p w14:paraId="27E8F8EA">
                  <w:pPr>
                    <w:spacing w:line="240" w:lineRule="atLeas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备注</w:t>
                  </w:r>
                </w:p>
              </w:tc>
            </w:tr>
            <w:tr w14:paraId="6D84D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restart"/>
                  <w:tcBorders>
                    <w:tl2br w:val="nil"/>
                    <w:tr2bl w:val="nil"/>
                  </w:tcBorders>
                  <w:vAlign w:val="center"/>
                </w:tcPr>
                <w:p w14:paraId="71A25B0D">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szCs w:val="21"/>
                      <w:highlight w:val="none"/>
                    </w:rPr>
                    <w:t>主体工程</w:t>
                  </w:r>
                </w:p>
              </w:tc>
              <w:tc>
                <w:tcPr>
                  <w:tcW w:w="632" w:type="pct"/>
                  <w:tcBorders>
                    <w:tl2br w:val="nil"/>
                    <w:tr2bl w:val="nil"/>
                  </w:tcBorders>
                  <w:vAlign w:val="center"/>
                </w:tcPr>
                <w:p w14:paraId="7C8BE839">
                  <w:pPr>
                    <w:spacing w:line="240" w:lineRule="atLeast"/>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罐区</w:t>
                  </w:r>
                </w:p>
              </w:tc>
              <w:tc>
                <w:tcPr>
                  <w:tcW w:w="3303" w:type="pct"/>
                  <w:tcBorders>
                    <w:tl2br w:val="nil"/>
                    <w:tr2bl w:val="nil"/>
                  </w:tcBorders>
                  <w:vAlign w:val="center"/>
                </w:tcPr>
                <w:p w14:paraId="1E58BF21">
                  <w:pPr>
                    <w:spacing w:line="240" w:lineRule="atLeast"/>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占地面积3</w:t>
                  </w:r>
                  <w:r>
                    <w:rPr>
                      <w:rFonts w:hint="default" w:ascii="Times New Roman" w:hAnsi="Times New Roman" w:cs="Times New Roman"/>
                      <w:szCs w:val="21"/>
                      <w:highlight w:val="none"/>
                      <w:lang w:val="en-US" w:eastAsia="zh-CN"/>
                    </w:rPr>
                    <w:t>732.72</w:t>
                  </w:r>
                  <w:r>
                    <w:rPr>
                      <w:rFonts w:hint="default" w:ascii="Times New Roman" w:hAnsi="Times New Roman" w:cs="Times New Roman"/>
                      <w:szCs w:val="21"/>
                      <w:highlight w:val="none"/>
                    </w:rPr>
                    <w:t>m</w:t>
                  </w:r>
                  <w:r>
                    <w:rPr>
                      <w:rFonts w:hint="default" w:ascii="Times New Roman" w:hAnsi="Times New Roman" w:cs="Times New Roman"/>
                      <w:szCs w:val="21"/>
                      <w:highlight w:val="none"/>
                      <w:vertAlign w:val="superscript"/>
                    </w:rPr>
                    <w:t>2</w:t>
                  </w:r>
                  <w:r>
                    <w:rPr>
                      <w:rFonts w:hint="default" w:ascii="Times New Roman" w:hAnsi="Times New Roman" w:cs="Times New Roman"/>
                      <w:szCs w:val="21"/>
                      <w:highlight w:val="none"/>
                      <w:vertAlign w:val="baseline"/>
                      <w:lang w:eastAsia="zh-CN"/>
                    </w:rPr>
                    <w:t>（</w:t>
                  </w:r>
                  <w:r>
                    <w:rPr>
                      <w:rFonts w:hint="default" w:ascii="Times New Roman" w:hAnsi="Times New Roman" w:cs="Times New Roman"/>
                      <w:szCs w:val="21"/>
                      <w:highlight w:val="none"/>
                      <w:vertAlign w:val="baseline"/>
                      <w:lang w:val="en-US" w:eastAsia="zh-CN"/>
                    </w:rPr>
                    <w:t>围堰长123.6m，宽30.2m，高0.6m，设置雨水和事故水导排管网</w:t>
                  </w:r>
                  <w:r>
                    <w:rPr>
                      <w:rFonts w:hint="default" w:ascii="Times New Roman" w:hAnsi="Times New Roman" w:cs="Times New Roman"/>
                      <w:szCs w:val="21"/>
                      <w:highlight w:val="none"/>
                      <w:vertAlign w:val="baseline"/>
                      <w:lang w:eastAsia="zh-CN"/>
                    </w:rPr>
                    <w:t>）</w:t>
                  </w:r>
                  <w:r>
                    <w:rPr>
                      <w:rFonts w:hint="default" w:ascii="Times New Roman" w:hAnsi="Times New Roman" w:cs="Times New Roman"/>
                      <w:szCs w:val="21"/>
                      <w:highlight w:val="none"/>
                    </w:rPr>
                    <w:t>；</w:t>
                  </w:r>
                  <w:r>
                    <w:rPr>
                      <w:rFonts w:hint="default" w:ascii="Times New Roman" w:hAnsi="Times New Roman" w:cs="Times New Roman"/>
                      <w:bCs/>
                      <w:color w:val="000000"/>
                      <w:szCs w:val="21"/>
                      <w:highlight w:val="none"/>
                    </w:rPr>
                    <w:t>建设</w:t>
                  </w:r>
                  <w:r>
                    <w:rPr>
                      <w:rFonts w:hint="default" w:ascii="Times New Roman" w:hAnsi="Times New Roman" w:cs="Times New Roman"/>
                      <w:bCs/>
                      <w:color w:val="000000"/>
                      <w:szCs w:val="21"/>
                      <w:highlight w:val="none"/>
                      <w:lang w:val="en-US" w:eastAsia="zh-CN"/>
                    </w:rPr>
                    <w:t>9</w:t>
                  </w:r>
                  <w:r>
                    <w:rPr>
                      <w:rFonts w:hint="default" w:ascii="Times New Roman" w:hAnsi="Times New Roman" w:cs="Times New Roman"/>
                      <w:bCs/>
                      <w:color w:val="000000"/>
                      <w:szCs w:val="21"/>
                      <w:highlight w:val="none"/>
                    </w:rPr>
                    <w:t>座储罐，其中500m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rPr>
                    <w:t>丁二醇储罐1座、500m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rPr>
                    <w:t>乙酸储罐1座、500m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rPr>
                    <w:t>甲醇储罐</w:t>
                  </w:r>
                  <w:r>
                    <w:rPr>
                      <w:rFonts w:hint="default" w:ascii="Times New Roman" w:hAnsi="Times New Roman" w:cs="Times New Roman"/>
                      <w:bCs/>
                      <w:color w:val="000000"/>
                      <w:szCs w:val="21"/>
                      <w:highlight w:val="none"/>
                      <w:lang w:val="en-US" w:eastAsia="zh-CN"/>
                    </w:rPr>
                    <w:t>1</w:t>
                  </w:r>
                  <w:r>
                    <w:rPr>
                      <w:rFonts w:hint="default" w:ascii="Times New Roman" w:hAnsi="Times New Roman" w:cs="Times New Roman"/>
                      <w:bCs/>
                      <w:color w:val="000000"/>
                      <w:szCs w:val="21"/>
                      <w:highlight w:val="none"/>
                    </w:rPr>
                    <w:t>座、500m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rPr>
                    <w:t>乙醇储罐</w:t>
                  </w:r>
                  <w:r>
                    <w:rPr>
                      <w:rFonts w:hint="default" w:ascii="Times New Roman" w:hAnsi="Times New Roman" w:cs="Times New Roman"/>
                      <w:bCs/>
                      <w:color w:val="000000"/>
                      <w:szCs w:val="21"/>
                      <w:highlight w:val="none"/>
                      <w:lang w:val="en-US" w:eastAsia="zh-CN"/>
                    </w:rPr>
                    <w:t>1</w:t>
                  </w:r>
                  <w:r>
                    <w:rPr>
                      <w:rFonts w:hint="default" w:ascii="Times New Roman" w:hAnsi="Times New Roman" w:cs="Times New Roman"/>
                      <w:bCs/>
                      <w:color w:val="000000"/>
                      <w:szCs w:val="21"/>
                      <w:highlight w:val="none"/>
                    </w:rPr>
                    <w:t>座、300m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rPr>
                    <w:t>丙二醇储罐</w:t>
                  </w:r>
                  <w:r>
                    <w:rPr>
                      <w:rFonts w:hint="default" w:ascii="Times New Roman" w:hAnsi="Times New Roman" w:cs="Times New Roman"/>
                      <w:bCs/>
                      <w:color w:val="000000"/>
                      <w:szCs w:val="21"/>
                      <w:highlight w:val="none"/>
                      <w:lang w:val="en-US" w:eastAsia="zh-CN"/>
                    </w:rPr>
                    <w:t>1</w:t>
                  </w:r>
                  <w:r>
                    <w:rPr>
                      <w:rFonts w:hint="default" w:ascii="Times New Roman" w:hAnsi="Times New Roman" w:cs="Times New Roman"/>
                      <w:bCs/>
                      <w:color w:val="000000"/>
                      <w:szCs w:val="21"/>
                      <w:highlight w:val="none"/>
                    </w:rPr>
                    <w:t>座、300m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rPr>
                    <w:t>丙三醇储罐1座、300m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lang w:val="en-US" w:eastAsia="zh-CN"/>
                    </w:rPr>
                    <w:t>正丁醇</w:t>
                  </w:r>
                  <w:r>
                    <w:rPr>
                      <w:rFonts w:hint="default" w:ascii="Times New Roman" w:hAnsi="Times New Roman" w:cs="Times New Roman"/>
                      <w:bCs/>
                      <w:color w:val="000000"/>
                      <w:szCs w:val="21"/>
                      <w:highlight w:val="none"/>
                    </w:rPr>
                    <w:t>储罐</w:t>
                  </w:r>
                  <w:r>
                    <w:rPr>
                      <w:rFonts w:hint="default" w:ascii="Times New Roman" w:hAnsi="Times New Roman" w:cs="Times New Roman"/>
                      <w:bCs/>
                      <w:color w:val="000000"/>
                      <w:szCs w:val="21"/>
                      <w:highlight w:val="none"/>
                      <w:lang w:val="en-US" w:eastAsia="zh-CN"/>
                    </w:rPr>
                    <w:t>1</w:t>
                  </w:r>
                  <w:r>
                    <w:rPr>
                      <w:rFonts w:hint="default" w:ascii="Times New Roman" w:hAnsi="Times New Roman" w:cs="Times New Roman"/>
                      <w:bCs/>
                      <w:color w:val="000000"/>
                      <w:szCs w:val="21"/>
                      <w:highlight w:val="none"/>
                    </w:rPr>
                    <w:t>座、300m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lang w:val="en-US" w:eastAsia="zh-CN"/>
                    </w:rPr>
                    <w:t>异丁醇</w:t>
                  </w:r>
                  <w:r>
                    <w:rPr>
                      <w:rFonts w:hint="default" w:ascii="Times New Roman" w:hAnsi="Times New Roman" w:cs="Times New Roman"/>
                      <w:bCs/>
                      <w:color w:val="000000"/>
                      <w:szCs w:val="21"/>
                      <w:highlight w:val="none"/>
                    </w:rPr>
                    <w:t>储罐</w:t>
                  </w:r>
                  <w:r>
                    <w:rPr>
                      <w:rFonts w:hint="default" w:ascii="Times New Roman" w:hAnsi="Times New Roman" w:cs="Times New Roman"/>
                      <w:bCs/>
                      <w:color w:val="000000"/>
                      <w:szCs w:val="21"/>
                      <w:highlight w:val="none"/>
                      <w:lang w:val="en-US" w:eastAsia="zh-CN"/>
                    </w:rPr>
                    <w:t>1</w:t>
                  </w:r>
                  <w:r>
                    <w:rPr>
                      <w:rFonts w:hint="default" w:ascii="Times New Roman" w:hAnsi="Times New Roman" w:cs="Times New Roman"/>
                      <w:bCs/>
                      <w:color w:val="000000"/>
                      <w:szCs w:val="21"/>
                      <w:highlight w:val="none"/>
                    </w:rPr>
                    <w:t>座、300m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lang w:val="en-US" w:eastAsia="zh-CN"/>
                    </w:rPr>
                    <w:t>正己烷</w:t>
                  </w:r>
                  <w:r>
                    <w:rPr>
                      <w:rFonts w:hint="default" w:ascii="Times New Roman" w:hAnsi="Times New Roman" w:cs="Times New Roman"/>
                      <w:bCs/>
                      <w:color w:val="000000"/>
                      <w:szCs w:val="21"/>
                      <w:highlight w:val="none"/>
                    </w:rPr>
                    <w:t>储罐</w:t>
                  </w:r>
                  <w:r>
                    <w:rPr>
                      <w:rFonts w:hint="default" w:ascii="Times New Roman" w:hAnsi="Times New Roman" w:cs="Times New Roman"/>
                      <w:bCs/>
                      <w:color w:val="000000"/>
                      <w:szCs w:val="21"/>
                      <w:highlight w:val="none"/>
                      <w:lang w:val="en-US" w:eastAsia="zh-CN"/>
                    </w:rPr>
                    <w:t>1</w:t>
                  </w:r>
                  <w:r>
                    <w:rPr>
                      <w:rFonts w:hint="default" w:ascii="Times New Roman" w:hAnsi="Times New Roman" w:cs="Times New Roman"/>
                      <w:bCs/>
                      <w:color w:val="000000"/>
                      <w:szCs w:val="21"/>
                      <w:highlight w:val="none"/>
                    </w:rPr>
                    <w:t>座、300m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lang w:val="en-US" w:eastAsia="zh-CN"/>
                    </w:rPr>
                    <w:t>复配罐1</w:t>
                  </w:r>
                  <w:r>
                    <w:rPr>
                      <w:rFonts w:hint="default" w:ascii="Times New Roman" w:hAnsi="Times New Roman" w:cs="Times New Roman"/>
                      <w:bCs/>
                      <w:color w:val="000000"/>
                      <w:szCs w:val="21"/>
                      <w:highlight w:val="none"/>
                    </w:rPr>
                    <w:t>座。</w:t>
                  </w:r>
                </w:p>
              </w:tc>
              <w:tc>
                <w:tcPr>
                  <w:tcW w:w="674" w:type="pct"/>
                  <w:tcBorders>
                    <w:tl2br w:val="nil"/>
                    <w:tr2bl w:val="nil"/>
                  </w:tcBorders>
                  <w:vAlign w:val="center"/>
                </w:tcPr>
                <w:p w14:paraId="4DA92888">
                  <w:pPr>
                    <w:spacing w:line="240" w:lineRule="atLeast"/>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新建</w:t>
                  </w:r>
                </w:p>
              </w:tc>
            </w:tr>
            <w:tr w14:paraId="1C061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1C4E1684">
                  <w:pPr>
                    <w:spacing w:line="240" w:lineRule="atLeast"/>
                    <w:jc w:val="center"/>
                    <w:rPr>
                      <w:rFonts w:hint="default" w:ascii="Times New Roman" w:hAnsi="Times New Roman" w:cs="Times New Roman"/>
                      <w:szCs w:val="21"/>
                      <w:highlight w:val="none"/>
                    </w:rPr>
                  </w:pPr>
                </w:p>
              </w:tc>
              <w:tc>
                <w:tcPr>
                  <w:tcW w:w="632" w:type="pct"/>
                  <w:tcBorders>
                    <w:tl2br w:val="nil"/>
                    <w:tr2bl w:val="nil"/>
                  </w:tcBorders>
                  <w:vAlign w:val="center"/>
                </w:tcPr>
                <w:p w14:paraId="7AC274C8">
                  <w:pPr>
                    <w:spacing w:line="240" w:lineRule="atLeast"/>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灌装车间</w:t>
                  </w:r>
                </w:p>
              </w:tc>
              <w:tc>
                <w:tcPr>
                  <w:tcW w:w="3303" w:type="pct"/>
                  <w:tcBorders>
                    <w:tl2br w:val="nil"/>
                    <w:tr2bl w:val="nil"/>
                  </w:tcBorders>
                  <w:vAlign w:val="center"/>
                </w:tcPr>
                <w:p w14:paraId="11070AA7">
                  <w:pPr>
                    <w:spacing w:line="240" w:lineRule="atLeast"/>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轻钢结构，占地面积7</w:t>
                  </w:r>
                  <w:r>
                    <w:rPr>
                      <w:rFonts w:hint="default" w:ascii="Times New Roman" w:hAnsi="Times New Roman" w:cs="Times New Roman"/>
                      <w:szCs w:val="21"/>
                      <w:highlight w:val="none"/>
                      <w:lang w:val="en-US" w:eastAsia="zh-CN"/>
                    </w:rPr>
                    <w:t>20</w:t>
                  </w:r>
                  <w:r>
                    <w:rPr>
                      <w:rFonts w:hint="default" w:ascii="Times New Roman" w:hAnsi="Times New Roman" w:cs="Times New Roman"/>
                      <w:color w:val="000000"/>
                      <w:szCs w:val="21"/>
                      <w:highlight w:val="none"/>
                    </w:rPr>
                    <w:t>m</w:t>
                  </w:r>
                  <w:r>
                    <w:rPr>
                      <w:rFonts w:hint="default" w:ascii="Times New Roman" w:hAnsi="Times New Roman" w:cs="Times New Roman"/>
                      <w:color w:val="000000"/>
                      <w:szCs w:val="21"/>
                      <w:highlight w:val="none"/>
                      <w:vertAlign w:val="superscript"/>
                    </w:rPr>
                    <w:t>2</w:t>
                  </w:r>
                  <w:r>
                    <w:rPr>
                      <w:rFonts w:hint="default" w:ascii="Times New Roman" w:hAnsi="Times New Roman" w:cs="Times New Roman"/>
                      <w:color w:val="000000"/>
                      <w:szCs w:val="21"/>
                      <w:highlight w:val="none"/>
                      <w:vertAlign w:val="baseline"/>
                      <w:lang w:eastAsia="zh-CN"/>
                    </w:rPr>
                    <w:t>，</w:t>
                  </w:r>
                  <w:r>
                    <w:rPr>
                      <w:rFonts w:hint="default" w:ascii="Times New Roman" w:hAnsi="Times New Roman" w:cs="Times New Roman"/>
                      <w:color w:val="000000"/>
                      <w:szCs w:val="21"/>
                      <w:highlight w:val="none"/>
                      <w:vertAlign w:val="baseline"/>
                      <w:lang w:val="en-US" w:eastAsia="zh-CN"/>
                    </w:rPr>
                    <w:t>高10m</w:t>
                  </w:r>
                  <w:r>
                    <w:rPr>
                      <w:rFonts w:hint="default" w:ascii="Times New Roman" w:hAnsi="Times New Roman" w:cs="Times New Roman"/>
                      <w:color w:val="000000"/>
                      <w:szCs w:val="21"/>
                      <w:highlight w:val="none"/>
                    </w:rPr>
                    <w:t>。建设4台灌装机。部分原料及全部产品在车间内储存。</w:t>
                  </w:r>
                </w:p>
              </w:tc>
              <w:tc>
                <w:tcPr>
                  <w:tcW w:w="674" w:type="pct"/>
                  <w:tcBorders>
                    <w:tl2br w:val="nil"/>
                    <w:tr2bl w:val="nil"/>
                  </w:tcBorders>
                  <w:vAlign w:val="center"/>
                </w:tcPr>
                <w:p w14:paraId="56307505">
                  <w:pPr>
                    <w:spacing w:line="240" w:lineRule="atLeast"/>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新建</w:t>
                  </w:r>
                </w:p>
              </w:tc>
            </w:tr>
            <w:tr w14:paraId="5B8C4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restart"/>
                  <w:tcBorders>
                    <w:tl2br w:val="nil"/>
                    <w:tr2bl w:val="nil"/>
                  </w:tcBorders>
                  <w:vAlign w:val="center"/>
                </w:tcPr>
                <w:p w14:paraId="31C08AA0">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辅助工程</w:t>
                  </w:r>
                </w:p>
              </w:tc>
              <w:tc>
                <w:tcPr>
                  <w:tcW w:w="632" w:type="pct"/>
                  <w:tcBorders>
                    <w:tl2br w:val="nil"/>
                    <w:tr2bl w:val="nil"/>
                  </w:tcBorders>
                  <w:vAlign w:val="center"/>
                </w:tcPr>
                <w:p w14:paraId="4292F3A4">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综合楼</w:t>
                  </w:r>
                </w:p>
              </w:tc>
              <w:tc>
                <w:tcPr>
                  <w:tcW w:w="3303" w:type="pct"/>
                  <w:tcBorders>
                    <w:tl2br w:val="nil"/>
                    <w:tr2bl w:val="nil"/>
                  </w:tcBorders>
                  <w:vAlign w:val="center"/>
                </w:tcPr>
                <w:p w14:paraId="1A99BA6A">
                  <w:pPr>
                    <w:spacing w:line="240" w:lineRule="atLeast"/>
                    <w:contextualSpacing/>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砖混结构，占地面积312m</w:t>
                  </w:r>
                  <w:r>
                    <w:rPr>
                      <w:rFonts w:hint="default" w:ascii="Times New Roman" w:hAnsi="Times New Roman" w:cs="Times New Roman"/>
                      <w:color w:val="000000"/>
                      <w:szCs w:val="21"/>
                      <w:highlight w:val="none"/>
                      <w:vertAlign w:val="superscript"/>
                    </w:rPr>
                    <w:t>2</w:t>
                  </w:r>
                  <w:r>
                    <w:rPr>
                      <w:rFonts w:hint="default" w:ascii="Times New Roman" w:hAnsi="Times New Roman" w:cs="Times New Roman"/>
                      <w:color w:val="000000"/>
                      <w:szCs w:val="21"/>
                      <w:highlight w:val="none"/>
                    </w:rPr>
                    <w:t>，2层，用于行政管理及办公。</w:t>
                  </w:r>
                </w:p>
              </w:tc>
              <w:tc>
                <w:tcPr>
                  <w:tcW w:w="674" w:type="pct"/>
                  <w:tcBorders>
                    <w:tl2br w:val="nil"/>
                    <w:tr2bl w:val="nil"/>
                  </w:tcBorders>
                  <w:vAlign w:val="center"/>
                </w:tcPr>
                <w:p w14:paraId="16913433">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w:t>
                  </w:r>
                  <w:r>
                    <w:rPr>
                      <w:rFonts w:hint="default" w:ascii="Times New Roman" w:hAnsi="Times New Roman" w:cs="Times New Roman"/>
                      <w:bCs/>
                      <w:color w:val="000000"/>
                      <w:szCs w:val="21"/>
                      <w:highlight w:val="none"/>
                    </w:rPr>
                    <w:t>已建成</w:t>
                  </w:r>
                </w:p>
              </w:tc>
            </w:tr>
            <w:tr w14:paraId="449F0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302B69EA">
                  <w:pPr>
                    <w:spacing w:line="240" w:lineRule="atLeast"/>
                    <w:jc w:val="center"/>
                    <w:rPr>
                      <w:rFonts w:hint="default" w:ascii="Times New Roman" w:hAnsi="Times New Roman" w:cs="Times New Roman"/>
                      <w:color w:val="000000"/>
                      <w:szCs w:val="21"/>
                      <w:highlight w:val="none"/>
                    </w:rPr>
                  </w:pPr>
                </w:p>
              </w:tc>
              <w:tc>
                <w:tcPr>
                  <w:tcW w:w="632" w:type="pct"/>
                  <w:tcBorders>
                    <w:tl2br w:val="nil"/>
                    <w:tr2bl w:val="nil"/>
                  </w:tcBorders>
                  <w:shd w:val="clear" w:color="auto" w:fill="auto"/>
                  <w:vAlign w:val="center"/>
                </w:tcPr>
                <w:p w14:paraId="0C8AF494">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空压机房</w:t>
                  </w:r>
                </w:p>
              </w:tc>
              <w:tc>
                <w:tcPr>
                  <w:tcW w:w="3303" w:type="pct"/>
                  <w:tcBorders>
                    <w:tl2br w:val="nil"/>
                    <w:tr2bl w:val="nil"/>
                  </w:tcBorders>
                  <w:vAlign w:val="center"/>
                </w:tcPr>
                <w:p w14:paraId="49D57894">
                  <w:pPr>
                    <w:spacing w:line="240" w:lineRule="atLeast"/>
                    <w:contextualSpacing/>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砖混结构，占地面积80m</w:t>
                  </w:r>
                  <w:r>
                    <w:rPr>
                      <w:rFonts w:hint="default" w:ascii="Times New Roman" w:hAnsi="Times New Roman" w:cs="Times New Roman"/>
                      <w:color w:val="000000"/>
                      <w:szCs w:val="21"/>
                      <w:highlight w:val="none"/>
                      <w:vertAlign w:val="superscript"/>
                    </w:rPr>
                    <w:t>2</w:t>
                  </w:r>
                  <w:r>
                    <w:rPr>
                      <w:rFonts w:hint="default" w:ascii="Times New Roman" w:hAnsi="Times New Roman" w:cs="Times New Roman"/>
                      <w:color w:val="000000"/>
                      <w:szCs w:val="21"/>
                      <w:highlight w:val="none"/>
                    </w:rPr>
                    <w:t>，1层。</w:t>
                  </w:r>
                </w:p>
              </w:tc>
              <w:tc>
                <w:tcPr>
                  <w:tcW w:w="674" w:type="pct"/>
                  <w:tcBorders>
                    <w:tl2br w:val="nil"/>
                    <w:tr2bl w:val="nil"/>
                  </w:tcBorders>
                  <w:vAlign w:val="center"/>
                </w:tcPr>
                <w:p w14:paraId="1D7FA30E">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w:t>
                  </w:r>
                  <w:r>
                    <w:rPr>
                      <w:rFonts w:hint="default" w:ascii="Times New Roman" w:hAnsi="Times New Roman" w:cs="Times New Roman"/>
                      <w:bCs/>
                      <w:color w:val="000000"/>
                      <w:szCs w:val="21"/>
                      <w:highlight w:val="none"/>
                    </w:rPr>
                    <w:t>已建成</w:t>
                  </w:r>
                </w:p>
              </w:tc>
            </w:tr>
            <w:tr w14:paraId="4C391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242A538C">
                  <w:pPr>
                    <w:spacing w:line="240" w:lineRule="atLeast"/>
                    <w:jc w:val="center"/>
                    <w:rPr>
                      <w:rFonts w:hint="default" w:ascii="Times New Roman" w:hAnsi="Times New Roman" w:cs="Times New Roman"/>
                      <w:color w:val="000000"/>
                      <w:szCs w:val="21"/>
                      <w:highlight w:val="none"/>
                    </w:rPr>
                  </w:pPr>
                </w:p>
              </w:tc>
              <w:tc>
                <w:tcPr>
                  <w:tcW w:w="632" w:type="pct"/>
                  <w:tcBorders>
                    <w:tl2br w:val="nil"/>
                    <w:tr2bl w:val="nil"/>
                  </w:tcBorders>
                  <w:shd w:val="clear" w:color="auto" w:fill="auto"/>
                  <w:vAlign w:val="center"/>
                </w:tcPr>
                <w:p w14:paraId="06D3DAF5">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变配电室</w:t>
                  </w:r>
                </w:p>
              </w:tc>
              <w:tc>
                <w:tcPr>
                  <w:tcW w:w="3303" w:type="pct"/>
                  <w:tcBorders>
                    <w:tl2br w:val="nil"/>
                    <w:tr2bl w:val="nil"/>
                  </w:tcBorders>
                  <w:vAlign w:val="center"/>
                </w:tcPr>
                <w:p w14:paraId="0883AC38">
                  <w:pPr>
                    <w:spacing w:line="240" w:lineRule="atLeast"/>
                    <w:contextualSpacing/>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砖混结构，占地面积128m</w:t>
                  </w:r>
                  <w:r>
                    <w:rPr>
                      <w:rFonts w:hint="default" w:ascii="Times New Roman" w:hAnsi="Times New Roman" w:cs="Times New Roman"/>
                      <w:color w:val="000000"/>
                      <w:szCs w:val="21"/>
                      <w:highlight w:val="none"/>
                      <w:vertAlign w:val="superscript"/>
                    </w:rPr>
                    <w:t>2</w:t>
                  </w:r>
                  <w:r>
                    <w:rPr>
                      <w:rFonts w:hint="default" w:ascii="Times New Roman" w:hAnsi="Times New Roman" w:cs="Times New Roman"/>
                      <w:color w:val="000000"/>
                      <w:szCs w:val="21"/>
                      <w:highlight w:val="none"/>
                    </w:rPr>
                    <w:t>，1层。</w:t>
                  </w:r>
                </w:p>
              </w:tc>
              <w:tc>
                <w:tcPr>
                  <w:tcW w:w="674" w:type="pct"/>
                  <w:tcBorders>
                    <w:tl2br w:val="nil"/>
                    <w:tr2bl w:val="nil"/>
                  </w:tcBorders>
                  <w:vAlign w:val="center"/>
                </w:tcPr>
                <w:p w14:paraId="3E729133">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w:t>
                  </w:r>
                  <w:r>
                    <w:rPr>
                      <w:rFonts w:hint="default" w:ascii="Times New Roman" w:hAnsi="Times New Roman" w:cs="Times New Roman"/>
                      <w:bCs/>
                      <w:color w:val="000000"/>
                      <w:szCs w:val="21"/>
                      <w:highlight w:val="none"/>
                    </w:rPr>
                    <w:t>已建成</w:t>
                  </w:r>
                </w:p>
              </w:tc>
            </w:tr>
            <w:tr w14:paraId="2D61D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44FA2C95">
                  <w:pPr>
                    <w:spacing w:line="240" w:lineRule="atLeast"/>
                    <w:jc w:val="center"/>
                    <w:rPr>
                      <w:rFonts w:hint="default" w:ascii="Times New Roman" w:hAnsi="Times New Roman" w:cs="Times New Roman"/>
                      <w:color w:val="000000"/>
                      <w:szCs w:val="21"/>
                      <w:highlight w:val="none"/>
                    </w:rPr>
                  </w:pPr>
                </w:p>
              </w:tc>
              <w:tc>
                <w:tcPr>
                  <w:tcW w:w="632" w:type="pct"/>
                  <w:tcBorders>
                    <w:tl2br w:val="nil"/>
                    <w:tr2bl w:val="nil"/>
                  </w:tcBorders>
                  <w:shd w:val="clear" w:color="auto" w:fill="auto"/>
                  <w:vAlign w:val="center"/>
                </w:tcPr>
                <w:p w14:paraId="4C8D379B">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抗爆控制室</w:t>
                  </w:r>
                </w:p>
              </w:tc>
              <w:tc>
                <w:tcPr>
                  <w:tcW w:w="3303" w:type="pct"/>
                  <w:tcBorders>
                    <w:tl2br w:val="nil"/>
                    <w:tr2bl w:val="nil"/>
                  </w:tcBorders>
                  <w:vAlign w:val="center"/>
                </w:tcPr>
                <w:p w14:paraId="609B093A">
                  <w:pPr>
                    <w:spacing w:line="240" w:lineRule="atLeast"/>
                    <w:contextualSpacing/>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砖混结构，占地面积120m</w:t>
                  </w:r>
                  <w:r>
                    <w:rPr>
                      <w:rFonts w:hint="default" w:ascii="Times New Roman" w:hAnsi="Times New Roman" w:cs="Times New Roman"/>
                      <w:color w:val="000000"/>
                      <w:szCs w:val="21"/>
                      <w:highlight w:val="none"/>
                      <w:vertAlign w:val="superscript"/>
                    </w:rPr>
                    <w:t>2</w:t>
                  </w:r>
                  <w:r>
                    <w:rPr>
                      <w:rFonts w:hint="default" w:ascii="Times New Roman" w:hAnsi="Times New Roman" w:cs="Times New Roman"/>
                      <w:color w:val="000000"/>
                      <w:szCs w:val="21"/>
                      <w:highlight w:val="none"/>
                    </w:rPr>
                    <w:t>，1层。</w:t>
                  </w:r>
                </w:p>
              </w:tc>
              <w:tc>
                <w:tcPr>
                  <w:tcW w:w="674" w:type="pct"/>
                  <w:tcBorders>
                    <w:tl2br w:val="nil"/>
                    <w:tr2bl w:val="nil"/>
                  </w:tcBorders>
                  <w:vAlign w:val="center"/>
                </w:tcPr>
                <w:p w14:paraId="36BDE0B2">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w:t>
                  </w:r>
                  <w:r>
                    <w:rPr>
                      <w:rFonts w:hint="default" w:ascii="Times New Roman" w:hAnsi="Times New Roman" w:cs="Times New Roman"/>
                      <w:bCs/>
                      <w:color w:val="000000"/>
                      <w:szCs w:val="21"/>
                      <w:highlight w:val="none"/>
                    </w:rPr>
                    <w:t>已建成</w:t>
                  </w:r>
                </w:p>
              </w:tc>
            </w:tr>
            <w:tr w14:paraId="1F7EC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restart"/>
                  <w:tcBorders>
                    <w:tl2br w:val="nil"/>
                    <w:tr2bl w:val="nil"/>
                  </w:tcBorders>
                  <w:vAlign w:val="center"/>
                </w:tcPr>
                <w:p w14:paraId="1CCF7754">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公用工程</w:t>
                  </w:r>
                </w:p>
              </w:tc>
              <w:tc>
                <w:tcPr>
                  <w:tcW w:w="632" w:type="pct"/>
                  <w:tcBorders>
                    <w:tl2br w:val="nil"/>
                    <w:tr2bl w:val="nil"/>
                  </w:tcBorders>
                  <w:vAlign w:val="center"/>
                </w:tcPr>
                <w:p w14:paraId="5E218092">
                  <w:pPr>
                    <w:pStyle w:val="119"/>
                    <w:widowControl w:val="0"/>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cs="Times New Roman"/>
                      <w:sz w:val="21"/>
                      <w:szCs w:val="21"/>
                      <w:highlight w:val="none"/>
                    </w:rPr>
                    <w:t>给水系统</w:t>
                  </w:r>
                </w:p>
              </w:tc>
              <w:tc>
                <w:tcPr>
                  <w:tcW w:w="3303" w:type="pct"/>
                  <w:tcBorders>
                    <w:tl2br w:val="nil"/>
                    <w:tr2bl w:val="nil"/>
                  </w:tcBorders>
                  <w:vAlign w:val="center"/>
                </w:tcPr>
                <w:p w14:paraId="464E3D93">
                  <w:pPr>
                    <w:pStyle w:val="119"/>
                    <w:widowControl w:val="0"/>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cs="Times New Roman"/>
                      <w:sz w:val="21"/>
                      <w:szCs w:val="21"/>
                      <w:highlight w:val="none"/>
                    </w:rPr>
                    <w:t>现有工程接自厂区现有供水管网，厂区供水水源为淄博天润供水有限公司</w:t>
                  </w:r>
                </w:p>
              </w:tc>
              <w:tc>
                <w:tcPr>
                  <w:tcW w:w="674" w:type="pct"/>
                  <w:tcBorders>
                    <w:tl2br w:val="nil"/>
                    <w:tr2bl w:val="nil"/>
                  </w:tcBorders>
                  <w:vAlign w:val="center"/>
                </w:tcPr>
                <w:p w14:paraId="429D16C1">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依托现有</w:t>
                  </w:r>
                </w:p>
              </w:tc>
            </w:tr>
            <w:tr w14:paraId="4A3AC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5DE2714B">
                  <w:pPr>
                    <w:spacing w:line="240" w:lineRule="atLeast"/>
                    <w:jc w:val="center"/>
                    <w:rPr>
                      <w:rFonts w:hint="default" w:ascii="Times New Roman" w:hAnsi="Times New Roman" w:cs="Times New Roman"/>
                      <w:color w:val="000000"/>
                      <w:szCs w:val="21"/>
                      <w:highlight w:val="none"/>
                    </w:rPr>
                  </w:pPr>
                </w:p>
              </w:tc>
              <w:tc>
                <w:tcPr>
                  <w:tcW w:w="632" w:type="pct"/>
                  <w:tcBorders>
                    <w:tl2br w:val="nil"/>
                    <w:tr2bl w:val="nil"/>
                  </w:tcBorders>
                  <w:vAlign w:val="center"/>
                </w:tcPr>
                <w:p w14:paraId="532130AC">
                  <w:pPr>
                    <w:pStyle w:val="119"/>
                    <w:widowControl w:val="0"/>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cs="Times New Roman"/>
                      <w:sz w:val="21"/>
                      <w:szCs w:val="21"/>
                      <w:highlight w:val="none"/>
                    </w:rPr>
                    <w:t>排水系统</w:t>
                  </w:r>
                </w:p>
              </w:tc>
              <w:tc>
                <w:tcPr>
                  <w:tcW w:w="3303" w:type="pct"/>
                  <w:tcBorders>
                    <w:tl2br w:val="nil"/>
                    <w:tr2bl w:val="nil"/>
                  </w:tcBorders>
                  <w:vAlign w:val="center"/>
                </w:tcPr>
                <w:p w14:paraId="3B551BF0">
                  <w:pPr>
                    <w:pStyle w:val="119"/>
                    <w:widowControl w:val="0"/>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cs="Times New Roman"/>
                      <w:sz w:val="21"/>
                      <w:szCs w:val="21"/>
                      <w:highlight w:val="none"/>
                    </w:rPr>
                    <w:t>厂区雨污分流制，调配用水随产品带走，不外排。</w:t>
                  </w:r>
                </w:p>
              </w:tc>
              <w:tc>
                <w:tcPr>
                  <w:tcW w:w="674" w:type="pct"/>
                  <w:tcBorders>
                    <w:tl2br w:val="nil"/>
                    <w:tr2bl w:val="nil"/>
                  </w:tcBorders>
                  <w:vAlign w:val="center"/>
                </w:tcPr>
                <w:p w14:paraId="4B1D9DC7">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依托现有</w:t>
                  </w:r>
                </w:p>
              </w:tc>
            </w:tr>
            <w:tr w14:paraId="5EF1D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4B34F4A6">
                  <w:pPr>
                    <w:spacing w:line="240" w:lineRule="atLeast"/>
                    <w:jc w:val="center"/>
                    <w:rPr>
                      <w:rFonts w:hint="default" w:ascii="Times New Roman" w:hAnsi="Times New Roman" w:cs="Times New Roman"/>
                      <w:color w:val="000000"/>
                      <w:szCs w:val="21"/>
                      <w:highlight w:val="none"/>
                    </w:rPr>
                  </w:pPr>
                </w:p>
              </w:tc>
              <w:tc>
                <w:tcPr>
                  <w:tcW w:w="632" w:type="pct"/>
                  <w:tcBorders>
                    <w:tl2br w:val="nil"/>
                    <w:tr2bl w:val="nil"/>
                  </w:tcBorders>
                  <w:vAlign w:val="center"/>
                </w:tcPr>
                <w:p w14:paraId="499A6DA7">
                  <w:pPr>
                    <w:pStyle w:val="119"/>
                    <w:widowControl w:val="0"/>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cs="Times New Roman"/>
                      <w:sz w:val="21"/>
                      <w:szCs w:val="21"/>
                      <w:highlight w:val="none"/>
                    </w:rPr>
                    <w:t>供电系统</w:t>
                  </w:r>
                </w:p>
              </w:tc>
              <w:tc>
                <w:tcPr>
                  <w:tcW w:w="3303" w:type="pct"/>
                  <w:tcBorders>
                    <w:tl2br w:val="nil"/>
                    <w:tr2bl w:val="nil"/>
                  </w:tcBorders>
                  <w:vAlign w:val="center"/>
                </w:tcPr>
                <w:p w14:paraId="446D8858">
                  <w:pPr>
                    <w:pStyle w:val="119"/>
                    <w:widowControl w:val="0"/>
                    <w:spacing w:line="240" w:lineRule="atLeast"/>
                    <w:jc w:val="center"/>
                    <w:rPr>
                      <w:rFonts w:hint="default" w:ascii="Times New Roman" w:hAnsi="Times New Roman" w:cs="Times New Roman"/>
                      <w:color w:val="000000"/>
                      <w:sz w:val="21"/>
                      <w:szCs w:val="21"/>
                      <w:highlight w:val="none"/>
                    </w:rPr>
                  </w:pPr>
                  <w:r>
                    <w:rPr>
                      <w:rFonts w:hint="default" w:ascii="Times New Roman" w:hAnsi="Times New Roman" w:cs="Times New Roman"/>
                      <w:sz w:val="21"/>
                      <w:szCs w:val="21"/>
                      <w:highlight w:val="none"/>
                    </w:rPr>
                    <w:t>厂区变电所提供，引自齐翔变冯北线23号杆接线夹处。</w:t>
                  </w:r>
                </w:p>
              </w:tc>
              <w:tc>
                <w:tcPr>
                  <w:tcW w:w="674" w:type="pct"/>
                  <w:tcBorders>
                    <w:tl2br w:val="nil"/>
                    <w:tr2bl w:val="nil"/>
                  </w:tcBorders>
                  <w:vAlign w:val="center"/>
                </w:tcPr>
                <w:p w14:paraId="3914684B">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依托现有</w:t>
                  </w:r>
                </w:p>
              </w:tc>
            </w:tr>
            <w:tr w14:paraId="4ED06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restart"/>
                  <w:tcBorders>
                    <w:tl2br w:val="nil"/>
                    <w:tr2bl w:val="nil"/>
                  </w:tcBorders>
                  <w:vAlign w:val="center"/>
                </w:tcPr>
                <w:p w14:paraId="7E6A3349">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环保工程</w:t>
                  </w:r>
                </w:p>
              </w:tc>
              <w:tc>
                <w:tcPr>
                  <w:tcW w:w="632" w:type="pct"/>
                  <w:tcBorders>
                    <w:tl2br w:val="nil"/>
                    <w:tr2bl w:val="nil"/>
                  </w:tcBorders>
                  <w:vAlign w:val="center"/>
                </w:tcPr>
                <w:p w14:paraId="4B3E62E4">
                  <w:pPr>
                    <w:pStyle w:val="119"/>
                    <w:widowControl w:val="0"/>
                    <w:spacing w:line="240" w:lineRule="atLeas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废气控制</w:t>
                  </w:r>
                </w:p>
              </w:tc>
              <w:tc>
                <w:tcPr>
                  <w:tcW w:w="3303" w:type="pct"/>
                  <w:tcBorders>
                    <w:tl2br w:val="nil"/>
                    <w:tr2bl w:val="nil"/>
                  </w:tcBorders>
                  <w:vAlign w:val="center"/>
                </w:tcPr>
                <w:p w14:paraId="3364A9E8">
                  <w:pPr>
                    <w:pStyle w:val="119"/>
                    <w:widowControl w:val="0"/>
                    <w:spacing w:line="240" w:lineRule="atLeas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储罐大、小呼吸废气、调配废气、灌装废气引入碱喷淋</w:t>
                  </w:r>
                  <w:r>
                    <w:rPr>
                      <w:rFonts w:hint="default" w:ascii="Times New Roman" w:hAnsi="Times New Roman" w:cs="Times New Roman"/>
                      <w:color w:val="000000"/>
                      <w:highlight w:val="none"/>
                      <w:lang w:val="en-US"/>
                    </w:rPr>
                    <w:t>+</w:t>
                  </w:r>
                  <w:r>
                    <w:rPr>
                      <w:rFonts w:hint="eastAsia"/>
                      <w:lang w:val="en-US" w:eastAsia="zh-CN"/>
                    </w:rPr>
                    <w:t>除雾装置</w:t>
                  </w:r>
                  <w:r>
                    <w:rPr>
                      <w:rFonts w:hint="default" w:ascii="Times New Roman" w:hAnsi="Times New Roman" w:cs="Times New Roman"/>
                      <w:sz w:val="21"/>
                      <w:szCs w:val="21"/>
                      <w:highlight w:val="none"/>
                    </w:rPr>
                    <w:t>+2级活性炭吸附装置处理，废气通过新建P1排气筒（15m）排放</w:t>
                  </w:r>
                </w:p>
              </w:tc>
              <w:tc>
                <w:tcPr>
                  <w:tcW w:w="674" w:type="pct"/>
                  <w:tcBorders>
                    <w:tl2br w:val="nil"/>
                    <w:tr2bl w:val="nil"/>
                  </w:tcBorders>
                  <w:shd w:val="clear" w:color="auto" w:fill="auto"/>
                  <w:vAlign w:val="center"/>
                </w:tcPr>
                <w:p w14:paraId="37D70465">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bCs/>
                      <w:color w:val="000000"/>
                      <w:szCs w:val="21"/>
                      <w:highlight w:val="none"/>
                    </w:rPr>
                    <w:t>新建</w:t>
                  </w:r>
                </w:p>
              </w:tc>
            </w:tr>
            <w:tr w14:paraId="51D74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2CC1EB5B">
                  <w:pPr>
                    <w:spacing w:line="240" w:lineRule="atLeast"/>
                    <w:jc w:val="center"/>
                    <w:rPr>
                      <w:rFonts w:hint="default" w:ascii="Times New Roman" w:hAnsi="Times New Roman" w:cs="Times New Roman"/>
                      <w:color w:val="000000"/>
                      <w:szCs w:val="21"/>
                      <w:highlight w:val="none"/>
                    </w:rPr>
                  </w:pPr>
                </w:p>
              </w:tc>
              <w:tc>
                <w:tcPr>
                  <w:tcW w:w="632" w:type="pct"/>
                  <w:tcBorders>
                    <w:tl2br w:val="nil"/>
                    <w:tr2bl w:val="nil"/>
                  </w:tcBorders>
                  <w:vAlign w:val="center"/>
                </w:tcPr>
                <w:p w14:paraId="266ED6A8">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噪声控制</w:t>
                  </w:r>
                </w:p>
              </w:tc>
              <w:tc>
                <w:tcPr>
                  <w:tcW w:w="3303" w:type="pct"/>
                  <w:tcBorders>
                    <w:tl2br w:val="nil"/>
                    <w:tr2bl w:val="nil"/>
                  </w:tcBorders>
                  <w:vAlign w:val="center"/>
                </w:tcPr>
                <w:p w14:paraId="052DA149">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选用低噪声设备、减振隔声及距离衰减进行控制</w:t>
                  </w:r>
                </w:p>
              </w:tc>
              <w:tc>
                <w:tcPr>
                  <w:tcW w:w="674" w:type="pct"/>
                  <w:tcBorders>
                    <w:tl2br w:val="nil"/>
                    <w:tr2bl w:val="nil"/>
                  </w:tcBorders>
                  <w:vAlign w:val="center"/>
                </w:tcPr>
                <w:p w14:paraId="42910E1D">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新建</w:t>
                  </w:r>
                </w:p>
              </w:tc>
            </w:tr>
            <w:tr w14:paraId="46DF2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4B147BA4">
                  <w:pPr>
                    <w:spacing w:line="240" w:lineRule="atLeast"/>
                    <w:jc w:val="center"/>
                    <w:rPr>
                      <w:rFonts w:hint="default" w:ascii="Times New Roman" w:hAnsi="Times New Roman" w:cs="Times New Roman"/>
                      <w:color w:val="000000"/>
                      <w:szCs w:val="21"/>
                      <w:highlight w:val="none"/>
                    </w:rPr>
                  </w:pPr>
                </w:p>
              </w:tc>
              <w:tc>
                <w:tcPr>
                  <w:tcW w:w="632" w:type="pct"/>
                  <w:tcBorders>
                    <w:tl2br w:val="nil"/>
                    <w:tr2bl w:val="nil"/>
                  </w:tcBorders>
                  <w:vAlign w:val="center"/>
                </w:tcPr>
                <w:p w14:paraId="6BD8257B">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废水控制</w:t>
                  </w:r>
                </w:p>
              </w:tc>
              <w:tc>
                <w:tcPr>
                  <w:tcW w:w="3303" w:type="pct"/>
                  <w:tcBorders>
                    <w:tl2br w:val="nil"/>
                    <w:tr2bl w:val="nil"/>
                  </w:tcBorders>
                  <w:vAlign w:val="center"/>
                </w:tcPr>
                <w:p w14:paraId="5E22D6E5">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szCs w:val="21"/>
                      <w:highlight w:val="none"/>
                    </w:rPr>
                    <w:t>拟建项目无废水产生，罐区初期雨水经新建雨水池收集后通过管道排入金山污水处理厂处理</w:t>
                  </w:r>
                </w:p>
              </w:tc>
              <w:tc>
                <w:tcPr>
                  <w:tcW w:w="674" w:type="pct"/>
                  <w:tcBorders>
                    <w:tl2br w:val="nil"/>
                    <w:tr2bl w:val="nil"/>
                  </w:tcBorders>
                  <w:vAlign w:val="center"/>
                </w:tcPr>
                <w:p w14:paraId="799AE8BA">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依托现有</w:t>
                  </w:r>
                </w:p>
              </w:tc>
            </w:tr>
            <w:tr w14:paraId="57EDC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7A5EC4BD">
                  <w:pPr>
                    <w:spacing w:line="240" w:lineRule="atLeast"/>
                    <w:jc w:val="center"/>
                    <w:rPr>
                      <w:rFonts w:hint="default" w:ascii="Times New Roman" w:hAnsi="Times New Roman" w:cs="Times New Roman"/>
                      <w:color w:val="000000"/>
                      <w:szCs w:val="21"/>
                      <w:highlight w:val="none"/>
                    </w:rPr>
                  </w:pPr>
                </w:p>
              </w:tc>
              <w:tc>
                <w:tcPr>
                  <w:tcW w:w="632" w:type="pct"/>
                  <w:tcBorders>
                    <w:tl2br w:val="nil"/>
                    <w:tr2bl w:val="nil"/>
                  </w:tcBorders>
                  <w:vAlign w:val="center"/>
                </w:tcPr>
                <w:p w14:paraId="20AE87B0">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固废控制</w:t>
                  </w:r>
                </w:p>
              </w:tc>
              <w:tc>
                <w:tcPr>
                  <w:tcW w:w="3303" w:type="pct"/>
                  <w:tcBorders>
                    <w:tl2br w:val="nil"/>
                    <w:tr2bl w:val="nil"/>
                  </w:tcBorders>
                  <w:vAlign w:val="center"/>
                </w:tcPr>
                <w:p w14:paraId="62983CAF">
                  <w:pPr>
                    <w:spacing w:line="240" w:lineRule="atLeast"/>
                    <w:jc w:val="center"/>
                    <w:rPr>
                      <w:rFonts w:hint="default" w:ascii="Times New Roman" w:hAnsi="Times New Roman" w:cs="Times New Roman"/>
                      <w:bCs/>
                      <w:color w:val="000000"/>
                      <w:szCs w:val="21"/>
                      <w:highlight w:val="none"/>
                    </w:rPr>
                  </w:pPr>
                  <w:r>
                    <w:rPr>
                      <w:rFonts w:hint="default" w:ascii="Times New Roman" w:hAnsi="Times New Roman" w:cs="Times New Roman"/>
                      <w:szCs w:val="21"/>
                      <w:highlight w:val="none"/>
                    </w:rPr>
                    <w:t>依托厂区现有的1座面积80m</w:t>
                  </w:r>
                  <w:r>
                    <w:rPr>
                      <w:rFonts w:hint="default" w:ascii="Times New Roman" w:hAnsi="Times New Roman" w:cs="Times New Roman"/>
                      <w:szCs w:val="21"/>
                      <w:highlight w:val="none"/>
                      <w:vertAlign w:val="superscript"/>
                    </w:rPr>
                    <w:t>2</w:t>
                  </w:r>
                  <w:r>
                    <w:rPr>
                      <w:rFonts w:hint="default" w:ascii="Times New Roman" w:hAnsi="Times New Roman" w:cs="Times New Roman"/>
                      <w:szCs w:val="21"/>
                      <w:highlight w:val="none"/>
                    </w:rPr>
                    <w:t>的危废仓库</w:t>
                  </w:r>
                </w:p>
              </w:tc>
              <w:tc>
                <w:tcPr>
                  <w:tcW w:w="674" w:type="pct"/>
                  <w:tcBorders>
                    <w:tl2br w:val="nil"/>
                    <w:tr2bl w:val="nil"/>
                  </w:tcBorders>
                  <w:vAlign w:val="center"/>
                </w:tcPr>
                <w:p w14:paraId="055CE5F0">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依托现有</w:t>
                  </w:r>
                </w:p>
              </w:tc>
            </w:tr>
            <w:tr w14:paraId="058A4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vMerge w:val="continue"/>
                  <w:tcBorders>
                    <w:tl2br w:val="nil"/>
                    <w:tr2bl w:val="nil"/>
                  </w:tcBorders>
                  <w:vAlign w:val="center"/>
                </w:tcPr>
                <w:p w14:paraId="58B53596">
                  <w:pPr>
                    <w:spacing w:line="240" w:lineRule="atLeast"/>
                    <w:jc w:val="center"/>
                    <w:rPr>
                      <w:rFonts w:hint="default" w:ascii="Times New Roman" w:hAnsi="Times New Roman" w:cs="Times New Roman"/>
                      <w:color w:val="000000"/>
                      <w:szCs w:val="21"/>
                      <w:highlight w:val="none"/>
                    </w:rPr>
                  </w:pPr>
                </w:p>
              </w:tc>
              <w:tc>
                <w:tcPr>
                  <w:tcW w:w="632" w:type="pct"/>
                  <w:tcBorders>
                    <w:tl2br w:val="nil"/>
                    <w:tr2bl w:val="nil"/>
                  </w:tcBorders>
                  <w:vAlign w:val="center"/>
                </w:tcPr>
                <w:p w14:paraId="3AD5AA50">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风险控制</w:t>
                  </w:r>
                </w:p>
              </w:tc>
              <w:tc>
                <w:tcPr>
                  <w:tcW w:w="3303" w:type="pct"/>
                  <w:tcBorders>
                    <w:tl2br w:val="nil"/>
                    <w:tr2bl w:val="nil"/>
                  </w:tcBorders>
                  <w:vAlign w:val="center"/>
                </w:tcPr>
                <w:p w14:paraId="31F38B57">
                  <w:pPr>
                    <w:spacing w:line="240" w:lineRule="atLeast"/>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设置1座1250m</w:t>
                  </w:r>
                  <w:r>
                    <w:rPr>
                      <w:rFonts w:hint="default" w:ascii="Times New Roman" w:hAnsi="Times New Roman" w:cs="Times New Roman"/>
                      <w:bCs/>
                      <w:color w:val="000000"/>
                      <w:szCs w:val="21"/>
                      <w:highlight w:val="none"/>
                      <w:vertAlign w:val="superscript"/>
                    </w:rPr>
                    <w:t>3</w:t>
                  </w:r>
                  <w:r>
                    <w:rPr>
                      <w:rFonts w:hint="default" w:ascii="Times New Roman" w:hAnsi="Times New Roman" w:cs="Times New Roman"/>
                      <w:bCs/>
                      <w:color w:val="000000"/>
                      <w:szCs w:val="21"/>
                      <w:highlight w:val="none"/>
                    </w:rPr>
                    <w:t>的初期雨水池</w:t>
                  </w:r>
                </w:p>
              </w:tc>
              <w:tc>
                <w:tcPr>
                  <w:tcW w:w="674" w:type="pct"/>
                  <w:tcBorders>
                    <w:tl2br w:val="nil"/>
                    <w:tr2bl w:val="nil"/>
                  </w:tcBorders>
                  <w:vAlign w:val="center"/>
                </w:tcPr>
                <w:p w14:paraId="67355EFF">
                  <w:pPr>
                    <w:spacing w:line="240" w:lineRule="atLeas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依托现有</w:t>
                  </w:r>
                </w:p>
              </w:tc>
            </w:tr>
          </w:tbl>
          <w:p w14:paraId="24D3FB6A">
            <w:pPr>
              <w:spacing w:line="360" w:lineRule="auto"/>
              <w:ind w:right="105" w:rightChars="50" w:firstLine="482" w:firstLineChars="200"/>
              <w:textAlignment w:val="baseline"/>
              <w:rPr>
                <w:rFonts w:hint="default" w:ascii="Times New Roman" w:hAnsi="Times New Roman" w:cs="Times New Roman"/>
                <w:b/>
                <w:sz w:val="24"/>
                <w:highlight w:val="none"/>
              </w:rPr>
            </w:pPr>
            <w:r>
              <w:rPr>
                <w:rFonts w:hint="default" w:ascii="Times New Roman" w:hAnsi="Times New Roman" w:cs="Times New Roman"/>
                <w:b/>
                <w:sz w:val="24"/>
                <w:highlight w:val="none"/>
              </w:rPr>
              <w:t>3、项目主要产品方案</w:t>
            </w:r>
          </w:p>
          <w:p w14:paraId="7360CE7F">
            <w:pPr>
              <w:pStyle w:val="13"/>
              <w:spacing w:line="360" w:lineRule="auto"/>
              <w:ind w:firstLine="480"/>
              <w:jc w:val="left"/>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项目建成后，产品方案如下表所示。</w:t>
            </w:r>
          </w:p>
          <w:p w14:paraId="63DED8CB">
            <w:pPr>
              <w:pStyle w:val="13"/>
              <w:ind w:firstLine="0"/>
              <w:jc w:val="center"/>
              <w:rPr>
                <w:rFonts w:hint="default" w:ascii="Times New Roman" w:hAnsi="Times New Roman" w:cs="Times New Roman"/>
                <w:sz w:val="24"/>
                <w:szCs w:val="24"/>
                <w:highlight w:val="none"/>
              </w:rPr>
            </w:pPr>
            <w:r>
              <w:rPr>
                <w:rFonts w:hint="default" w:ascii="Times New Roman" w:hAnsi="Times New Roman" w:cs="Times New Roman"/>
                <w:b/>
                <w:bCs/>
                <w:kern w:val="0"/>
                <w:sz w:val="24"/>
                <w:szCs w:val="24"/>
                <w:highlight w:val="none"/>
              </w:rPr>
              <w:t>表2-2  项目主要产品方案一览表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487"/>
              <w:gridCol w:w="1058"/>
              <w:gridCol w:w="203"/>
              <w:gridCol w:w="1634"/>
              <w:gridCol w:w="1980"/>
              <w:gridCol w:w="728"/>
            </w:tblGrid>
            <w:tr w14:paraId="0BEAE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7" w:type="dxa"/>
                  <w:vAlign w:val="center"/>
                </w:tcPr>
                <w:p w14:paraId="772FCAE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产品名称</w:t>
                  </w:r>
                </w:p>
              </w:tc>
              <w:tc>
                <w:tcPr>
                  <w:tcW w:w="1261" w:type="dxa"/>
                  <w:gridSpan w:val="2"/>
                  <w:vAlign w:val="center"/>
                </w:tcPr>
                <w:p w14:paraId="7F889E2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产量</w:t>
                  </w:r>
                </w:p>
              </w:tc>
              <w:tc>
                <w:tcPr>
                  <w:tcW w:w="1634" w:type="dxa"/>
                  <w:vAlign w:val="center"/>
                </w:tcPr>
                <w:p w14:paraId="02B7171D">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储存方式</w:t>
                  </w:r>
                </w:p>
              </w:tc>
              <w:tc>
                <w:tcPr>
                  <w:tcW w:w="1980" w:type="dxa"/>
                  <w:vAlign w:val="center"/>
                </w:tcPr>
                <w:p w14:paraId="1406C926">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储存位置</w:t>
                  </w:r>
                </w:p>
              </w:tc>
              <w:tc>
                <w:tcPr>
                  <w:tcW w:w="728" w:type="dxa"/>
                  <w:vAlign w:val="center"/>
                </w:tcPr>
                <w:p w14:paraId="3727C63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备注</w:t>
                  </w:r>
                </w:p>
              </w:tc>
            </w:tr>
            <w:tr w14:paraId="64E31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7" w:type="dxa"/>
                  <w:shd w:val="clear" w:color="auto" w:fill="auto"/>
                  <w:vAlign w:val="center"/>
                </w:tcPr>
                <w:p w14:paraId="4D2E0FB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醋酸钠及复合醋酸钠脱氮系列助剂</w:t>
                  </w:r>
                </w:p>
              </w:tc>
              <w:tc>
                <w:tcPr>
                  <w:tcW w:w="1261" w:type="dxa"/>
                  <w:gridSpan w:val="2"/>
                  <w:vAlign w:val="center"/>
                </w:tcPr>
                <w:p w14:paraId="7B1D901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40000t/a</w:t>
                  </w:r>
                </w:p>
              </w:tc>
              <w:tc>
                <w:tcPr>
                  <w:tcW w:w="1634" w:type="dxa"/>
                  <w:vAlign w:val="center"/>
                </w:tcPr>
                <w:p w14:paraId="5746B8AB">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桶装、储罐</w:t>
                  </w:r>
                </w:p>
              </w:tc>
              <w:tc>
                <w:tcPr>
                  <w:tcW w:w="1980" w:type="dxa"/>
                  <w:vAlign w:val="center"/>
                </w:tcPr>
                <w:p w14:paraId="0F6CB268">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仓库、罐区</w:t>
                  </w:r>
                </w:p>
              </w:tc>
              <w:tc>
                <w:tcPr>
                  <w:tcW w:w="728" w:type="dxa"/>
                  <w:vAlign w:val="center"/>
                </w:tcPr>
                <w:p w14:paraId="382E579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0954C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7" w:type="dxa"/>
                  <w:shd w:val="clear" w:color="auto" w:fill="auto"/>
                  <w:vAlign w:val="center"/>
                </w:tcPr>
                <w:p w14:paraId="772B9AA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葡萄糖及葡萄糖类脱氮系列助剂</w:t>
                  </w:r>
                </w:p>
              </w:tc>
              <w:tc>
                <w:tcPr>
                  <w:tcW w:w="1261" w:type="dxa"/>
                  <w:gridSpan w:val="2"/>
                  <w:shd w:val="clear" w:color="auto" w:fill="auto"/>
                  <w:vAlign w:val="center"/>
                </w:tcPr>
                <w:p w14:paraId="5ED9E3B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30000t/a</w:t>
                  </w:r>
                </w:p>
              </w:tc>
              <w:tc>
                <w:tcPr>
                  <w:tcW w:w="1634" w:type="dxa"/>
                  <w:shd w:val="clear" w:color="auto" w:fill="auto"/>
                  <w:vAlign w:val="center"/>
                </w:tcPr>
                <w:p w14:paraId="0DA2326C">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val="en-US" w:eastAsia="zh-CN"/>
                    </w:rPr>
                    <w:t>桶装、储罐</w:t>
                  </w:r>
                </w:p>
              </w:tc>
              <w:tc>
                <w:tcPr>
                  <w:tcW w:w="1980" w:type="dxa"/>
                  <w:shd w:val="clear" w:color="auto" w:fill="auto"/>
                  <w:vAlign w:val="center"/>
                </w:tcPr>
                <w:p w14:paraId="623A37E8">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仓库、罐区</w:t>
                  </w:r>
                </w:p>
              </w:tc>
              <w:tc>
                <w:tcPr>
                  <w:tcW w:w="728" w:type="dxa"/>
                  <w:shd w:val="clear" w:color="auto" w:fill="auto"/>
                  <w:vAlign w:val="center"/>
                </w:tcPr>
                <w:p w14:paraId="6800FF7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49822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7" w:type="dxa"/>
                  <w:shd w:val="clear" w:color="auto" w:fill="auto"/>
                  <w:vAlign w:val="center"/>
                </w:tcPr>
                <w:p w14:paraId="1529955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醇类复合碳源系列助剂</w:t>
                  </w:r>
                </w:p>
              </w:tc>
              <w:tc>
                <w:tcPr>
                  <w:tcW w:w="1261" w:type="dxa"/>
                  <w:gridSpan w:val="2"/>
                  <w:vAlign w:val="center"/>
                </w:tcPr>
                <w:p w14:paraId="77521C6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30000t/a</w:t>
                  </w:r>
                </w:p>
              </w:tc>
              <w:tc>
                <w:tcPr>
                  <w:tcW w:w="1634" w:type="dxa"/>
                  <w:shd w:val="clear" w:color="auto" w:fill="auto"/>
                  <w:vAlign w:val="center"/>
                </w:tcPr>
                <w:p w14:paraId="23735255">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val="en-US" w:eastAsia="zh-CN"/>
                    </w:rPr>
                    <w:t>桶装、储罐</w:t>
                  </w:r>
                </w:p>
              </w:tc>
              <w:tc>
                <w:tcPr>
                  <w:tcW w:w="1980" w:type="dxa"/>
                  <w:shd w:val="clear" w:color="auto" w:fill="auto"/>
                  <w:vAlign w:val="center"/>
                </w:tcPr>
                <w:p w14:paraId="6B729DA0">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仓库、罐区</w:t>
                  </w:r>
                </w:p>
              </w:tc>
              <w:tc>
                <w:tcPr>
                  <w:tcW w:w="728" w:type="dxa"/>
                  <w:vAlign w:val="center"/>
                </w:tcPr>
                <w:p w14:paraId="24180B9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765D5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7" w:type="dxa"/>
                  <w:shd w:val="clear" w:color="auto" w:fill="auto"/>
                  <w:vAlign w:val="center"/>
                </w:tcPr>
                <w:p w14:paraId="2207FDB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合计</w:t>
                  </w:r>
                </w:p>
              </w:tc>
              <w:tc>
                <w:tcPr>
                  <w:tcW w:w="1261" w:type="dxa"/>
                  <w:gridSpan w:val="2"/>
                  <w:vAlign w:val="center"/>
                </w:tcPr>
                <w:p w14:paraId="279DC1E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100000t/a</w:t>
                  </w:r>
                </w:p>
              </w:tc>
              <w:tc>
                <w:tcPr>
                  <w:tcW w:w="1634" w:type="dxa"/>
                  <w:vAlign w:val="center"/>
                </w:tcPr>
                <w:p w14:paraId="5A685D69">
                  <w:pPr>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c>
                <w:tcPr>
                  <w:tcW w:w="1980" w:type="dxa"/>
                  <w:vAlign w:val="center"/>
                </w:tcPr>
                <w:p w14:paraId="36AC5C67">
                  <w:pPr>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c>
                <w:tcPr>
                  <w:tcW w:w="728" w:type="dxa"/>
                  <w:vAlign w:val="center"/>
                </w:tcPr>
                <w:p w14:paraId="6A23B17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1DDF7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90" w:type="dxa"/>
                  <w:gridSpan w:val="6"/>
                  <w:shd w:val="clear" w:color="auto" w:fill="auto"/>
                  <w:vAlign w:val="center"/>
                </w:tcPr>
                <w:p w14:paraId="74E204C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产品质量标准：《废（污）水处理用复合碳源》（HG/T5960-2021）</w:t>
                  </w:r>
                </w:p>
              </w:tc>
            </w:tr>
            <w:tr w14:paraId="43715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90" w:type="dxa"/>
                  <w:gridSpan w:val="6"/>
                  <w:shd w:val="clear" w:color="auto" w:fill="auto"/>
                  <w:vAlign w:val="center"/>
                </w:tcPr>
                <w:p w14:paraId="1C65F747">
                  <w:pPr>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项目产品主要用于污水处理生化系统，用于微生物生长和繁殖的主要营养来源，根据产品用途产品质量标准执行</w:t>
                  </w:r>
                  <w:r>
                    <w:rPr>
                      <w:rFonts w:hint="default" w:ascii="Times New Roman" w:hAnsi="Times New Roman" w:cs="Times New Roman"/>
                      <w:szCs w:val="21"/>
                      <w:highlight w:val="none"/>
                    </w:rPr>
                    <w:t>《废（污）水处理用复合碳源》（HG/T5960-2021）</w:t>
                  </w:r>
                </w:p>
              </w:tc>
            </w:tr>
            <w:tr w14:paraId="587B0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21B430F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w:t>
                  </w:r>
                </w:p>
              </w:tc>
              <w:tc>
                <w:tcPr>
                  <w:tcW w:w="4545" w:type="dxa"/>
                  <w:gridSpan w:val="4"/>
                  <w:vAlign w:val="center"/>
                </w:tcPr>
                <w:p w14:paraId="18C8553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指标</w:t>
                  </w:r>
                </w:p>
              </w:tc>
            </w:tr>
            <w:tr w14:paraId="5370D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026CD3C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化学需氧量(CODcr)/(mg/L)≥</w:t>
                  </w:r>
                </w:p>
              </w:tc>
              <w:tc>
                <w:tcPr>
                  <w:tcW w:w="4545" w:type="dxa"/>
                  <w:gridSpan w:val="4"/>
                  <w:vAlign w:val="center"/>
                </w:tcPr>
                <w:p w14:paraId="240448F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2.5×10</w:t>
                  </w:r>
                  <w:r>
                    <w:rPr>
                      <w:rFonts w:hint="default" w:ascii="Times New Roman" w:hAnsi="Times New Roman" w:cs="Times New Roman"/>
                      <w:szCs w:val="21"/>
                      <w:highlight w:val="none"/>
                      <w:vertAlign w:val="superscript"/>
                    </w:rPr>
                    <w:t>5</w:t>
                  </w:r>
                </w:p>
              </w:tc>
            </w:tr>
            <w:tr w14:paraId="19249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2BC3C7F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BOD</w:t>
                  </w:r>
                  <w:r>
                    <w:rPr>
                      <w:rFonts w:hint="default" w:ascii="Times New Roman" w:hAnsi="Times New Roman" w:cs="Times New Roman"/>
                      <w:szCs w:val="21"/>
                      <w:highlight w:val="none"/>
                      <w:vertAlign w:val="subscript"/>
                    </w:rPr>
                    <w:t>5</w:t>
                  </w:r>
                  <w:r>
                    <w:rPr>
                      <w:rFonts w:hint="default" w:ascii="Times New Roman" w:hAnsi="Times New Roman" w:cs="Times New Roman"/>
                      <w:szCs w:val="21"/>
                      <w:highlight w:val="none"/>
                    </w:rPr>
                    <w:t>/CODcr≥</w:t>
                  </w:r>
                </w:p>
              </w:tc>
              <w:tc>
                <w:tcPr>
                  <w:tcW w:w="4545" w:type="dxa"/>
                  <w:gridSpan w:val="4"/>
                  <w:vAlign w:val="center"/>
                </w:tcPr>
                <w:p w14:paraId="10DA1357">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0.55</w:t>
                  </w:r>
                </w:p>
              </w:tc>
            </w:tr>
            <w:tr w14:paraId="4F2A6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2C16BE0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eastAsia="en-US"/>
                    </w:rPr>
                    <w:t>pH值</w:t>
                  </w:r>
                </w:p>
              </w:tc>
              <w:tc>
                <w:tcPr>
                  <w:tcW w:w="4545" w:type="dxa"/>
                  <w:gridSpan w:val="4"/>
                  <w:vAlign w:val="center"/>
                </w:tcPr>
                <w:p w14:paraId="7F85E83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4.0~9.0</w:t>
                  </w:r>
                </w:p>
              </w:tc>
            </w:tr>
            <w:tr w14:paraId="1826B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2948BA6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eastAsia="en-US"/>
                    </w:rPr>
                    <w:t>密度</w:t>
                  </w:r>
                  <w:r>
                    <w:rPr>
                      <w:rFonts w:hint="default" w:ascii="Times New Roman" w:hAnsi="Times New Roman" w:cs="Times New Roman"/>
                      <w:szCs w:val="21"/>
                      <w:highlight w:val="none"/>
                    </w:rPr>
                    <w:t>（</w:t>
                  </w:r>
                  <w:r>
                    <w:rPr>
                      <w:rFonts w:hint="default" w:ascii="Times New Roman" w:hAnsi="Times New Roman" w:cs="Times New Roman"/>
                      <w:szCs w:val="21"/>
                      <w:highlight w:val="none"/>
                      <w:lang w:eastAsia="en-US"/>
                    </w:rPr>
                    <w:t>20℃</w:t>
                  </w:r>
                  <w:r>
                    <w:rPr>
                      <w:rFonts w:hint="default" w:ascii="Times New Roman" w:hAnsi="Times New Roman" w:cs="Times New Roman"/>
                      <w:szCs w:val="21"/>
                      <w:highlight w:val="none"/>
                    </w:rPr>
                    <w:t>）</w:t>
                  </w:r>
                  <w:r>
                    <w:rPr>
                      <w:rFonts w:hint="default" w:ascii="Times New Roman" w:hAnsi="Times New Roman" w:cs="Times New Roman"/>
                      <w:szCs w:val="21"/>
                      <w:highlight w:val="none"/>
                      <w:lang w:eastAsia="en-US"/>
                    </w:rPr>
                    <w:t>/(g/cm</w:t>
                  </w:r>
                  <w:r>
                    <w:rPr>
                      <w:rFonts w:hint="default" w:ascii="Times New Roman" w:hAnsi="Times New Roman" w:cs="Times New Roman"/>
                      <w:szCs w:val="21"/>
                      <w:highlight w:val="none"/>
                      <w:vertAlign w:val="superscript"/>
                      <w:lang w:eastAsia="en-US"/>
                    </w:rPr>
                    <w:t>3</w:t>
                  </w:r>
                  <w:r>
                    <w:rPr>
                      <w:rFonts w:hint="default" w:ascii="Times New Roman" w:hAnsi="Times New Roman" w:cs="Times New Roman"/>
                      <w:szCs w:val="21"/>
                      <w:highlight w:val="none"/>
                      <w:lang w:eastAsia="en-US"/>
                    </w:rPr>
                    <w:t>)</w:t>
                  </w:r>
                </w:p>
              </w:tc>
              <w:tc>
                <w:tcPr>
                  <w:tcW w:w="4545" w:type="dxa"/>
                  <w:gridSpan w:val="4"/>
                  <w:vAlign w:val="center"/>
                </w:tcPr>
                <w:p w14:paraId="662442E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1.00~1.26</w:t>
                  </w:r>
                </w:p>
              </w:tc>
            </w:tr>
            <w:tr w14:paraId="78FD5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1F7F7C7C">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水不溶物的质量分数/%≤</w:t>
                  </w:r>
                </w:p>
              </w:tc>
              <w:tc>
                <w:tcPr>
                  <w:tcW w:w="4545" w:type="dxa"/>
                  <w:gridSpan w:val="4"/>
                  <w:vAlign w:val="center"/>
                </w:tcPr>
                <w:p w14:paraId="78D75C5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0.2</w:t>
                  </w:r>
                </w:p>
              </w:tc>
            </w:tr>
            <w:tr w14:paraId="5CC96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2AE1DCD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eastAsia="en-US"/>
                    </w:rPr>
                    <w:t>凝点/℃</w:t>
                  </w:r>
                </w:p>
              </w:tc>
              <w:tc>
                <w:tcPr>
                  <w:tcW w:w="4545" w:type="dxa"/>
                  <w:gridSpan w:val="4"/>
                  <w:vAlign w:val="center"/>
                </w:tcPr>
                <w:p w14:paraId="35E2E71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供需双方协商</w:t>
                  </w:r>
                </w:p>
              </w:tc>
            </w:tr>
            <w:tr w14:paraId="057B1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3645D5A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总磷（以P计）的质量分数/%≤</w:t>
                  </w:r>
                </w:p>
              </w:tc>
              <w:tc>
                <w:tcPr>
                  <w:tcW w:w="4545" w:type="dxa"/>
                  <w:gridSpan w:val="4"/>
                  <w:vAlign w:val="center"/>
                </w:tcPr>
                <w:p w14:paraId="3021385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0.005</w:t>
                  </w:r>
                </w:p>
              </w:tc>
            </w:tr>
            <w:tr w14:paraId="3465C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5DAB1AE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总氮（以N计）的质量分数/%≤</w:t>
                  </w:r>
                </w:p>
              </w:tc>
              <w:tc>
                <w:tcPr>
                  <w:tcW w:w="4545" w:type="dxa"/>
                  <w:gridSpan w:val="4"/>
                  <w:vAlign w:val="center"/>
                </w:tcPr>
                <w:p w14:paraId="0833558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0.025</w:t>
                  </w:r>
                </w:p>
              </w:tc>
            </w:tr>
            <w:tr w14:paraId="48432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3FDB247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氯化物（Cl）的质量分数/%≤</w:t>
                  </w:r>
                </w:p>
              </w:tc>
              <w:tc>
                <w:tcPr>
                  <w:tcW w:w="4545" w:type="dxa"/>
                  <w:gridSpan w:val="4"/>
                  <w:vAlign w:val="center"/>
                </w:tcPr>
                <w:p w14:paraId="5512AB51">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0.025</w:t>
                  </w:r>
                </w:p>
              </w:tc>
            </w:tr>
            <w:tr w14:paraId="07371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52D0E0A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硫酸盐（SO</w:t>
                  </w:r>
                  <w:r>
                    <w:rPr>
                      <w:rFonts w:hint="default" w:ascii="Times New Roman" w:hAnsi="Times New Roman" w:cs="Times New Roman"/>
                      <w:szCs w:val="21"/>
                      <w:highlight w:val="none"/>
                      <w:vertAlign w:val="subscript"/>
                    </w:rPr>
                    <w:t>4</w:t>
                  </w:r>
                  <w:r>
                    <w:rPr>
                      <w:rFonts w:hint="default" w:ascii="Times New Roman" w:hAnsi="Times New Roman" w:cs="Times New Roman"/>
                      <w:szCs w:val="21"/>
                      <w:highlight w:val="none"/>
                    </w:rPr>
                    <w:t>）的质量分数/%≤</w:t>
                  </w:r>
                </w:p>
              </w:tc>
              <w:tc>
                <w:tcPr>
                  <w:tcW w:w="4545" w:type="dxa"/>
                  <w:gridSpan w:val="4"/>
                  <w:vAlign w:val="center"/>
                </w:tcPr>
                <w:p w14:paraId="3247CAA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0.025</w:t>
                  </w:r>
                </w:p>
              </w:tc>
            </w:tr>
            <w:tr w14:paraId="17439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6896EB5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汞（Hg）的质量分数/%≤</w:t>
                  </w:r>
                </w:p>
              </w:tc>
              <w:tc>
                <w:tcPr>
                  <w:tcW w:w="4545" w:type="dxa"/>
                  <w:gridSpan w:val="4"/>
                  <w:vAlign w:val="center"/>
                </w:tcPr>
                <w:p w14:paraId="00CEC40B">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0.00002</w:t>
                  </w:r>
                </w:p>
              </w:tc>
            </w:tr>
            <w:tr w14:paraId="38536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17A814D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镉（Cd）的质量分数/%≤</w:t>
                  </w:r>
                </w:p>
              </w:tc>
              <w:tc>
                <w:tcPr>
                  <w:tcW w:w="4545" w:type="dxa"/>
                  <w:gridSpan w:val="4"/>
                  <w:vAlign w:val="center"/>
                </w:tcPr>
                <w:p w14:paraId="26341D4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0.0002</w:t>
                  </w:r>
                </w:p>
              </w:tc>
            </w:tr>
            <w:tr w14:paraId="3097D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72D9C79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铬（Cr）的质量分数/%≤</w:t>
                  </w:r>
                </w:p>
              </w:tc>
              <w:tc>
                <w:tcPr>
                  <w:tcW w:w="4545" w:type="dxa"/>
                  <w:gridSpan w:val="4"/>
                  <w:vAlign w:val="center"/>
                </w:tcPr>
                <w:p w14:paraId="27CAF7F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0.0005</w:t>
                  </w:r>
                </w:p>
              </w:tc>
            </w:tr>
            <w:tr w14:paraId="57D77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4C617C0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砷（As）的质量分数/%≤</w:t>
                  </w:r>
                </w:p>
              </w:tc>
              <w:tc>
                <w:tcPr>
                  <w:tcW w:w="4545" w:type="dxa"/>
                  <w:gridSpan w:val="4"/>
                  <w:vAlign w:val="center"/>
                </w:tcPr>
                <w:p w14:paraId="52DF33E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0.0005</w:t>
                  </w:r>
                </w:p>
              </w:tc>
            </w:tr>
            <w:tr w14:paraId="3FD41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5" w:type="dxa"/>
                  <w:gridSpan w:val="2"/>
                  <w:shd w:val="clear" w:color="auto" w:fill="auto"/>
                  <w:vAlign w:val="center"/>
                </w:tcPr>
                <w:p w14:paraId="7F8ABFC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铅（Pb）的质量分数/%≤</w:t>
                  </w:r>
                </w:p>
              </w:tc>
              <w:tc>
                <w:tcPr>
                  <w:tcW w:w="4545" w:type="dxa"/>
                  <w:gridSpan w:val="4"/>
                  <w:vAlign w:val="center"/>
                </w:tcPr>
                <w:p w14:paraId="08EB241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0.0005</w:t>
                  </w:r>
                </w:p>
              </w:tc>
            </w:tr>
            <w:tr w14:paraId="720C1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090" w:type="dxa"/>
                  <w:gridSpan w:val="6"/>
                  <w:shd w:val="clear" w:color="auto" w:fill="auto"/>
                  <w:vAlign w:val="center"/>
                </w:tcPr>
                <w:p w14:paraId="45E4B54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表中产品的总磷、总氮、氯化物、硫酸盐的质量分数均按化学需氧量（CODcr）为2.5×10</w:t>
                  </w:r>
                  <w:r>
                    <w:rPr>
                      <w:rFonts w:hint="default" w:ascii="Times New Roman" w:hAnsi="Times New Roman" w:cs="Times New Roman"/>
                      <w:szCs w:val="21"/>
                      <w:highlight w:val="none"/>
                      <w:vertAlign w:val="superscript"/>
                    </w:rPr>
                    <w:t>5</w:t>
                  </w:r>
                  <w:r>
                    <w:rPr>
                      <w:rFonts w:hint="default" w:ascii="Times New Roman" w:hAnsi="Times New Roman" w:cs="Times New Roman"/>
                      <w:szCs w:val="21"/>
                      <w:highlight w:val="none"/>
                    </w:rPr>
                    <w:t>mg/L计，CODcr&gt;2.5×10</w:t>
                  </w:r>
                  <w:r>
                    <w:rPr>
                      <w:rFonts w:hint="default" w:ascii="Times New Roman" w:hAnsi="Times New Roman" w:cs="Times New Roman"/>
                      <w:szCs w:val="21"/>
                      <w:highlight w:val="none"/>
                      <w:vertAlign w:val="superscript"/>
                    </w:rPr>
                    <w:t>5</w:t>
                  </w:r>
                  <w:r>
                    <w:rPr>
                      <w:rFonts w:hint="default" w:ascii="Times New Roman" w:hAnsi="Times New Roman" w:cs="Times New Roman"/>
                      <w:szCs w:val="21"/>
                      <w:highlight w:val="none"/>
                    </w:rPr>
                    <w:t>mg/L时按实际化学需氧量折算成CODcr为2.5×10</w:t>
                  </w:r>
                  <w:r>
                    <w:rPr>
                      <w:rFonts w:hint="default" w:ascii="Times New Roman" w:hAnsi="Times New Roman" w:cs="Times New Roman"/>
                      <w:szCs w:val="21"/>
                      <w:highlight w:val="none"/>
                      <w:vertAlign w:val="superscript"/>
                    </w:rPr>
                    <w:t>5</w:t>
                  </w:r>
                  <w:r>
                    <w:rPr>
                      <w:rFonts w:hint="default" w:ascii="Times New Roman" w:hAnsi="Times New Roman" w:cs="Times New Roman"/>
                      <w:szCs w:val="21"/>
                      <w:highlight w:val="none"/>
                    </w:rPr>
                    <w:t>mg/L产品比例计算出相应的质量分数。</w:t>
                  </w:r>
                </w:p>
              </w:tc>
            </w:tr>
          </w:tbl>
          <w:p w14:paraId="560CDB52">
            <w:pPr>
              <w:spacing w:line="360" w:lineRule="auto"/>
              <w:ind w:firstLine="482" w:firstLineChars="200"/>
              <w:textAlignment w:val="baseline"/>
              <w:rPr>
                <w:rFonts w:hint="default" w:ascii="Times New Roman" w:hAnsi="Times New Roman" w:cs="Times New Roman"/>
                <w:b/>
                <w:sz w:val="24"/>
                <w:highlight w:val="none"/>
              </w:rPr>
            </w:pPr>
            <w:r>
              <w:rPr>
                <w:rFonts w:hint="default" w:ascii="Times New Roman" w:hAnsi="Times New Roman" w:cs="Times New Roman"/>
                <w:b/>
                <w:sz w:val="24"/>
                <w:highlight w:val="none"/>
              </w:rPr>
              <w:t>产能匹配性分析：</w:t>
            </w:r>
          </w:p>
          <w:p w14:paraId="4646C0B7">
            <w:pPr>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项目主要生产设备为复合调配罐，容积为200m</w:t>
            </w:r>
            <w:r>
              <w:rPr>
                <w:rFonts w:hint="default" w:ascii="Times New Roman" w:hAnsi="Times New Roman" w:cs="Times New Roman"/>
                <w:bCs/>
                <w:sz w:val="24"/>
                <w:highlight w:val="none"/>
                <w:vertAlign w:val="superscript"/>
              </w:rPr>
              <w:t>3</w:t>
            </w:r>
            <w:r>
              <w:rPr>
                <w:rFonts w:hint="default" w:ascii="Times New Roman" w:hAnsi="Times New Roman" w:cs="Times New Roman"/>
                <w:bCs/>
                <w:sz w:val="24"/>
                <w:highlight w:val="none"/>
              </w:rPr>
              <w:t>，生产方式为批次生产，每批次填装量为85%，每批次生产时间为4h，每天生产2批次，年产能约为100000t/a。</w:t>
            </w:r>
          </w:p>
          <w:p w14:paraId="235C03D9">
            <w:pPr>
              <w:spacing w:line="360" w:lineRule="auto"/>
              <w:ind w:firstLine="482" w:firstLineChars="200"/>
              <w:textAlignment w:val="baseline"/>
              <w:rPr>
                <w:rFonts w:hint="default" w:ascii="Times New Roman" w:hAnsi="Times New Roman" w:cs="Times New Roman"/>
                <w:b/>
                <w:sz w:val="24"/>
                <w:highlight w:val="none"/>
              </w:rPr>
            </w:pPr>
            <w:r>
              <w:rPr>
                <w:rFonts w:hint="default" w:ascii="Times New Roman" w:hAnsi="Times New Roman" w:cs="Times New Roman"/>
                <w:b/>
                <w:sz w:val="24"/>
                <w:highlight w:val="none"/>
              </w:rPr>
              <w:t>4、工作制度及劳动定员</w:t>
            </w:r>
          </w:p>
          <w:p w14:paraId="1C0C6DBB">
            <w:pPr>
              <w:spacing w:line="360" w:lineRule="auto"/>
              <w:ind w:firstLine="512" w:firstLineChars="200"/>
              <w:rPr>
                <w:rFonts w:hint="default" w:ascii="Times New Roman" w:hAnsi="Times New Roman" w:cs="Times New Roman"/>
                <w:spacing w:val="8"/>
                <w:sz w:val="24"/>
                <w:highlight w:val="none"/>
              </w:rPr>
            </w:pPr>
            <w:r>
              <w:rPr>
                <w:rFonts w:hint="default" w:ascii="Times New Roman" w:hAnsi="Times New Roman" w:cs="Times New Roman"/>
                <w:spacing w:val="8"/>
                <w:sz w:val="24"/>
                <w:highlight w:val="none"/>
              </w:rPr>
              <w:t>项目不增加劳动定员，依托厂区原有工作人员12人，</w:t>
            </w:r>
            <w:r>
              <w:rPr>
                <w:rFonts w:hint="default" w:ascii="Times New Roman" w:hAnsi="Times New Roman" w:cs="Times New Roman"/>
                <w:sz w:val="24"/>
                <w:highlight w:val="none"/>
              </w:rPr>
              <w:t>实行一班工作制，每班工作8小时，年工作300天，2400小时。</w:t>
            </w:r>
          </w:p>
          <w:p w14:paraId="23DA66DE">
            <w:pPr>
              <w:spacing w:line="360" w:lineRule="auto"/>
              <w:ind w:firstLine="482" w:firstLineChars="200"/>
              <w:textAlignment w:val="baseline"/>
              <w:rPr>
                <w:rFonts w:hint="default" w:ascii="Times New Roman" w:hAnsi="Times New Roman" w:cs="Times New Roman"/>
                <w:b/>
                <w:sz w:val="24"/>
                <w:highlight w:val="none"/>
              </w:rPr>
            </w:pPr>
            <w:r>
              <w:rPr>
                <w:rFonts w:hint="default" w:ascii="Times New Roman" w:hAnsi="Times New Roman" w:cs="Times New Roman"/>
                <w:b/>
                <w:sz w:val="24"/>
                <w:highlight w:val="none"/>
              </w:rPr>
              <w:t>5、原辅材料及能源消耗</w:t>
            </w:r>
          </w:p>
          <w:p w14:paraId="0CA91484">
            <w:pPr>
              <w:spacing w:line="360" w:lineRule="auto"/>
              <w:ind w:firstLine="480" w:firstLineChars="200"/>
              <w:jc w:val="left"/>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w:t>项目主要原辅材料及能源消耗详见下表。</w:t>
            </w:r>
          </w:p>
          <w:p w14:paraId="4D84B277">
            <w:pPr>
              <w:pStyle w:val="13"/>
              <w:ind w:firstLine="0"/>
              <w:jc w:val="center"/>
              <w:rPr>
                <w:rFonts w:hint="default" w:ascii="Times New Roman" w:hAnsi="Times New Roman" w:cs="Times New Roman"/>
                <w:highlight w:val="none"/>
              </w:rPr>
            </w:pPr>
            <w:r>
              <w:rPr>
                <w:rFonts w:hint="default" w:ascii="Times New Roman" w:hAnsi="Times New Roman" w:cs="Times New Roman"/>
                <w:b/>
                <w:bCs/>
                <w:kern w:val="0"/>
                <w:sz w:val="24"/>
                <w:szCs w:val="24"/>
                <w:highlight w:val="none"/>
              </w:rPr>
              <w:t>表2-3  拟建项目主要原材料及能源消耗一览表</w:t>
            </w:r>
          </w:p>
          <w:tbl>
            <w:tblPr>
              <w:tblStyle w:val="222"/>
              <w:tblW w:w="9095" w:type="dxa"/>
              <w:tblInd w:w="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30"/>
              <w:gridCol w:w="1390"/>
              <w:gridCol w:w="631"/>
              <w:gridCol w:w="748"/>
              <w:gridCol w:w="1138"/>
              <w:gridCol w:w="1138"/>
              <w:gridCol w:w="1138"/>
              <w:gridCol w:w="1141"/>
              <w:gridCol w:w="1141"/>
            </w:tblGrid>
            <w:tr w14:paraId="5885E0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76BF6701">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序号</w:t>
                  </w:r>
                </w:p>
              </w:tc>
              <w:tc>
                <w:tcPr>
                  <w:tcW w:w="1390" w:type="dxa"/>
                  <w:tcBorders>
                    <w:left w:val="single" w:color="000000" w:sz="6" w:space="0"/>
                  </w:tcBorders>
                  <w:shd w:val="clear" w:color="auto" w:fill="auto"/>
                  <w:vAlign w:val="center"/>
                </w:tcPr>
                <w:p w14:paraId="222E3E4B">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名称</w:t>
                  </w:r>
                </w:p>
              </w:tc>
              <w:tc>
                <w:tcPr>
                  <w:tcW w:w="631" w:type="dxa"/>
                  <w:tcBorders>
                    <w:left w:val="single" w:color="000000" w:sz="6" w:space="0"/>
                  </w:tcBorders>
                  <w:vAlign w:val="center"/>
                </w:tcPr>
                <w:p w14:paraId="3C74F7D2">
                  <w:pPr>
                    <w:autoSpaceDE w:val="0"/>
                    <w:autoSpaceDN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浓度</w:t>
                  </w:r>
                </w:p>
              </w:tc>
              <w:tc>
                <w:tcPr>
                  <w:tcW w:w="748" w:type="dxa"/>
                  <w:vAlign w:val="center"/>
                </w:tcPr>
                <w:p w14:paraId="446AB5AC">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单位</w:t>
                  </w:r>
                </w:p>
              </w:tc>
              <w:tc>
                <w:tcPr>
                  <w:tcW w:w="1138" w:type="dxa"/>
                  <w:vAlign w:val="center"/>
                </w:tcPr>
                <w:p w14:paraId="4CC84EAA">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数量</w:t>
                  </w:r>
                </w:p>
              </w:tc>
              <w:tc>
                <w:tcPr>
                  <w:tcW w:w="1138" w:type="dxa"/>
                  <w:vAlign w:val="center"/>
                </w:tcPr>
                <w:p w14:paraId="3B7EBF07">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形态</w:t>
                  </w:r>
                </w:p>
              </w:tc>
              <w:tc>
                <w:tcPr>
                  <w:tcW w:w="1138" w:type="dxa"/>
                  <w:vAlign w:val="center"/>
                </w:tcPr>
                <w:p w14:paraId="08733F45">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包装方式</w:t>
                  </w:r>
                </w:p>
              </w:tc>
              <w:tc>
                <w:tcPr>
                  <w:tcW w:w="1141" w:type="dxa"/>
                  <w:vAlign w:val="center"/>
                </w:tcPr>
                <w:p w14:paraId="484EF7BB">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储存位置</w:t>
                  </w:r>
                </w:p>
              </w:tc>
              <w:tc>
                <w:tcPr>
                  <w:tcW w:w="1141" w:type="dxa"/>
                  <w:vAlign w:val="center"/>
                </w:tcPr>
                <w:p w14:paraId="2C9646BA">
                  <w:pPr>
                    <w:autoSpaceDE w:val="0"/>
                    <w:autoSpaceDN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备注</w:t>
                  </w:r>
                </w:p>
              </w:tc>
            </w:tr>
            <w:tr w14:paraId="4161DE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6849EF23">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w:t>
                  </w:r>
                </w:p>
              </w:tc>
              <w:tc>
                <w:tcPr>
                  <w:tcW w:w="1390" w:type="dxa"/>
                  <w:tcBorders>
                    <w:left w:val="single" w:color="000000" w:sz="6" w:space="0"/>
                  </w:tcBorders>
                  <w:shd w:val="clear" w:color="auto" w:fill="auto"/>
                  <w:vAlign w:val="center"/>
                </w:tcPr>
                <w:p w14:paraId="54B7F988">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醋酸钠</w:t>
                  </w:r>
                </w:p>
              </w:tc>
              <w:tc>
                <w:tcPr>
                  <w:tcW w:w="631" w:type="dxa"/>
                  <w:tcBorders>
                    <w:left w:val="single" w:color="000000" w:sz="6" w:space="0"/>
                  </w:tcBorders>
                  <w:vAlign w:val="center"/>
                </w:tcPr>
                <w:p w14:paraId="200330C8">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30%</w:t>
                  </w:r>
                </w:p>
              </w:tc>
              <w:tc>
                <w:tcPr>
                  <w:tcW w:w="748" w:type="dxa"/>
                  <w:vAlign w:val="center"/>
                </w:tcPr>
                <w:p w14:paraId="6EA9945C">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7AAD7E09">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30000</w:t>
                  </w:r>
                </w:p>
              </w:tc>
              <w:tc>
                <w:tcPr>
                  <w:tcW w:w="1138" w:type="dxa"/>
                  <w:shd w:val="clear" w:color="auto" w:fill="auto"/>
                  <w:vAlign w:val="center"/>
                </w:tcPr>
                <w:p w14:paraId="6CC91FC5">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shd w:val="clear" w:color="auto" w:fill="auto"/>
                  <w:vAlign w:val="center"/>
                </w:tcPr>
                <w:p w14:paraId="7AD4B62F">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桶装</w:t>
                  </w:r>
                </w:p>
              </w:tc>
              <w:tc>
                <w:tcPr>
                  <w:tcW w:w="1141" w:type="dxa"/>
                  <w:vAlign w:val="center"/>
                </w:tcPr>
                <w:p w14:paraId="4D5E1F63">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灌装车间</w:t>
                  </w:r>
                </w:p>
              </w:tc>
              <w:tc>
                <w:tcPr>
                  <w:tcW w:w="1141" w:type="dxa"/>
                  <w:vMerge w:val="restart"/>
                  <w:vAlign w:val="center"/>
                </w:tcPr>
                <w:p w14:paraId="48E551E3">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外购工业产品</w:t>
                  </w:r>
                </w:p>
              </w:tc>
            </w:tr>
            <w:tr w14:paraId="6D35E0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6BE9A6EC">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2</w:t>
                  </w:r>
                </w:p>
              </w:tc>
              <w:tc>
                <w:tcPr>
                  <w:tcW w:w="1390" w:type="dxa"/>
                  <w:tcBorders>
                    <w:left w:val="single" w:color="000000" w:sz="6" w:space="0"/>
                  </w:tcBorders>
                  <w:shd w:val="clear" w:color="auto" w:fill="auto"/>
                  <w:vAlign w:val="center"/>
                </w:tcPr>
                <w:p w14:paraId="7521A356">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葡萄糖</w:t>
                  </w:r>
                </w:p>
              </w:tc>
              <w:tc>
                <w:tcPr>
                  <w:tcW w:w="631" w:type="dxa"/>
                  <w:tcBorders>
                    <w:left w:val="single" w:color="000000" w:sz="6" w:space="0"/>
                  </w:tcBorders>
                  <w:vAlign w:val="center"/>
                </w:tcPr>
                <w:p w14:paraId="7BADE3FD">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30%</w:t>
                  </w:r>
                </w:p>
              </w:tc>
              <w:tc>
                <w:tcPr>
                  <w:tcW w:w="748" w:type="dxa"/>
                  <w:vAlign w:val="center"/>
                </w:tcPr>
                <w:p w14:paraId="398CD63C">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6B038766">
                  <w:pPr>
                    <w:widowControl/>
                    <w:autoSpaceDE w:val="0"/>
                    <w:autoSpaceDN w:val="0"/>
                    <w:jc w:val="center"/>
                    <w:textAlignment w:val="center"/>
                    <w:rPr>
                      <w:rFonts w:hint="default" w:ascii="Times New Roman" w:hAnsi="Times New Roman" w:cs="Times New Roman"/>
                      <w:szCs w:val="21"/>
                      <w:highlight w:val="none"/>
                      <w:lang w:eastAsia="en-US"/>
                    </w:rPr>
                  </w:pPr>
                  <w:r>
                    <w:rPr>
                      <w:rFonts w:hint="eastAsia" w:cs="Times New Roman"/>
                      <w:color w:val="000000"/>
                      <w:kern w:val="0"/>
                      <w:szCs w:val="21"/>
                      <w:highlight w:val="none"/>
                      <w:lang w:val="en-US" w:eastAsia="zh-CN" w:bidi="ar"/>
                    </w:rPr>
                    <w:t>2</w:t>
                  </w:r>
                  <w:r>
                    <w:rPr>
                      <w:rFonts w:hint="default" w:ascii="Times New Roman" w:hAnsi="Times New Roman" w:cs="Times New Roman"/>
                      <w:color w:val="000000"/>
                      <w:kern w:val="0"/>
                      <w:szCs w:val="21"/>
                      <w:highlight w:val="none"/>
                      <w:lang w:eastAsia="en-US" w:bidi="ar"/>
                    </w:rPr>
                    <w:t>0000</w:t>
                  </w:r>
                </w:p>
              </w:tc>
              <w:tc>
                <w:tcPr>
                  <w:tcW w:w="1138" w:type="dxa"/>
                  <w:shd w:val="clear" w:color="auto" w:fill="auto"/>
                  <w:vAlign w:val="center"/>
                </w:tcPr>
                <w:p w14:paraId="016E3876">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shd w:val="clear" w:color="auto" w:fill="auto"/>
                  <w:vAlign w:val="center"/>
                </w:tcPr>
                <w:p w14:paraId="7C78C9A0">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桶装</w:t>
                  </w:r>
                </w:p>
              </w:tc>
              <w:tc>
                <w:tcPr>
                  <w:tcW w:w="1141" w:type="dxa"/>
                  <w:vAlign w:val="center"/>
                </w:tcPr>
                <w:p w14:paraId="40DBF942">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灌装车间</w:t>
                  </w:r>
                </w:p>
              </w:tc>
              <w:tc>
                <w:tcPr>
                  <w:tcW w:w="1141" w:type="dxa"/>
                  <w:vMerge w:val="continue"/>
                  <w:vAlign w:val="center"/>
                </w:tcPr>
                <w:p w14:paraId="65F319B4">
                  <w:pPr>
                    <w:autoSpaceDE w:val="0"/>
                    <w:autoSpaceDN w:val="0"/>
                    <w:jc w:val="center"/>
                    <w:rPr>
                      <w:rFonts w:hint="default" w:ascii="Times New Roman" w:hAnsi="Times New Roman" w:cs="Times New Roman"/>
                      <w:szCs w:val="21"/>
                      <w:highlight w:val="none"/>
                      <w:lang w:eastAsia="en-US"/>
                    </w:rPr>
                  </w:pPr>
                </w:p>
              </w:tc>
            </w:tr>
            <w:tr w14:paraId="4A82E7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6F3034C4">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3</w:t>
                  </w:r>
                </w:p>
              </w:tc>
              <w:tc>
                <w:tcPr>
                  <w:tcW w:w="1390" w:type="dxa"/>
                  <w:tcBorders>
                    <w:left w:val="single" w:color="000000" w:sz="6" w:space="0"/>
                  </w:tcBorders>
                  <w:shd w:val="clear" w:color="auto" w:fill="auto"/>
                  <w:vAlign w:val="center"/>
                </w:tcPr>
                <w:p w14:paraId="7C41DC6E">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甲醇</w:t>
                  </w:r>
                </w:p>
              </w:tc>
              <w:tc>
                <w:tcPr>
                  <w:tcW w:w="631" w:type="dxa"/>
                  <w:tcBorders>
                    <w:left w:val="single" w:color="000000" w:sz="6" w:space="0"/>
                  </w:tcBorders>
                  <w:vAlign w:val="center"/>
                </w:tcPr>
                <w:p w14:paraId="54274120">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99%</w:t>
                  </w:r>
                </w:p>
              </w:tc>
              <w:tc>
                <w:tcPr>
                  <w:tcW w:w="748" w:type="dxa"/>
                  <w:vAlign w:val="center"/>
                </w:tcPr>
                <w:p w14:paraId="6F2EA8B0">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6C0A490B">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3000</w:t>
                  </w:r>
                </w:p>
              </w:tc>
              <w:tc>
                <w:tcPr>
                  <w:tcW w:w="1138" w:type="dxa"/>
                  <w:vAlign w:val="center"/>
                </w:tcPr>
                <w:p w14:paraId="61A1146B">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7B993C96">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储罐</w:t>
                  </w:r>
                </w:p>
              </w:tc>
              <w:tc>
                <w:tcPr>
                  <w:tcW w:w="1141" w:type="dxa"/>
                  <w:vAlign w:val="center"/>
                </w:tcPr>
                <w:p w14:paraId="40B64007">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罐区</w:t>
                  </w:r>
                </w:p>
              </w:tc>
              <w:tc>
                <w:tcPr>
                  <w:tcW w:w="1141" w:type="dxa"/>
                  <w:vMerge w:val="continue"/>
                  <w:vAlign w:val="center"/>
                </w:tcPr>
                <w:p w14:paraId="66C03A58">
                  <w:pPr>
                    <w:autoSpaceDE w:val="0"/>
                    <w:autoSpaceDN w:val="0"/>
                    <w:jc w:val="center"/>
                    <w:rPr>
                      <w:rFonts w:hint="default" w:ascii="Times New Roman" w:hAnsi="Times New Roman" w:cs="Times New Roman"/>
                      <w:szCs w:val="21"/>
                      <w:highlight w:val="none"/>
                      <w:lang w:eastAsia="en-US"/>
                    </w:rPr>
                  </w:pPr>
                </w:p>
              </w:tc>
            </w:tr>
            <w:tr w14:paraId="2D9B13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197C681B">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4</w:t>
                  </w:r>
                </w:p>
              </w:tc>
              <w:tc>
                <w:tcPr>
                  <w:tcW w:w="1390" w:type="dxa"/>
                  <w:tcBorders>
                    <w:left w:val="single" w:color="000000" w:sz="6" w:space="0"/>
                  </w:tcBorders>
                  <w:shd w:val="clear" w:color="auto" w:fill="auto"/>
                  <w:vAlign w:val="center"/>
                </w:tcPr>
                <w:p w14:paraId="66EDF9CD">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乙醇</w:t>
                  </w:r>
                </w:p>
              </w:tc>
              <w:tc>
                <w:tcPr>
                  <w:tcW w:w="631" w:type="dxa"/>
                  <w:tcBorders>
                    <w:left w:val="single" w:color="000000" w:sz="6" w:space="0"/>
                  </w:tcBorders>
                  <w:vAlign w:val="center"/>
                </w:tcPr>
                <w:p w14:paraId="67DD36B5">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99%</w:t>
                  </w:r>
                </w:p>
              </w:tc>
              <w:tc>
                <w:tcPr>
                  <w:tcW w:w="748" w:type="dxa"/>
                  <w:vAlign w:val="center"/>
                </w:tcPr>
                <w:p w14:paraId="63836495">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42B68BDC">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800</w:t>
                  </w:r>
                </w:p>
              </w:tc>
              <w:tc>
                <w:tcPr>
                  <w:tcW w:w="1138" w:type="dxa"/>
                  <w:vAlign w:val="center"/>
                </w:tcPr>
                <w:p w14:paraId="702047B1">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216B4A2A">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储罐</w:t>
                  </w:r>
                </w:p>
              </w:tc>
              <w:tc>
                <w:tcPr>
                  <w:tcW w:w="1141" w:type="dxa"/>
                  <w:vAlign w:val="center"/>
                </w:tcPr>
                <w:p w14:paraId="2C08E049">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罐区</w:t>
                  </w:r>
                </w:p>
              </w:tc>
              <w:tc>
                <w:tcPr>
                  <w:tcW w:w="1141" w:type="dxa"/>
                  <w:vMerge w:val="continue"/>
                  <w:vAlign w:val="center"/>
                </w:tcPr>
                <w:p w14:paraId="5032D2B5">
                  <w:pPr>
                    <w:autoSpaceDE w:val="0"/>
                    <w:autoSpaceDN w:val="0"/>
                    <w:jc w:val="center"/>
                    <w:rPr>
                      <w:rFonts w:hint="default" w:ascii="Times New Roman" w:hAnsi="Times New Roman" w:cs="Times New Roman"/>
                      <w:szCs w:val="21"/>
                      <w:highlight w:val="none"/>
                      <w:lang w:eastAsia="en-US"/>
                    </w:rPr>
                  </w:pPr>
                </w:p>
              </w:tc>
            </w:tr>
            <w:tr w14:paraId="003B1D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39555124">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5</w:t>
                  </w:r>
                </w:p>
              </w:tc>
              <w:tc>
                <w:tcPr>
                  <w:tcW w:w="1390" w:type="dxa"/>
                  <w:tcBorders>
                    <w:left w:val="single" w:color="000000" w:sz="6" w:space="0"/>
                  </w:tcBorders>
                  <w:shd w:val="clear" w:color="auto" w:fill="auto"/>
                  <w:vAlign w:val="center"/>
                </w:tcPr>
                <w:p w14:paraId="6F39386F">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丙二醇</w:t>
                  </w:r>
                </w:p>
              </w:tc>
              <w:tc>
                <w:tcPr>
                  <w:tcW w:w="631" w:type="dxa"/>
                  <w:tcBorders>
                    <w:left w:val="single" w:color="000000" w:sz="6" w:space="0"/>
                  </w:tcBorders>
                  <w:vAlign w:val="center"/>
                </w:tcPr>
                <w:p w14:paraId="352D3D21">
                  <w:pPr>
                    <w:autoSpaceDE w:val="0"/>
                    <w:autoSpaceDN w:val="0"/>
                    <w:jc w:val="center"/>
                    <w:rPr>
                      <w:rFonts w:hint="default" w:ascii="Times New Roman" w:hAnsi="Times New Roman" w:cs="Times New Roman"/>
                      <w:szCs w:val="21"/>
                      <w:highlight w:val="none"/>
                      <w:lang w:eastAsia="en-US"/>
                    </w:rPr>
                  </w:pPr>
                  <w:r>
                    <w:rPr>
                      <w:rFonts w:hint="eastAsia" w:cs="Times New Roman"/>
                      <w:szCs w:val="21"/>
                      <w:highlight w:val="none"/>
                      <w:lang w:val="en-US" w:eastAsia="zh-CN"/>
                    </w:rPr>
                    <w:t>99%</w:t>
                  </w:r>
                </w:p>
              </w:tc>
              <w:tc>
                <w:tcPr>
                  <w:tcW w:w="748" w:type="dxa"/>
                  <w:vAlign w:val="center"/>
                </w:tcPr>
                <w:p w14:paraId="13BD3FD8">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5E46EB81">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300</w:t>
                  </w:r>
                </w:p>
              </w:tc>
              <w:tc>
                <w:tcPr>
                  <w:tcW w:w="1138" w:type="dxa"/>
                  <w:vAlign w:val="center"/>
                </w:tcPr>
                <w:p w14:paraId="61C589E1">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72476AA8">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储罐</w:t>
                  </w:r>
                </w:p>
              </w:tc>
              <w:tc>
                <w:tcPr>
                  <w:tcW w:w="1141" w:type="dxa"/>
                  <w:vAlign w:val="center"/>
                </w:tcPr>
                <w:p w14:paraId="38D39AC7">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罐区</w:t>
                  </w:r>
                </w:p>
              </w:tc>
              <w:tc>
                <w:tcPr>
                  <w:tcW w:w="1141" w:type="dxa"/>
                  <w:vMerge w:val="continue"/>
                  <w:vAlign w:val="center"/>
                </w:tcPr>
                <w:p w14:paraId="02A8AC5B">
                  <w:pPr>
                    <w:autoSpaceDE w:val="0"/>
                    <w:autoSpaceDN w:val="0"/>
                    <w:jc w:val="center"/>
                    <w:rPr>
                      <w:rFonts w:hint="default" w:ascii="Times New Roman" w:hAnsi="Times New Roman" w:cs="Times New Roman"/>
                      <w:szCs w:val="21"/>
                      <w:highlight w:val="none"/>
                      <w:lang w:eastAsia="en-US"/>
                    </w:rPr>
                  </w:pPr>
                </w:p>
              </w:tc>
            </w:tr>
            <w:tr w14:paraId="4C252E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0D1B4294">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6</w:t>
                  </w:r>
                </w:p>
              </w:tc>
              <w:tc>
                <w:tcPr>
                  <w:tcW w:w="1390" w:type="dxa"/>
                  <w:tcBorders>
                    <w:left w:val="single" w:color="000000" w:sz="6" w:space="0"/>
                  </w:tcBorders>
                  <w:shd w:val="clear" w:color="auto" w:fill="auto"/>
                  <w:vAlign w:val="center"/>
                </w:tcPr>
                <w:p w14:paraId="1EF86ECE">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丙三醇</w:t>
                  </w:r>
                </w:p>
              </w:tc>
              <w:tc>
                <w:tcPr>
                  <w:tcW w:w="631" w:type="dxa"/>
                  <w:tcBorders>
                    <w:left w:val="single" w:color="000000" w:sz="6" w:space="0"/>
                  </w:tcBorders>
                  <w:vAlign w:val="center"/>
                </w:tcPr>
                <w:p w14:paraId="1FCC872B">
                  <w:pPr>
                    <w:autoSpaceDE w:val="0"/>
                    <w:autoSpaceDN w:val="0"/>
                    <w:jc w:val="center"/>
                    <w:rPr>
                      <w:rFonts w:hint="default" w:ascii="Times New Roman" w:hAnsi="Times New Roman" w:cs="Times New Roman"/>
                      <w:szCs w:val="21"/>
                      <w:highlight w:val="none"/>
                      <w:lang w:eastAsia="en-US"/>
                    </w:rPr>
                  </w:pPr>
                  <w:r>
                    <w:rPr>
                      <w:rFonts w:hint="eastAsia" w:cs="Times New Roman"/>
                      <w:szCs w:val="21"/>
                      <w:highlight w:val="none"/>
                      <w:lang w:val="en-US" w:eastAsia="zh-CN"/>
                    </w:rPr>
                    <w:t>99%</w:t>
                  </w:r>
                </w:p>
              </w:tc>
              <w:tc>
                <w:tcPr>
                  <w:tcW w:w="748" w:type="dxa"/>
                  <w:vAlign w:val="center"/>
                </w:tcPr>
                <w:p w14:paraId="4B3A775A">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1D0194D5">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300</w:t>
                  </w:r>
                </w:p>
              </w:tc>
              <w:tc>
                <w:tcPr>
                  <w:tcW w:w="1138" w:type="dxa"/>
                  <w:vAlign w:val="center"/>
                </w:tcPr>
                <w:p w14:paraId="60B780C0">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7AD329A0">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储罐</w:t>
                  </w:r>
                </w:p>
              </w:tc>
              <w:tc>
                <w:tcPr>
                  <w:tcW w:w="1141" w:type="dxa"/>
                  <w:vAlign w:val="center"/>
                </w:tcPr>
                <w:p w14:paraId="11F0E433">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罐区</w:t>
                  </w:r>
                </w:p>
              </w:tc>
              <w:tc>
                <w:tcPr>
                  <w:tcW w:w="1141" w:type="dxa"/>
                  <w:vMerge w:val="continue"/>
                  <w:vAlign w:val="center"/>
                </w:tcPr>
                <w:p w14:paraId="2406EFAE">
                  <w:pPr>
                    <w:autoSpaceDE w:val="0"/>
                    <w:autoSpaceDN w:val="0"/>
                    <w:jc w:val="center"/>
                    <w:rPr>
                      <w:rFonts w:hint="default" w:ascii="Times New Roman" w:hAnsi="Times New Roman" w:cs="Times New Roman"/>
                      <w:szCs w:val="21"/>
                      <w:highlight w:val="none"/>
                      <w:lang w:eastAsia="en-US"/>
                    </w:rPr>
                  </w:pPr>
                </w:p>
              </w:tc>
            </w:tr>
            <w:tr w14:paraId="503FF9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0461CCB9">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7</w:t>
                  </w:r>
                </w:p>
              </w:tc>
              <w:tc>
                <w:tcPr>
                  <w:tcW w:w="1390" w:type="dxa"/>
                  <w:tcBorders>
                    <w:left w:val="single" w:color="000000" w:sz="6" w:space="0"/>
                  </w:tcBorders>
                  <w:shd w:val="clear" w:color="auto" w:fill="auto"/>
                  <w:vAlign w:val="center"/>
                </w:tcPr>
                <w:p w14:paraId="2578006B">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正丁醇</w:t>
                  </w:r>
                </w:p>
              </w:tc>
              <w:tc>
                <w:tcPr>
                  <w:tcW w:w="631" w:type="dxa"/>
                  <w:tcBorders>
                    <w:left w:val="single" w:color="000000" w:sz="6" w:space="0"/>
                  </w:tcBorders>
                  <w:vAlign w:val="center"/>
                </w:tcPr>
                <w:p w14:paraId="2AE136EA">
                  <w:pPr>
                    <w:autoSpaceDE w:val="0"/>
                    <w:autoSpaceDN w:val="0"/>
                    <w:jc w:val="center"/>
                    <w:rPr>
                      <w:rFonts w:hint="default" w:ascii="Times New Roman" w:hAnsi="Times New Roman" w:cs="Times New Roman"/>
                      <w:szCs w:val="21"/>
                      <w:highlight w:val="none"/>
                      <w:lang w:eastAsia="en-US"/>
                    </w:rPr>
                  </w:pPr>
                  <w:r>
                    <w:rPr>
                      <w:rFonts w:hint="eastAsia" w:cs="Times New Roman"/>
                      <w:szCs w:val="21"/>
                      <w:highlight w:val="none"/>
                      <w:lang w:val="en-US" w:eastAsia="zh-CN"/>
                    </w:rPr>
                    <w:t>99%</w:t>
                  </w:r>
                </w:p>
              </w:tc>
              <w:tc>
                <w:tcPr>
                  <w:tcW w:w="748" w:type="dxa"/>
                  <w:vAlign w:val="center"/>
                </w:tcPr>
                <w:p w14:paraId="532C1D43">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5E6B62B0">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300</w:t>
                  </w:r>
                </w:p>
              </w:tc>
              <w:tc>
                <w:tcPr>
                  <w:tcW w:w="1138" w:type="dxa"/>
                  <w:vAlign w:val="center"/>
                </w:tcPr>
                <w:p w14:paraId="58B5E17D">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shd w:val="clear" w:color="auto" w:fill="auto"/>
                  <w:vAlign w:val="center"/>
                </w:tcPr>
                <w:p w14:paraId="5498534C">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储罐</w:t>
                  </w:r>
                </w:p>
              </w:tc>
              <w:tc>
                <w:tcPr>
                  <w:tcW w:w="1141" w:type="dxa"/>
                  <w:shd w:val="clear" w:color="auto" w:fill="auto"/>
                  <w:vAlign w:val="center"/>
                </w:tcPr>
                <w:p w14:paraId="72C0711C">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1141" w:type="dxa"/>
                  <w:vMerge w:val="continue"/>
                  <w:shd w:val="clear" w:color="auto" w:fill="auto"/>
                  <w:vAlign w:val="center"/>
                </w:tcPr>
                <w:p w14:paraId="344141D4">
                  <w:pPr>
                    <w:autoSpaceDE w:val="0"/>
                    <w:autoSpaceDN w:val="0"/>
                    <w:jc w:val="center"/>
                    <w:rPr>
                      <w:rFonts w:hint="default" w:ascii="Times New Roman" w:hAnsi="Times New Roman" w:cs="Times New Roman"/>
                      <w:szCs w:val="21"/>
                      <w:highlight w:val="none"/>
                      <w:lang w:eastAsia="en-US"/>
                    </w:rPr>
                  </w:pPr>
                </w:p>
              </w:tc>
            </w:tr>
            <w:tr w14:paraId="2DB251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765539C3">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8</w:t>
                  </w:r>
                </w:p>
              </w:tc>
              <w:tc>
                <w:tcPr>
                  <w:tcW w:w="1390" w:type="dxa"/>
                  <w:tcBorders>
                    <w:left w:val="single" w:color="000000" w:sz="6" w:space="0"/>
                  </w:tcBorders>
                  <w:shd w:val="clear" w:color="auto" w:fill="auto"/>
                  <w:vAlign w:val="center"/>
                </w:tcPr>
                <w:p w14:paraId="09783F1B">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异丁醇</w:t>
                  </w:r>
                </w:p>
              </w:tc>
              <w:tc>
                <w:tcPr>
                  <w:tcW w:w="631" w:type="dxa"/>
                  <w:tcBorders>
                    <w:left w:val="single" w:color="000000" w:sz="6" w:space="0"/>
                  </w:tcBorders>
                  <w:vAlign w:val="center"/>
                </w:tcPr>
                <w:p w14:paraId="2336A9BF">
                  <w:pPr>
                    <w:autoSpaceDE w:val="0"/>
                    <w:autoSpaceDN w:val="0"/>
                    <w:jc w:val="center"/>
                    <w:rPr>
                      <w:rFonts w:hint="default" w:ascii="Times New Roman" w:hAnsi="Times New Roman" w:cs="Times New Roman"/>
                      <w:szCs w:val="21"/>
                      <w:highlight w:val="none"/>
                      <w:lang w:eastAsia="en-US"/>
                    </w:rPr>
                  </w:pPr>
                  <w:r>
                    <w:rPr>
                      <w:rFonts w:hint="eastAsia" w:cs="Times New Roman"/>
                      <w:szCs w:val="21"/>
                      <w:highlight w:val="none"/>
                      <w:lang w:val="en-US" w:eastAsia="zh-CN"/>
                    </w:rPr>
                    <w:t>99%</w:t>
                  </w:r>
                </w:p>
              </w:tc>
              <w:tc>
                <w:tcPr>
                  <w:tcW w:w="748" w:type="dxa"/>
                  <w:vAlign w:val="center"/>
                </w:tcPr>
                <w:p w14:paraId="16252CFD">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2B3BA29B">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300</w:t>
                  </w:r>
                </w:p>
              </w:tc>
              <w:tc>
                <w:tcPr>
                  <w:tcW w:w="1138" w:type="dxa"/>
                  <w:vAlign w:val="center"/>
                </w:tcPr>
                <w:p w14:paraId="29D9CCBB">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shd w:val="clear" w:color="auto" w:fill="auto"/>
                  <w:vAlign w:val="center"/>
                </w:tcPr>
                <w:p w14:paraId="238FF328">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储罐</w:t>
                  </w:r>
                </w:p>
              </w:tc>
              <w:tc>
                <w:tcPr>
                  <w:tcW w:w="1141" w:type="dxa"/>
                  <w:shd w:val="clear" w:color="auto" w:fill="auto"/>
                  <w:vAlign w:val="center"/>
                </w:tcPr>
                <w:p w14:paraId="64701B79">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1141" w:type="dxa"/>
                  <w:vMerge w:val="continue"/>
                  <w:shd w:val="clear" w:color="auto" w:fill="auto"/>
                  <w:vAlign w:val="center"/>
                </w:tcPr>
                <w:p w14:paraId="5AD4F50F">
                  <w:pPr>
                    <w:autoSpaceDE w:val="0"/>
                    <w:autoSpaceDN w:val="0"/>
                    <w:jc w:val="center"/>
                    <w:rPr>
                      <w:rFonts w:hint="default" w:ascii="Times New Roman" w:hAnsi="Times New Roman" w:cs="Times New Roman"/>
                      <w:szCs w:val="21"/>
                      <w:highlight w:val="none"/>
                      <w:lang w:eastAsia="en-US"/>
                    </w:rPr>
                  </w:pPr>
                </w:p>
              </w:tc>
            </w:tr>
            <w:tr w14:paraId="195F1A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5599CF26">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9</w:t>
                  </w:r>
                </w:p>
              </w:tc>
              <w:tc>
                <w:tcPr>
                  <w:tcW w:w="1390" w:type="dxa"/>
                  <w:tcBorders>
                    <w:left w:val="single" w:color="000000" w:sz="6" w:space="0"/>
                  </w:tcBorders>
                  <w:shd w:val="clear" w:color="auto" w:fill="auto"/>
                  <w:vAlign w:val="center"/>
                </w:tcPr>
                <w:p w14:paraId="2B5F85FC">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丁二醇</w:t>
                  </w:r>
                </w:p>
              </w:tc>
              <w:tc>
                <w:tcPr>
                  <w:tcW w:w="631" w:type="dxa"/>
                  <w:tcBorders>
                    <w:left w:val="single" w:color="000000" w:sz="6" w:space="0"/>
                  </w:tcBorders>
                  <w:vAlign w:val="center"/>
                </w:tcPr>
                <w:p w14:paraId="6C42992D">
                  <w:pPr>
                    <w:autoSpaceDE w:val="0"/>
                    <w:autoSpaceDN w:val="0"/>
                    <w:jc w:val="center"/>
                    <w:rPr>
                      <w:rFonts w:hint="default" w:ascii="Times New Roman" w:hAnsi="Times New Roman" w:cs="Times New Roman"/>
                      <w:szCs w:val="21"/>
                      <w:highlight w:val="none"/>
                      <w:lang w:eastAsia="en-US"/>
                    </w:rPr>
                  </w:pPr>
                  <w:r>
                    <w:rPr>
                      <w:rFonts w:hint="eastAsia" w:cs="Times New Roman"/>
                      <w:szCs w:val="21"/>
                      <w:highlight w:val="none"/>
                      <w:lang w:val="en-US" w:eastAsia="zh-CN"/>
                    </w:rPr>
                    <w:t>99%</w:t>
                  </w:r>
                </w:p>
              </w:tc>
              <w:tc>
                <w:tcPr>
                  <w:tcW w:w="748" w:type="dxa"/>
                  <w:vAlign w:val="center"/>
                </w:tcPr>
                <w:p w14:paraId="67316511">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6CFF2CD1">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300</w:t>
                  </w:r>
                </w:p>
              </w:tc>
              <w:tc>
                <w:tcPr>
                  <w:tcW w:w="1138" w:type="dxa"/>
                  <w:vAlign w:val="center"/>
                </w:tcPr>
                <w:p w14:paraId="1467407E">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5821F145">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储罐</w:t>
                  </w:r>
                </w:p>
              </w:tc>
              <w:tc>
                <w:tcPr>
                  <w:tcW w:w="1141" w:type="dxa"/>
                  <w:vAlign w:val="center"/>
                </w:tcPr>
                <w:p w14:paraId="2931D98E">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罐区</w:t>
                  </w:r>
                </w:p>
              </w:tc>
              <w:tc>
                <w:tcPr>
                  <w:tcW w:w="1141" w:type="dxa"/>
                  <w:vMerge w:val="continue"/>
                  <w:vAlign w:val="center"/>
                </w:tcPr>
                <w:p w14:paraId="2A6D3DD0">
                  <w:pPr>
                    <w:autoSpaceDE w:val="0"/>
                    <w:autoSpaceDN w:val="0"/>
                    <w:jc w:val="center"/>
                    <w:rPr>
                      <w:rFonts w:hint="default" w:ascii="Times New Roman" w:hAnsi="Times New Roman" w:cs="Times New Roman"/>
                      <w:szCs w:val="21"/>
                      <w:highlight w:val="none"/>
                      <w:lang w:eastAsia="en-US"/>
                    </w:rPr>
                  </w:pPr>
                </w:p>
              </w:tc>
            </w:tr>
            <w:tr w14:paraId="7172F5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12AD91B0">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10</w:t>
                  </w:r>
                </w:p>
              </w:tc>
              <w:tc>
                <w:tcPr>
                  <w:tcW w:w="1390" w:type="dxa"/>
                  <w:tcBorders>
                    <w:left w:val="single" w:color="000000" w:sz="6" w:space="0"/>
                  </w:tcBorders>
                  <w:shd w:val="clear" w:color="auto" w:fill="auto"/>
                  <w:vAlign w:val="center"/>
                </w:tcPr>
                <w:p w14:paraId="05352EDF">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正己烷</w:t>
                  </w:r>
                </w:p>
              </w:tc>
              <w:tc>
                <w:tcPr>
                  <w:tcW w:w="631" w:type="dxa"/>
                  <w:tcBorders>
                    <w:left w:val="single" w:color="000000" w:sz="6" w:space="0"/>
                  </w:tcBorders>
                  <w:vAlign w:val="center"/>
                </w:tcPr>
                <w:p w14:paraId="7456FCAB">
                  <w:pPr>
                    <w:autoSpaceDE w:val="0"/>
                    <w:autoSpaceDN w:val="0"/>
                    <w:jc w:val="center"/>
                    <w:rPr>
                      <w:rFonts w:hint="default" w:ascii="Times New Roman" w:hAnsi="Times New Roman" w:cs="Times New Roman"/>
                      <w:szCs w:val="21"/>
                      <w:highlight w:val="none"/>
                      <w:lang w:eastAsia="en-US"/>
                    </w:rPr>
                  </w:pPr>
                  <w:r>
                    <w:rPr>
                      <w:rFonts w:hint="eastAsia" w:cs="Times New Roman"/>
                      <w:szCs w:val="21"/>
                      <w:highlight w:val="none"/>
                      <w:lang w:val="en-US" w:eastAsia="zh-CN"/>
                    </w:rPr>
                    <w:t>99%</w:t>
                  </w:r>
                </w:p>
              </w:tc>
              <w:tc>
                <w:tcPr>
                  <w:tcW w:w="748" w:type="dxa"/>
                  <w:vAlign w:val="center"/>
                </w:tcPr>
                <w:p w14:paraId="4434E001">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3B82690B">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300</w:t>
                  </w:r>
                </w:p>
              </w:tc>
              <w:tc>
                <w:tcPr>
                  <w:tcW w:w="1138" w:type="dxa"/>
                  <w:vAlign w:val="center"/>
                </w:tcPr>
                <w:p w14:paraId="1504AD4E">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shd w:val="clear" w:color="auto" w:fill="auto"/>
                  <w:vAlign w:val="center"/>
                </w:tcPr>
                <w:p w14:paraId="6F7948CC">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储罐</w:t>
                  </w:r>
                </w:p>
              </w:tc>
              <w:tc>
                <w:tcPr>
                  <w:tcW w:w="1141" w:type="dxa"/>
                  <w:shd w:val="clear" w:color="auto" w:fill="auto"/>
                  <w:vAlign w:val="center"/>
                </w:tcPr>
                <w:p w14:paraId="1AEAB48B">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1141" w:type="dxa"/>
                  <w:vMerge w:val="continue"/>
                  <w:shd w:val="clear" w:color="auto" w:fill="auto"/>
                  <w:vAlign w:val="center"/>
                </w:tcPr>
                <w:p w14:paraId="5A339D06">
                  <w:pPr>
                    <w:autoSpaceDE w:val="0"/>
                    <w:autoSpaceDN w:val="0"/>
                    <w:jc w:val="center"/>
                    <w:rPr>
                      <w:rFonts w:hint="default" w:ascii="Times New Roman" w:hAnsi="Times New Roman" w:cs="Times New Roman"/>
                      <w:szCs w:val="21"/>
                      <w:highlight w:val="none"/>
                      <w:lang w:eastAsia="en-US"/>
                    </w:rPr>
                  </w:pPr>
                </w:p>
              </w:tc>
            </w:tr>
            <w:tr w14:paraId="097406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2A35CBD9">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11</w:t>
                  </w:r>
                </w:p>
              </w:tc>
              <w:tc>
                <w:tcPr>
                  <w:tcW w:w="1390" w:type="dxa"/>
                  <w:tcBorders>
                    <w:left w:val="single" w:color="000000" w:sz="6" w:space="0"/>
                  </w:tcBorders>
                  <w:shd w:val="clear" w:color="auto" w:fill="auto"/>
                  <w:vAlign w:val="center"/>
                </w:tcPr>
                <w:p w14:paraId="0D51203E">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甲酸</w:t>
                  </w:r>
                </w:p>
              </w:tc>
              <w:tc>
                <w:tcPr>
                  <w:tcW w:w="631" w:type="dxa"/>
                  <w:tcBorders>
                    <w:left w:val="single" w:color="000000" w:sz="6" w:space="0"/>
                  </w:tcBorders>
                  <w:vAlign w:val="center"/>
                </w:tcPr>
                <w:p w14:paraId="0612853A">
                  <w:pPr>
                    <w:autoSpaceDE w:val="0"/>
                    <w:autoSpaceDN w:val="0"/>
                    <w:jc w:val="center"/>
                    <w:rPr>
                      <w:rFonts w:hint="default" w:ascii="Times New Roman" w:hAnsi="Times New Roman" w:cs="Times New Roman"/>
                      <w:szCs w:val="21"/>
                      <w:highlight w:val="none"/>
                      <w:lang w:eastAsia="en-US"/>
                    </w:rPr>
                  </w:pPr>
                  <w:r>
                    <w:rPr>
                      <w:rFonts w:hint="eastAsia" w:cs="Times New Roman"/>
                      <w:szCs w:val="21"/>
                      <w:highlight w:val="none"/>
                      <w:lang w:val="en-US" w:eastAsia="zh-CN"/>
                    </w:rPr>
                    <w:t>99%</w:t>
                  </w:r>
                </w:p>
              </w:tc>
              <w:tc>
                <w:tcPr>
                  <w:tcW w:w="748" w:type="dxa"/>
                  <w:vAlign w:val="center"/>
                </w:tcPr>
                <w:p w14:paraId="05247302">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625CC002">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800</w:t>
                  </w:r>
                </w:p>
              </w:tc>
              <w:tc>
                <w:tcPr>
                  <w:tcW w:w="1138" w:type="dxa"/>
                  <w:vAlign w:val="center"/>
                </w:tcPr>
                <w:p w14:paraId="1B3EF3FB">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5922A332">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桶装</w:t>
                  </w:r>
                </w:p>
              </w:tc>
              <w:tc>
                <w:tcPr>
                  <w:tcW w:w="1141" w:type="dxa"/>
                  <w:vAlign w:val="center"/>
                </w:tcPr>
                <w:p w14:paraId="20DBAC27">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灌装车间</w:t>
                  </w:r>
                </w:p>
              </w:tc>
              <w:tc>
                <w:tcPr>
                  <w:tcW w:w="1141" w:type="dxa"/>
                  <w:vMerge w:val="continue"/>
                  <w:vAlign w:val="center"/>
                </w:tcPr>
                <w:p w14:paraId="1C6F4ED6">
                  <w:pPr>
                    <w:autoSpaceDE w:val="0"/>
                    <w:autoSpaceDN w:val="0"/>
                    <w:jc w:val="center"/>
                    <w:rPr>
                      <w:rFonts w:hint="default" w:ascii="Times New Roman" w:hAnsi="Times New Roman" w:cs="Times New Roman"/>
                      <w:szCs w:val="21"/>
                      <w:highlight w:val="none"/>
                      <w:lang w:eastAsia="en-US"/>
                    </w:rPr>
                  </w:pPr>
                </w:p>
              </w:tc>
            </w:tr>
            <w:tr w14:paraId="083AE6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02897922">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12</w:t>
                  </w:r>
                </w:p>
              </w:tc>
              <w:tc>
                <w:tcPr>
                  <w:tcW w:w="1390" w:type="dxa"/>
                  <w:tcBorders>
                    <w:left w:val="single" w:color="000000" w:sz="6" w:space="0"/>
                  </w:tcBorders>
                  <w:shd w:val="clear" w:color="auto" w:fill="auto"/>
                  <w:vAlign w:val="center"/>
                </w:tcPr>
                <w:p w14:paraId="77716BA3">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乙酸</w:t>
                  </w:r>
                </w:p>
              </w:tc>
              <w:tc>
                <w:tcPr>
                  <w:tcW w:w="631" w:type="dxa"/>
                  <w:tcBorders>
                    <w:left w:val="single" w:color="000000" w:sz="6" w:space="0"/>
                  </w:tcBorders>
                  <w:vAlign w:val="center"/>
                </w:tcPr>
                <w:p w14:paraId="16EE1036">
                  <w:pPr>
                    <w:autoSpaceDE w:val="0"/>
                    <w:autoSpaceDN w:val="0"/>
                    <w:jc w:val="center"/>
                    <w:rPr>
                      <w:rFonts w:hint="default" w:ascii="Times New Roman" w:hAnsi="Times New Roman" w:cs="Times New Roman"/>
                      <w:szCs w:val="21"/>
                      <w:highlight w:val="none"/>
                      <w:lang w:eastAsia="en-US"/>
                    </w:rPr>
                  </w:pPr>
                  <w:r>
                    <w:rPr>
                      <w:rFonts w:hint="eastAsia" w:cs="Times New Roman"/>
                      <w:szCs w:val="21"/>
                      <w:highlight w:val="none"/>
                      <w:lang w:val="en-US" w:eastAsia="zh-CN"/>
                    </w:rPr>
                    <w:t>99%</w:t>
                  </w:r>
                </w:p>
              </w:tc>
              <w:tc>
                <w:tcPr>
                  <w:tcW w:w="748" w:type="dxa"/>
                  <w:vAlign w:val="center"/>
                </w:tcPr>
                <w:p w14:paraId="5524B80E">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7CB5D69C">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800</w:t>
                  </w:r>
                </w:p>
              </w:tc>
              <w:tc>
                <w:tcPr>
                  <w:tcW w:w="1138" w:type="dxa"/>
                  <w:vAlign w:val="center"/>
                </w:tcPr>
                <w:p w14:paraId="66F72398">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321D610D">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储罐</w:t>
                  </w:r>
                </w:p>
              </w:tc>
              <w:tc>
                <w:tcPr>
                  <w:tcW w:w="1141" w:type="dxa"/>
                  <w:vAlign w:val="center"/>
                </w:tcPr>
                <w:p w14:paraId="2C20F99A">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罐区</w:t>
                  </w:r>
                </w:p>
              </w:tc>
              <w:tc>
                <w:tcPr>
                  <w:tcW w:w="1141" w:type="dxa"/>
                  <w:vMerge w:val="continue"/>
                  <w:vAlign w:val="center"/>
                </w:tcPr>
                <w:p w14:paraId="7E1F8103">
                  <w:pPr>
                    <w:autoSpaceDE w:val="0"/>
                    <w:autoSpaceDN w:val="0"/>
                    <w:jc w:val="center"/>
                    <w:rPr>
                      <w:rFonts w:hint="default" w:ascii="Times New Roman" w:hAnsi="Times New Roman" w:cs="Times New Roman"/>
                      <w:szCs w:val="21"/>
                      <w:highlight w:val="none"/>
                      <w:lang w:eastAsia="en-US"/>
                    </w:rPr>
                  </w:pPr>
                </w:p>
              </w:tc>
            </w:tr>
            <w:tr w14:paraId="058A21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11AE443A">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13</w:t>
                  </w:r>
                </w:p>
              </w:tc>
              <w:tc>
                <w:tcPr>
                  <w:tcW w:w="1390" w:type="dxa"/>
                  <w:tcBorders>
                    <w:left w:val="single" w:color="000000" w:sz="6" w:space="0"/>
                  </w:tcBorders>
                  <w:shd w:val="clear" w:color="auto" w:fill="auto"/>
                  <w:vAlign w:val="center"/>
                </w:tcPr>
                <w:p w14:paraId="2B1931E6">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丙酸</w:t>
                  </w:r>
                </w:p>
              </w:tc>
              <w:tc>
                <w:tcPr>
                  <w:tcW w:w="631" w:type="dxa"/>
                  <w:tcBorders>
                    <w:left w:val="single" w:color="000000" w:sz="6" w:space="0"/>
                  </w:tcBorders>
                  <w:vAlign w:val="center"/>
                </w:tcPr>
                <w:p w14:paraId="48697721">
                  <w:pPr>
                    <w:autoSpaceDE w:val="0"/>
                    <w:autoSpaceDN w:val="0"/>
                    <w:jc w:val="center"/>
                    <w:rPr>
                      <w:rFonts w:hint="default" w:ascii="Times New Roman" w:hAnsi="Times New Roman" w:cs="Times New Roman"/>
                      <w:szCs w:val="21"/>
                      <w:highlight w:val="none"/>
                      <w:lang w:eastAsia="en-US"/>
                    </w:rPr>
                  </w:pPr>
                  <w:r>
                    <w:rPr>
                      <w:rFonts w:hint="eastAsia" w:cs="Times New Roman"/>
                      <w:szCs w:val="21"/>
                      <w:highlight w:val="none"/>
                      <w:lang w:val="en-US" w:eastAsia="zh-CN"/>
                    </w:rPr>
                    <w:t>99%</w:t>
                  </w:r>
                </w:p>
              </w:tc>
              <w:tc>
                <w:tcPr>
                  <w:tcW w:w="748" w:type="dxa"/>
                  <w:vAlign w:val="center"/>
                </w:tcPr>
                <w:p w14:paraId="6852DBA9">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4DC1E43F">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800</w:t>
                  </w:r>
                </w:p>
              </w:tc>
              <w:tc>
                <w:tcPr>
                  <w:tcW w:w="1138" w:type="dxa"/>
                  <w:vAlign w:val="center"/>
                </w:tcPr>
                <w:p w14:paraId="225E1669">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0E8E859A">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桶装</w:t>
                  </w:r>
                </w:p>
              </w:tc>
              <w:tc>
                <w:tcPr>
                  <w:tcW w:w="1141" w:type="dxa"/>
                  <w:vAlign w:val="center"/>
                </w:tcPr>
                <w:p w14:paraId="0CA8150E">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灌装车间</w:t>
                  </w:r>
                </w:p>
              </w:tc>
              <w:tc>
                <w:tcPr>
                  <w:tcW w:w="1141" w:type="dxa"/>
                  <w:vMerge w:val="continue"/>
                  <w:vAlign w:val="center"/>
                </w:tcPr>
                <w:p w14:paraId="198E4609">
                  <w:pPr>
                    <w:autoSpaceDE w:val="0"/>
                    <w:autoSpaceDN w:val="0"/>
                    <w:jc w:val="center"/>
                    <w:rPr>
                      <w:rFonts w:hint="default" w:ascii="Times New Roman" w:hAnsi="Times New Roman" w:cs="Times New Roman"/>
                      <w:szCs w:val="21"/>
                      <w:highlight w:val="none"/>
                      <w:lang w:eastAsia="en-US"/>
                    </w:rPr>
                  </w:pPr>
                </w:p>
              </w:tc>
            </w:tr>
            <w:tr w14:paraId="518174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520AD897">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14</w:t>
                  </w:r>
                </w:p>
              </w:tc>
              <w:tc>
                <w:tcPr>
                  <w:tcW w:w="1390" w:type="dxa"/>
                  <w:tcBorders>
                    <w:left w:val="single" w:color="000000" w:sz="6" w:space="0"/>
                  </w:tcBorders>
                  <w:shd w:val="clear" w:color="auto" w:fill="auto"/>
                  <w:vAlign w:val="center"/>
                </w:tcPr>
                <w:p w14:paraId="28E96506">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活性蛋白酶</w:t>
                  </w:r>
                </w:p>
              </w:tc>
              <w:tc>
                <w:tcPr>
                  <w:tcW w:w="631" w:type="dxa"/>
                  <w:tcBorders>
                    <w:left w:val="single" w:color="000000" w:sz="6" w:space="0"/>
                  </w:tcBorders>
                  <w:vAlign w:val="center"/>
                </w:tcPr>
                <w:p w14:paraId="3A707F6E">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20%</w:t>
                  </w:r>
                </w:p>
              </w:tc>
              <w:tc>
                <w:tcPr>
                  <w:tcW w:w="748" w:type="dxa"/>
                  <w:vAlign w:val="center"/>
                </w:tcPr>
                <w:p w14:paraId="509DD744">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52581E33">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40</w:t>
                  </w:r>
                </w:p>
              </w:tc>
              <w:tc>
                <w:tcPr>
                  <w:tcW w:w="1138" w:type="dxa"/>
                  <w:vAlign w:val="center"/>
                </w:tcPr>
                <w:p w14:paraId="198B63D8">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13821CBB">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桶装</w:t>
                  </w:r>
                </w:p>
              </w:tc>
              <w:tc>
                <w:tcPr>
                  <w:tcW w:w="1141" w:type="dxa"/>
                  <w:vAlign w:val="center"/>
                </w:tcPr>
                <w:p w14:paraId="0194DB73">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灌装车间</w:t>
                  </w:r>
                </w:p>
              </w:tc>
              <w:tc>
                <w:tcPr>
                  <w:tcW w:w="1141" w:type="dxa"/>
                  <w:vMerge w:val="continue"/>
                  <w:vAlign w:val="center"/>
                </w:tcPr>
                <w:p w14:paraId="006581E6">
                  <w:pPr>
                    <w:autoSpaceDE w:val="0"/>
                    <w:autoSpaceDN w:val="0"/>
                    <w:jc w:val="center"/>
                    <w:rPr>
                      <w:rFonts w:hint="default" w:ascii="Times New Roman" w:hAnsi="Times New Roman" w:cs="Times New Roman"/>
                      <w:szCs w:val="21"/>
                      <w:highlight w:val="none"/>
                      <w:lang w:eastAsia="en-US"/>
                    </w:rPr>
                  </w:pPr>
                </w:p>
              </w:tc>
            </w:tr>
            <w:tr w14:paraId="06A463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6CDD2DDB">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15</w:t>
                  </w:r>
                </w:p>
              </w:tc>
              <w:tc>
                <w:tcPr>
                  <w:tcW w:w="1390" w:type="dxa"/>
                  <w:tcBorders>
                    <w:left w:val="single" w:color="000000" w:sz="6" w:space="0"/>
                  </w:tcBorders>
                  <w:shd w:val="clear" w:color="auto" w:fill="auto"/>
                  <w:vAlign w:val="center"/>
                </w:tcPr>
                <w:p w14:paraId="513746D2">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脱氮活性菌种</w:t>
                  </w:r>
                </w:p>
              </w:tc>
              <w:tc>
                <w:tcPr>
                  <w:tcW w:w="631" w:type="dxa"/>
                  <w:tcBorders>
                    <w:left w:val="single" w:color="000000" w:sz="6" w:space="0"/>
                  </w:tcBorders>
                  <w:vAlign w:val="center"/>
                </w:tcPr>
                <w:p w14:paraId="0A5A9397">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18%</w:t>
                  </w:r>
                </w:p>
              </w:tc>
              <w:tc>
                <w:tcPr>
                  <w:tcW w:w="748" w:type="dxa"/>
                  <w:vAlign w:val="center"/>
                </w:tcPr>
                <w:p w14:paraId="1CF8C08F">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0DFFFA01">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40</w:t>
                  </w:r>
                </w:p>
              </w:tc>
              <w:tc>
                <w:tcPr>
                  <w:tcW w:w="1138" w:type="dxa"/>
                  <w:vAlign w:val="center"/>
                </w:tcPr>
                <w:p w14:paraId="3026B9DA">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58B4B098">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桶装</w:t>
                  </w:r>
                </w:p>
              </w:tc>
              <w:tc>
                <w:tcPr>
                  <w:tcW w:w="1141" w:type="dxa"/>
                  <w:vAlign w:val="center"/>
                </w:tcPr>
                <w:p w14:paraId="26E78D3D">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灌装车间</w:t>
                  </w:r>
                </w:p>
              </w:tc>
              <w:tc>
                <w:tcPr>
                  <w:tcW w:w="1141" w:type="dxa"/>
                  <w:vMerge w:val="continue"/>
                  <w:vAlign w:val="center"/>
                </w:tcPr>
                <w:p w14:paraId="0AA22949">
                  <w:pPr>
                    <w:autoSpaceDE w:val="0"/>
                    <w:autoSpaceDN w:val="0"/>
                    <w:jc w:val="center"/>
                    <w:rPr>
                      <w:rFonts w:hint="default" w:ascii="Times New Roman" w:hAnsi="Times New Roman" w:cs="Times New Roman"/>
                      <w:szCs w:val="21"/>
                      <w:highlight w:val="none"/>
                      <w:lang w:eastAsia="en-US"/>
                    </w:rPr>
                  </w:pPr>
                </w:p>
              </w:tc>
            </w:tr>
            <w:tr w14:paraId="34D95D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64E76C3A">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16</w:t>
                  </w:r>
                </w:p>
              </w:tc>
              <w:tc>
                <w:tcPr>
                  <w:tcW w:w="1390" w:type="dxa"/>
                  <w:tcBorders>
                    <w:left w:val="single" w:color="000000" w:sz="6" w:space="0"/>
                  </w:tcBorders>
                  <w:shd w:val="clear" w:color="auto" w:fill="auto"/>
                  <w:vAlign w:val="center"/>
                </w:tcPr>
                <w:p w14:paraId="2BD64E76">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脱磷活性菌种</w:t>
                  </w:r>
                </w:p>
              </w:tc>
              <w:tc>
                <w:tcPr>
                  <w:tcW w:w="631" w:type="dxa"/>
                  <w:tcBorders>
                    <w:left w:val="single" w:color="000000" w:sz="6" w:space="0"/>
                  </w:tcBorders>
                  <w:vAlign w:val="center"/>
                </w:tcPr>
                <w:p w14:paraId="5F71E438">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15%</w:t>
                  </w:r>
                </w:p>
              </w:tc>
              <w:tc>
                <w:tcPr>
                  <w:tcW w:w="748" w:type="dxa"/>
                  <w:vAlign w:val="center"/>
                </w:tcPr>
                <w:p w14:paraId="4E13DD20">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6B16EFA9">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40</w:t>
                  </w:r>
                </w:p>
              </w:tc>
              <w:tc>
                <w:tcPr>
                  <w:tcW w:w="1138" w:type="dxa"/>
                  <w:vAlign w:val="center"/>
                </w:tcPr>
                <w:p w14:paraId="69F51AD5">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7B1341B4">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桶装</w:t>
                  </w:r>
                </w:p>
              </w:tc>
              <w:tc>
                <w:tcPr>
                  <w:tcW w:w="1141" w:type="dxa"/>
                  <w:vAlign w:val="center"/>
                </w:tcPr>
                <w:p w14:paraId="2CCC9EE9">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灌装车间</w:t>
                  </w:r>
                </w:p>
              </w:tc>
              <w:tc>
                <w:tcPr>
                  <w:tcW w:w="1141" w:type="dxa"/>
                  <w:vMerge w:val="continue"/>
                  <w:vAlign w:val="center"/>
                </w:tcPr>
                <w:p w14:paraId="028F0BB7">
                  <w:pPr>
                    <w:autoSpaceDE w:val="0"/>
                    <w:autoSpaceDN w:val="0"/>
                    <w:jc w:val="center"/>
                    <w:rPr>
                      <w:rFonts w:hint="default" w:ascii="Times New Roman" w:hAnsi="Times New Roman" w:cs="Times New Roman"/>
                      <w:szCs w:val="21"/>
                      <w:highlight w:val="none"/>
                      <w:lang w:eastAsia="en-US"/>
                    </w:rPr>
                  </w:pPr>
                </w:p>
              </w:tc>
            </w:tr>
            <w:tr w14:paraId="63A94D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319AABD3">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17</w:t>
                  </w:r>
                </w:p>
              </w:tc>
              <w:tc>
                <w:tcPr>
                  <w:tcW w:w="1390" w:type="dxa"/>
                  <w:tcBorders>
                    <w:left w:val="single" w:color="000000" w:sz="6" w:space="0"/>
                  </w:tcBorders>
                  <w:shd w:val="clear" w:color="auto" w:fill="auto"/>
                  <w:vAlign w:val="center"/>
                </w:tcPr>
                <w:p w14:paraId="56550C73">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活性耐盐菌种</w:t>
                  </w:r>
                </w:p>
              </w:tc>
              <w:tc>
                <w:tcPr>
                  <w:tcW w:w="631" w:type="dxa"/>
                  <w:tcBorders>
                    <w:left w:val="single" w:color="000000" w:sz="6" w:space="0"/>
                  </w:tcBorders>
                  <w:vAlign w:val="center"/>
                </w:tcPr>
                <w:p w14:paraId="1854AA11">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25%</w:t>
                  </w:r>
                </w:p>
              </w:tc>
              <w:tc>
                <w:tcPr>
                  <w:tcW w:w="748" w:type="dxa"/>
                  <w:vAlign w:val="center"/>
                </w:tcPr>
                <w:p w14:paraId="49486B28">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vAlign w:val="center"/>
                </w:tcPr>
                <w:p w14:paraId="7A43B113">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40</w:t>
                  </w:r>
                </w:p>
              </w:tc>
              <w:tc>
                <w:tcPr>
                  <w:tcW w:w="1138" w:type="dxa"/>
                  <w:vAlign w:val="center"/>
                </w:tcPr>
                <w:p w14:paraId="11ED140D">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vAlign w:val="center"/>
                </w:tcPr>
                <w:p w14:paraId="4F26EACC">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桶装</w:t>
                  </w:r>
                </w:p>
              </w:tc>
              <w:tc>
                <w:tcPr>
                  <w:tcW w:w="1141" w:type="dxa"/>
                  <w:vAlign w:val="center"/>
                </w:tcPr>
                <w:p w14:paraId="230A772B">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灌装车间</w:t>
                  </w:r>
                </w:p>
              </w:tc>
              <w:tc>
                <w:tcPr>
                  <w:tcW w:w="1141" w:type="dxa"/>
                  <w:vMerge w:val="continue"/>
                  <w:vAlign w:val="center"/>
                </w:tcPr>
                <w:p w14:paraId="045AC28E">
                  <w:pPr>
                    <w:autoSpaceDE w:val="0"/>
                    <w:autoSpaceDN w:val="0"/>
                    <w:jc w:val="center"/>
                    <w:rPr>
                      <w:rFonts w:hint="default" w:ascii="Times New Roman" w:hAnsi="Times New Roman" w:cs="Times New Roman"/>
                      <w:szCs w:val="21"/>
                      <w:highlight w:val="none"/>
                      <w:lang w:eastAsia="en-US"/>
                    </w:rPr>
                  </w:pPr>
                </w:p>
              </w:tc>
            </w:tr>
            <w:tr w14:paraId="33035B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4F532838">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18</w:t>
                  </w:r>
                </w:p>
              </w:tc>
              <w:tc>
                <w:tcPr>
                  <w:tcW w:w="1390" w:type="dxa"/>
                  <w:tcBorders>
                    <w:left w:val="single" w:color="000000" w:sz="6" w:space="0"/>
                  </w:tcBorders>
                  <w:shd w:val="clear" w:color="auto" w:fill="auto"/>
                  <w:vAlign w:val="center"/>
                </w:tcPr>
                <w:p w14:paraId="750C4ABD">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脱氮活性酶</w:t>
                  </w:r>
                </w:p>
              </w:tc>
              <w:tc>
                <w:tcPr>
                  <w:tcW w:w="631" w:type="dxa"/>
                  <w:tcBorders>
                    <w:left w:val="single" w:color="000000" w:sz="6" w:space="0"/>
                  </w:tcBorders>
                  <w:vAlign w:val="center"/>
                </w:tcPr>
                <w:p w14:paraId="5FF00FFE">
                  <w:pPr>
                    <w:autoSpaceDE w:val="0"/>
                    <w:autoSpaceDN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20%</w:t>
                  </w:r>
                </w:p>
              </w:tc>
              <w:tc>
                <w:tcPr>
                  <w:tcW w:w="748" w:type="dxa"/>
                  <w:shd w:val="clear" w:color="auto" w:fill="auto"/>
                  <w:vAlign w:val="center"/>
                </w:tcPr>
                <w:p w14:paraId="1D3C5179">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t/a</w:t>
                  </w:r>
                </w:p>
              </w:tc>
              <w:tc>
                <w:tcPr>
                  <w:tcW w:w="1138" w:type="dxa"/>
                  <w:shd w:val="clear" w:color="auto" w:fill="auto"/>
                  <w:vAlign w:val="center"/>
                </w:tcPr>
                <w:p w14:paraId="2E0E5877">
                  <w:pPr>
                    <w:widowControl/>
                    <w:autoSpaceDE w:val="0"/>
                    <w:autoSpaceDN w:val="0"/>
                    <w:jc w:val="center"/>
                    <w:textAlignment w:val="center"/>
                    <w:rPr>
                      <w:rFonts w:hint="default" w:ascii="Times New Roman" w:hAnsi="Times New Roman" w:cs="Times New Roman"/>
                      <w:szCs w:val="21"/>
                      <w:highlight w:val="none"/>
                      <w:lang w:eastAsia="en-US"/>
                    </w:rPr>
                  </w:pPr>
                  <w:r>
                    <w:rPr>
                      <w:rFonts w:hint="default" w:ascii="Times New Roman" w:hAnsi="Times New Roman" w:cs="Times New Roman"/>
                      <w:color w:val="000000"/>
                      <w:kern w:val="0"/>
                      <w:szCs w:val="21"/>
                      <w:highlight w:val="none"/>
                      <w:lang w:eastAsia="en-US" w:bidi="ar"/>
                    </w:rPr>
                    <w:t>40</w:t>
                  </w:r>
                </w:p>
              </w:tc>
              <w:tc>
                <w:tcPr>
                  <w:tcW w:w="1138" w:type="dxa"/>
                  <w:shd w:val="clear" w:color="auto" w:fill="auto"/>
                  <w:vAlign w:val="center"/>
                </w:tcPr>
                <w:p w14:paraId="776487F9">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液体</w:t>
                  </w:r>
                </w:p>
              </w:tc>
              <w:tc>
                <w:tcPr>
                  <w:tcW w:w="1138" w:type="dxa"/>
                  <w:shd w:val="clear" w:color="auto" w:fill="auto"/>
                  <w:vAlign w:val="center"/>
                </w:tcPr>
                <w:p w14:paraId="66C144E1">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桶装</w:t>
                  </w:r>
                </w:p>
              </w:tc>
              <w:tc>
                <w:tcPr>
                  <w:tcW w:w="1141" w:type="dxa"/>
                  <w:shd w:val="clear" w:color="auto" w:fill="auto"/>
                  <w:vAlign w:val="center"/>
                </w:tcPr>
                <w:p w14:paraId="1F7C5B75">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灌装车间</w:t>
                  </w:r>
                </w:p>
              </w:tc>
              <w:tc>
                <w:tcPr>
                  <w:tcW w:w="1141" w:type="dxa"/>
                  <w:vMerge w:val="continue"/>
                  <w:shd w:val="clear" w:color="auto" w:fill="auto"/>
                  <w:vAlign w:val="center"/>
                </w:tcPr>
                <w:p w14:paraId="6863EA5E">
                  <w:pPr>
                    <w:autoSpaceDE w:val="0"/>
                    <w:autoSpaceDN w:val="0"/>
                    <w:jc w:val="center"/>
                    <w:rPr>
                      <w:rFonts w:hint="default" w:ascii="Times New Roman" w:hAnsi="Times New Roman" w:cs="Times New Roman"/>
                      <w:szCs w:val="21"/>
                      <w:highlight w:val="none"/>
                      <w:lang w:eastAsia="en-US"/>
                    </w:rPr>
                  </w:pPr>
                </w:p>
              </w:tc>
            </w:tr>
            <w:tr w14:paraId="5A6B67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30" w:type="dxa"/>
                  <w:tcBorders>
                    <w:left w:val="single" w:color="000000" w:sz="6" w:space="0"/>
                  </w:tcBorders>
                  <w:vAlign w:val="center"/>
                </w:tcPr>
                <w:p w14:paraId="63823A26">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19</w:t>
                  </w:r>
                </w:p>
              </w:tc>
              <w:tc>
                <w:tcPr>
                  <w:tcW w:w="1390" w:type="dxa"/>
                  <w:tcBorders>
                    <w:left w:val="single" w:color="000000" w:sz="6" w:space="0"/>
                  </w:tcBorders>
                  <w:shd w:val="clear" w:color="auto" w:fill="auto"/>
                  <w:vAlign w:val="center"/>
                </w:tcPr>
                <w:p w14:paraId="766392E9">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水</w:t>
                  </w:r>
                </w:p>
              </w:tc>
              <w:tc>
                <w:tcPr>
                  <w:tcW w:w="631" w:type="dxa"/>
                  <w:tcBorders>
                    <w:left w:val="single" w:color="000000" w:sz="6" w:space="0"/>
                  </w:tcBorders>
                  <w:vAlign w:val="center"/>
                </w:tcPr>
                <w:p w14:paraId="579D2F16">
                  <w:pPr>
                    <w:autoSpaceDE w:val="0"/>
                    <w:autoSpaceDN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c>
                <w:tcPr>
                  <w:tcW w:w="748" w:type="dxa"/>
                  <w:vAlign w:val="center"/>
                </w:tcPr>
                <w:p w14:paraId="40BD5BBD">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m</w:t>
                  </w:r>
                  <w:r>
                    <w:rPr>
                      <w:rFonts w:hint="default" w:ascii="Times New Roman" w:hAnsi="Times New Roman" w:cs="Times New Roman"/>
                      <w:szCs w:val="21"/>
                      <w:highlight w:val="none"/>
                      <w:vertAlign w:val="superscript"/>
                      <w:lang w:eastAsia="en-US"/>
                    </w:rPr>
                    <w:t>3</w:t>
                  </w:r>
                  <w:r>
                    <w:rPr>
                      <w:rFonts w:hint="default" w:ascii="Times New Roman" w:hAnsi="Times New Roman" w:cs="Times New Roman"/>
                      <w:szCs w:val="21"/>
                      <w:highlight w:val="none"/>
                      <w:lang w:eastAsia="en-US"/>
                    </w:rPr>
                    <w:t>/a</w:t>
                  </w:r>
                </w:p>
              </w:tc>
              <w:tc>
                <w:tcPr>
                  <w:tcW w:w="1138" w:type="dxa"/>
                  <w:vAlign w:val="center"/>
                </w:tcPr>
                <w:p w14:paraId="3B752BEA">
                  <w:pPr>
                    <w:widowControl/>
                    <w:autoSpaceDE w:val="0"/>
                    <w:autoSpaceDN w:val="0"/>
                    <w:jc w:val="center"/>
                    <w:textAlignment w:val="center"/>
                    <w:rPr>
                      <w:rFonts w:hint="default" w:ascii="Times New Roman" w:hAnsi="Times New Roman" w:cs="Times New Roman"/>
                      <w:szCs w:val="21"/>
                      <w:highlight w:val="none"/>
                      <w:lang w:eastAsia="en-US"/>
                    </w:rPr>
                  </w:pPr>
                  <w:r>
                    <w:rPr>
                      <w:rFonts w:hint="eastAsia" w:cs="Times New Roman"/>
                      <w:color w:val="000000"/>
                      <w:kern w:val="0"/>
                      <w:szCs w:val="21"/>
                      <w:highlight w:val="none"/>
                      <w:lang w:val="en-US" w:eastAsia="zh-CN" w:bidi="ar"/>
                    </w:rPr>
                    <w:t>4</w:t>
                  </w:r>
                  <w:r>
                    <w:rPr>
                      <w:rFonts w:hint="default" w:ascii="Times New Roman" w:hAnsi="Times New Roman" w:cs="Times New Roman"/>
                      <w:color w:val="000000"/>
                      <w:kern w:val="0"/>
                      <w:szCs w:val="21"/>
                      <w:highlight w:val="none"/>
                      <w:lang w:eastAsia="en-US" w:bidi="ar"/>
                    </w:rPr>
                    <w:t>1800</w:t>
                  </w:r>
                </w:p>
              </w:tc>
              <w:tc>
                <w:tcPr>
                  <w:tcW w:w="1138" w:type="dxa"/>
                  <w:vAlign w:val="center"/>
                </w:tcPr>
                <w:p w14:paraId="19228A13">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w:t>
                  </w:r>
                </w:p>
              </w:tc>
              <w:tc>
                <w:tcPr>
                  <w:tcW w:w="1138" w:type="dxa"/>
                  <w:vAlign w:val="center"/>
                </w:tcPr>
                <w:p w14:paraId="5D17BB1D">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w:t>
                  </w:r>
                </w:p>
              </w:tc>
              <w:tc>
                <w:tcPr>
                  <w:tcW w:w="1141" w:type="dxa"/>
                  <w:vAlign w:val="center"/>
                </w:tcPr>
                <w:p w14:paraId="72723AEC">
                  <w:pPr>
                    <w:autoSpaceDE w:val="0"/>
                    <w:autoSpaceDN w:val="0"/>
                    <w:jc w:val="center"/>
                    <w:rPr>
                      <w:rFonts w:hint="default" w:ascii="Times New Roman" w:hAnsi="Times New Roman" w:cs="Times New Roman"/>
                      <w:szCs w:val="21"/>
                      <w:highlight w:val="none"/>
                      <w:lang w:eastAsia="en-US"/>
                    </w:rPr>
                  </w:pPr>
                  <w:r>
                    <w:rPr>
                      <w:rFonts w:hint="default" w:ascii="Times New Roman" w:hAnsi="Times New Roman" w:cs="Times New Roman"/>
                      <w:szCs w:val="21"/>
                      <w:highlight w:val="none"/>
                      <w:lang w:eastAsia="en-US"/>
                    </w:rPr>
                    <w:t>/</w:t>
                  </w:r>
                </w:p>
              </w:tc>
              <w:tc>
                <w:tcPr>
                  <w:tcW w:w="1141" w:type="dxa"/>
                  <w:vAlign w:val="center"/>
                </w:tcPr>
                <w:p w14:paraId="3115492A">
                  <w:pPr>
                    <w:autoSpaceDE w:val="0"/>
                    <w:autoSpaceDN w:val="0"/>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w:t>
                  </w:r>
                </w:p>
              </w:tc>
            </w:tr>
          </w:tbl>
          <w:p w14:paraId="1E7FAE0B">
            <w:pPr>
              <w:spacing w:line="276" w:lineRule="auto"/>
              <w:ind w:firstLine="482" w:firstLineChars="200"/>
              <w:textAlignment w:val="baseline"/>
              <w:rPr>
                <w:rFonts w:hint="default" w:ascii="Times New Roman" w:hAnsi="Times New Roman" w:cs="Times New Roman"/>
                <w:b/>
                <w:sz w:val="24"/>
                <w:highlight w:val="none"/>
              </w:rPr>
            </w:pPr>
            <w:r>
              <w:rPr>
                <w:rFonts w:hint="default" w:ascii="Times New Roman" w:hAnsi="Times New Roman" w:cs="Times New Roman"/>
                <w:b/>
                <w:sz w:val="24"/>
                <w:highlight w:val="none"/>
              </w:rPr>
              <w:t>6、主要生产设备</w:t>
            </w:r>
          </w:p>
          <w:p w14:paraId="2344977E">
            <w:pPr>
              <w:pStyle w:val="45"/>
              <w:ind w:left="0" w:leftChars="0" w:firstLine="480"/>
              <w:rPr>
                <w:rFonts w:hint="default" w:ascii="Times New Roman" w:hAnsi="Times New Roman" w:cs="Times New Roman"/>
                <w:sz w:val="24"/>
                <w:highlight w:val="none"/>
              </w:rPr>
            </w:pPr>
            <w:r>
              <w:rPr>
                <w:rFonts w:hint="default" w:ascii="Times New Roman" w:hAnsi="Times New Roman" w:cs="Times New Roman"/>
                <w:bCs/>
                <w:sz w:val="24"/>
                <w:highlight w:val="none"/>
              </w:rPr>
              <w:t>项目主要设备情况</w:t>
            </w:r>
            <w:r>
              <w:rPr>
                <w:rFonts w:hint="default" w:ascii="Times New Roman" w:hAnsi="Times New Roman" w:cs="Times New Roman"/>
                <w:sz w:val="24"/>
                <w:highlight w:val="none"/>
              </w:rPr>
              <w:t>见下表。</w:t>
            </w:r>
          </w:p>
          <w:p w14:paraId="197478CB">
            <w:pPr>
              <w:pStyle w:val="13"/>
              <w:ind w:firstLine="0"/>
              <w:jc w:val="center"/>
              <w:rPr>
                <w:rFonts w:hint="default" w:ascii="Times New Roman" w:hAnsi="Times New Roman" w:cs="Times New Roman"/>
                <w:b/>
                <w:bCs/>
                <w:kern w:val="0"/>
                <w:sz w:val="24"/>
                <w:szCs w:val="24"/>
                <w:highlight w:val="none"/>
              </w:rPr>
            </w:pPr>
            <w:r>
              <w:rPr>
                <w:rFonts w:hint="default" w:ascii="Times New Roman" w:hAnsi="Times New Roman" w:cs="Times New Roman"/>
                <w:b/>
                <w:bCs/>
                <w:kern w:val="0"/>
                <w:sz w:val="24"/>
                <w:szCs w:val="24"/>
                <w:highlight w:val="none"/>
              </w:rPr>
              <w:t>表2-4  拟建项目设备清单</w:t>
            </w:r>
          </w:p>
          <w:tbl>
            <w:tblPr>
              <w:tblStyle w:val="222"/>
              <w:tblW w:w="909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21"/>
              <w:gridCol w:w="1373"/>
              <w:gridCol w:w="1470"/>
              <w:gridCol w:w="1890"/>
              <w:gridCol w:w="1284"/>
              <w:gridCol w:w="613"/>
              <w:gridCol w:w="618"/>
              <w:gridCol w:w="613"/>
              <w:gridCol w:w="613"/>
            </w:tblGrid>
            <w:tr w14:paraId="2ECFB7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blHeader/>
                <w:jc w:val="center"/>
              </w:trPr>
              <w:tc>
                <w:tcPr>
                  <w:tcW w:w="621" w:type="dxa"/>
                  <w:tcBorders>
                    <w:top w:val="single" w:color="000000" w:sz="6" w:space="0"/>
                    <w:left w:val="single" w:color="000000" w:sz="6" w:space="0"/>
                  </w:tcBorders>
                  <w:vAlign w:val="center"/>
                </w:tcPr>
                <w:p w14:paraId="244ACA2E">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序号</w:t>
                  </w:r>
                </w:p>
              </w:tc>
              <w:tc>
                <w:tcPr>
                  <w:tcW w:w="1373" w:type="dxa"/>
                  <w:tcBorders>
                    <w:top w:val="single" w:color="000000" w:sz="6" w:space="0"/>
                  </w:tcBorders>
                  <w:vAlign w:val="center"/>
                </w:tcPr>
                <w:p w14:paraId="643B16A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设备名称</w:t>
                  </w:r>
                </w:p>
              </w:tc>
              <w:tc>
                <w:tcPr>
                  <w:tcW w:w="1470" w:type="dxa"/>
                  <w:tcBorders>
                    <w:top w:val="single" w:color="000000" w:sz="6" w:space="0"/>
                  </w:tcBorders>
                  <w:vAlign w:val="center"/>
                </w:tcPr>
                <w:p w14:paraId="49E123F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介质</w:t>
                  </w:r>
                </w:p>
              </w:tc>
              <w:tc>
                <w:tcPr>
                  <w:tcW w:w="1890" w:type="dxa"/>
                  <w:tcBorders>
                    <w:top w:val="single" w:color="000000" w:sz="6" w:space="0"/>
                  </w:tcBorders>
                  <w:vAlign w:val="center"/>
                </w:tcPr>
                <w:p w14:paraId="5D2D9B03">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规格型号</w:t>
                  </w:r>
                </w:p>
              </w:tc>
              <w:tc>
                <w:tcPr>
                  <w:tcW w:w="1284" w:type="dxa"/>
                  <w:tcBorders>
                    <w:top w:val="single" w:color="000000" w:sz="6" w:space="0"/>
                  </w:tcBorders>
                  <w:vAlign w:val="center"/>
                </w:tcPr>
                <w:p w14:paraId="39A0AB9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单位</w:t>
                  </w:r>
                </w:p>
              </w:tc>
              <w:tc>
                <w:tcPr>
                  <w:tcW w:w="613" w:type="dxa"/>
                  <w:tcBorders>
                    <w:top w:val="single" w:color="000000" w:sz="6" w:space="0"/>
                  </w:tcBorders>
                  <w:vAlign w:val="center"/>
                </w:tcPr>
                <w:p w14:paraId="63E3901A">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数量</w:t>
                  </w:r>
                </w:p>
              </w:tc>
              <w:tc>
                <w:tcPr>
                  <w:tcW w:w="618" w:type="dxa"/>
                  <w:tcBorders>
                    <w:top w:val="single" w:color="000000" w:sz="6" w:space="0"/>
                  </w:tcBorders>
                  <w:vAlign w:val="center"/>
                </w:tcPr>
                <w:p w14:paraId="2C1C23E4">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材质</w:t>
                  </w:r>
                </w:p>
              </w:tc>
              <w:tc>
                <w:tcPr>
                  <w:tcW w:w="613" w:type="dxa"/>
                  <w:tcBorders>
                    <w:top w:val="single" w:color="000000" w:sz="6" w:space="0"/>
                    <w:right w:val="single" w:color="000000" w:sz="6" w:space="0"/>
                  </w:tcBorders>
                  <w:vAlign w:val="center"/>
                </w:tcPr>
                <w:p w14:paraId="4E99B1A0">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摆放位置</w:t>
                  </w:r>
                </w:p>
              </w:tc>
              <w:tc>
                <w:tcPr>
                  <w:tcW w:w="613" w:type="dxa"/>
                  <w:tcBorders>
                    <w:top w:val="single" w:color="000000" w:sz="6" w:space="0"/>
                    <w:right w:val="single" w:color="000000" w:sz="6" w:space="0"/>
                  </w:tcBorders>
                  <w:vAlign w:val="center"/>
                </w:tcPr>
                <w:p w14:paraId="7940321F">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备注</w:t>
                  </w:r>
                </w:p>
              </w:tc>
            </w:tr>
            <w:tr w14:paraId="6110A0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vAlign w:val="center"/>
                </w:tcPr>
                <w:p w14:paraId="71CA82D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1373" w:type="dxa"/>
                  <w:shd w:val="clear" w:color="auto" w:fill="auto"/>
                  <w:vAlign w:val="center"/>
                </w:tcPr>
                <w:p w14:paraId="010A76BC">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丁二醇储罐</w:t>
                  </w:r>
                </w:p>
              </w:tc>
              <w:tc>
                <w:tcPr>
                  <w:tcW w:w="1470" w:type="dxa"/>
                  <w:shd w:val="clear" w:color="auto" w:fill="auto"/>
                  <w:vAlign w:val="center"/>
                </w:tcPr>
                <w:p w14:paraId="0979AAE5">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丁二醇</w:t>
                  </w:r>
                </w:p>
              </w:tc>
              <w:tc>
                <w:tcPr>
                  <w:tcW w:w="1890" w:type="dxa"/>
                  <w:vAlign w:val="center"/>
                </w:tcPr>
                <w:p w14:paraId="1B9DC732">
                  <w:pPr>
                    <w:autoSpaceDE w:val="0"/>
                    <w:autoSpaceDN w:val="0"/>
                    <w:jc w:val="center"/>
                    <w:rPr>
                      <w:rFonts w:hint="default" w:ascii="Times New Roman" w:hAnsi="Times New Roman" w:cs="Times New Roman"/>
                      <w:szCs w:val="21"/>
                      <w:highlight w:val="none"/>
                      <w:vertAlign w:val="baseline"/>
                      <w:lang w:eastAsia="zh-CN"/>
                    </w:rPr>
                  </w:pPr>
                  <w:r>
                    <w:rPr>
                      <w:rFonts w:hint="default" w:ascii="Times New Roman" w:hAnsi="Times New Roman" w:cs="Times New Roman"/>
                      <w:szCs w:val="21"/>
                      <w:highlight w:val="none"/>
                      <w:lang w:eastAsia="zh-CN"/>
                    </w:rPr>
                    <w:t>500m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立式固定顶直径8m，高10.5m</w:t>
                  </w:r>
                  <w:r>
                    <w:rPr>
                      <w:rFonts w:hint="eastAsia" w:cs="Times New Roman"/>
                      <w:szCs w:val="21"/>
                      <w:highlight w:val="none"/>
                      <w:vertAlign w:val="baseline"/>
                      <w:lang w:eastAsia="zh-CN"/>
                    </w:rPr>
                    <w:t>）</w:t>
                  </w:r>
                </w:p>
              </w:tc>
              <w:tc>
                <w:tcPr>
                  <w:tcW w:w="1284" w:type="dxa"/>
                  <w:vAlign w:val="center"/>
                </w:tcPr>
                <w:p w14:paraId="0EEF8A64">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个</w:t>
                  </w:r>
                </w:p>
              </w:tc>
              <w:tc>
                <w:tcPr>
                  <w:tcW w:w="613" w:type="dxa"/>
                  <w:vAlign w:val="center"/>
                </w:tcPr>
                <w:p w14:paraId="169CE986">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vAlign w:val="center"/>
                </w:tcPr>
                <w:p w14:paraId="1CB76494">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304</w:t>
                  </w:r>
                </w:p>
              </w:tc>
              <w:tc>
                <w:tcPr>
                  <w:tcW w:w="613" w:type="dxa"/>
                  <w:vMerge w:val="restart"/>
                  <w:tcBorders>
                    <w:right w:val="single" w:color="000000" w:sz="6" w:space="0"/>
                  </w:tcBorders>
                  <w:vAlign w:val="center"/>
                </w:tcPr>
                <w:p w14:paraId="429A4803">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罐区</w:t>
                  </w:r>
                </w:p>
                <w:p w14:paraId="33C96CCD">
                  <w:pPr>
                    <w:autoSpaceDE w:val="0"/>
                    <w:autoSpaceDN w:val="0"/>
                    <w:jc w:val="center"/>
                    <w:rPr>
                      <w:rFonts w:hint="default" w:ascii="Times New Roman" w:hAnsi="Times New Roman" w:cs="Times New Roman"/>
                      <w:szCs w:val="21"/>
                      <w:highlight w:val="none"/>
                      <w:lang w:eastAsia="zh-CN"/>
                    </w:rPr>
                  </w:pPr>
                </w:p>
              </w:tc>
              <w:tc>
                <w:tcPr>
                  <w:tcW w:w="613" w:type="dxa"/>
                  <w:tcBorders>
                    <w:right w:val="single" w:color="000000" w:sz="6" w:space="0"/>
                  </w:tcBorders>
                  <w:vAlign w:val="center"/>
                </w:tcPr>
                <w:p w14:paraId="515FBE34">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7FAFCC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vAlign w:val="center"/>
                </w:tcPr>
                <w:p w14:paraId="55EBAB31">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2</w:t>
                  </w:r>
                </w:p>
              </w:tc>
              <w:tc>
                <w:tcPr>
                  <w:tcW w:w="1373" w:type="dxa"/>
                  <w:shd w:val="clear" w:color="auto" w:fill="auto"/>
                  <w:vAlign w:val="center"/>
                </w:tcPr>
                <w:p w14:paraId="4D136791">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乙酸储罐</w:t>
                  </w:r>
                </w:p>
              </w:tc>
              <w:tc>
                <w:tcPr>
                  <w:tcW w:w="1470" w:type="dxa"/>
                  <w:shd w:val="clear" w:color="auto" w:fill="auto"/>
                  <w:vAlign w:val="center"/>
                </w:tcPr>
                <w:p w14:paraId="7C790DAC">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乙酸</w:t>
                  </w:r>
                </w:p>
              </w:tc>
              <w:tc>
                <w:tcPr>
                  <w:tcW w:w="1890" w:type="dxa"/>
                  <w:shd w:val="clear" w:color="auto" w:fill="auto"/>
                  <w:vAlign w:val="center"/>
                </w:tcPr>
                <w:p w14:paraId="4B0E842F">
                  <w:pPr>
                    <w:autoSpaceDE w:val="0"/>
                    <w:autoSpaceDN w:val="0"/>
                    <w:jc w:val="center"/>
                    <w:rPr>
                      <w:rFonts w:hint="default" w:ascii="Times New Roman" w:hAnsi="Times New Roman" w:cs="Times New Roman"/>
                      <w:szCs w:val="21"/>
                      <w:highlight w:val="none"/>
                      <w:lang w:eastAsia="zh-CN"/>
                    </w:rPr>
                  </w:pPr>
                  <w:r>
                    <w:rPr>
                      <w:rFonts w:hint="eastAsia"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立式固定顶直径8m，高10.5m</w:t>
                  </w:r>
                  <w:r>
                    <w:rPr>
                      <w:rFonts w:hint="eastAsia" w:cs="Times New Roman"/>
                      <w:szCs w:val="21"/>
                      <w:highlight w:val="none"/>
                      <w:vertAlign w:val="baseline"/>
                      <w:lang w:eastAsia="zh-CN"/>
                    </w:rPr>
                    <w:t>）</w:t>
                  </w:r>
                </w:p>
              </w:tc>
              <w:tc>
                <w:tcPr>
                  <w:tcW w:w="1284" w:type="dxa"/>
                  <w:shd w:val="clear" w:color="auto" w:fill="auto"/>
                  <w:vAlign w:val="center"/>
                </w:tcPr>
                <w:p w14:paraId="06F1CCEE">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个</w:t>
                  </w:r>
                </w:p>
              </w:tc>
              <w:tc>
                <w:tcPr>
                  <w:tcW w:w="613" w:type="dxa"/>
                  <w:shd w:val="clear" w:color="auto" w:fill="auto"/>
                  <w:vAlign w:val="center"/>
                </w:tcPr>
                <w:p w14:paraId="054F6F60">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5370701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304</w:t>
                  </w:r>
                </w:p>
              </w:tc>
              <w:tc>
                <w:tcPr>
                  <w:tcW w:w="613" w:type="dxa"/>
                  <w:vMerge w:val="continue"/>
                  <w:tcBorders>
                    <w:right w:val="single" w:color="000000" w:sz="6" w:space="0"/>
                  </w:tcBorders>
                  <w:vAlign w:val="center"/>
                </w:tcPr>
                <w:p w14:paraId="1B8927BB">
                  <w:pPr>
                    <w:autoSpaceDE w:val="0"/>
                    <w:autoSpaceDN w:val="0"/>
                    <w:jc w:val="center"/>
                    <w:rPr>
                      <w:rFonts w:hint="default" w:ascii="Times New Roman" w:hAnsi="Times New Roman" w:cs="Times New Roman"/>
                      <w:szCs w:val="21"/>
                      <w:highlight w:val="none"/>
                      <w:lang w:eastAsia="zh-CN"/>
                    </w:rPr>
                  </w:pPr>
                </w:p>
              </w:tc>
              <w:tc>
                <w:tcPr>
                  <w:tcW w:w="613" w:type="dxa"/>
                  <w:tcBorders>
                    <w:right w:val="single" w:color="000000" w:sz="6" w:space="0"/>
                  </w:tcBorders>
                  <w:vAlign w:val="center"/>
                </w:tcPr>
                <w:p w14:paraId="77C5F0B2">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02567C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shd w:val="clear" w:color="auto" w:fill="auto"/>
                  <w:vAlign w:val="center"/>
                </w:tcPr>
                <w:p w14:paraId="16493E8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w:t>
                  </w:r>
                </w:p>
              </w:tc>
              <w:tc>
                <w:tcPr>
                  <w:tcW w:w="1373" w:type="dxa"/>
                  <w:vAlign w:val="center"/>
                </w:tcPr>
                <w:p w14:paraId="12F0DAB9">
                  <w:pPr>
                    <w:autoSpaceDE w:val="0"/>
                    <w:autoSpaceDN w:val="0"/>
                    <w:jc w:val="center"/>
                    <w:rPr>
                      <w:rFonts w:hint="default" w:ascii="Times New Roman" w:hAnsi="Times New Roman" w:cs="Times New Roman"/>
                      <w:szCs w:val="21"/>
                      <w:highlight w:val="none"/>
                      <w:lang w:eastAsia="zh-CN"/>
                    </w:rPr>
                  </w:pPr>
                  <w:r>
                    <w:rPr>
                      <w:rFonts w:hint="eastAsia" w:cs="Times New Roman"/>
                      <w:szCs w:val="21"/>
                      <w:highlight w:val="none"/>
                      <w:lang w:val="en-US" w:eastAsia="zh-CN"/>
                    </w:rPr>
                    <w:t>甲醇</w:t>
                  </w:r>
                  <w:r>
                    <w:rPr>
                      <w:rFonts w:hint="default" w:ascii="Times New Roman" w:hAnsi="Times New Roman" w:cs="Times New Roman"/>
                      <w:szCs w:val="21"/>
                      <w:highlight w:val="none"/>
                      <w:lang w:eastAsia="zh-CN"/>
                    </w:rPr>
                    <w:t>储罐</w:t>
                  </w:r>
                </w:p>
              </w:tc>
              <w:tc>
                <w:tcPr>
                  <w:tcW w:w="1470" w:type="dxa"/>
                  <w:vAlign w:val="center"/>
                </w:tcPr>
                <w:p w14:paraId="3D03B397">
                  <w:pPr>
                    <w:autoSpaceDE w:val="0"/>
                    <w:autoSpaceDN w:val="0"/>
                    <w:jc w:val="center"/>
                    <w:rPr>
                      <w:rFonts w:hint="default" w:ascii="Times New Roman" w:hAnsi="Times New Roman" w:cs="Times New Roman"/>
                      <w:szCs w:val="21"/>
                      <w:highlight w:val="none"/>
                      <w:lang w:eastAsia="zh-CN"/>
                    </w:rPr>
                  </w:pPr>
                  <w:r>
                    <w:rPr>
                      <w:rFonts w:hint="eastAsia" w:cs="Times New Roman"/>
                      <w:szCs w:val="21"/>
                      <w:highlight w:val="none"/>
                      <w:lang w:val="en-US" w:eastAsia="zh-CN"/>
                    </w:rPr>
                    <w:t>甲醇</w:t>
                  </w:r>
                </w:p>
              </w:tc>
              <w:tc>
                <w:tcPr>
                  <w:tcW w:w="1890" w:type="dxa"/>
                  <w:vAlign w:val="center"/>
                </w:tcPr>
                <w:p w14:paraId="520D6D2A">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500m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立式固定顶直径8m，高10.5m</w:t>
                  </w:r>
                  <w:r>
                    <w:rPr>
                      <w:rFonts w:hint="eastAsia" w:cs="Times New Roman"/>
                      <w:szCs w:val="21"/>
                      <w:highlight w:val="none"/>
                      <w:vertAlign w:val="baseline"/>
                      <w:lang w:eastAsia="zh-CN"/>
                    </w:rPr>
                    <w:t>）</w:t>
                  </w:r>
                </w:p>
              </w:tc>
              <w:tc>
                <w:tcPr>
                  <w:tcW w:w="1284" w:type="dxa"/>
                  <w:vAlign w:val="center"/>
                </w:tcPr>
                <w:p w14:paraId="6821BEC5">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个</w:t>
                  </w:r>
                </w:p>
              </w:tc>
              <w:tc>
                <w:tcPr>
                  <w:tcW w:w="613" w:type="dxa"/>
                  <w:vAlign w:val="center"/>
                </w:tcPr>
                <w:p w14:paraId="71A07596">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vAlign w:val="center"/>
                </w:tcPr>
                <w:p w14:paraId="33CBFC85">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304</w:t>
                  </w:r>
                </w:p>
              </w:tc>
              <w:tc>
                <w:tcPr>
                  <w:tcW w:w="613" w:type="dxa"/>
                  <w:vMerge w:val="continue"/>
                  <w:tcBorders>
                    <w:right w:val="single" w:color="000000" w:sz="6" w:space="0"/>
                  </w:tcBorders>
                  <w:vAlign w:val="center"/>
                </w:tcPr>
                <w:p w14:paraId="33A34C10">
                  <w:pPr>
                    <w:autoSpaceDE w:val="0"/>
                    <w:autoSpaceDN w:val="0"/>
                    <w:jc w:val="center"/>
                    <w:rPr>
                      <w:rFonts w:hint="default" w:ascii="Times New Roman" w:hAnsi="Times New Roman" w:cs="Times New Roman"/>
                      <w:szCs w:val="21"/>
                      <w:highlight w:val="none"/>
                      <w:lang w:eastAsia="zh-CN"/>
                    </w:rPr>
                  </w:pPr>
                </w:p>
              </w:tc>
              <w:tc>
                <w:tcPr>
                  <w:tcW w:w="613" w:type="dxa"/>
                  <w:tcBorders>
                    <w:right w:val="single" w:color="000000" w:sz="6" w:space="0"/>
                  </w:tcBorders>
                  <w:vAlign w:val="center"/>
                </w:tcPr>
                <w:p w14:paraId="1AA9E22C">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1D17B3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shd w:val="clear" w:color="auto" w:fill="auto"/>
                  <w:vAlign w:val="center"/>
                </w:tcPr>
                <w:p w14:paraId="4AE34A7B">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4</w:t>
                  </w:r>
                </w:p>
              </w:tc>
              <w:tc>
                <w:tcPr>
                  <w:tcW w:w="1373" w:type="dxa"/>
                  <w:shd w:val="clear" w:color="auto" w:fill="auto"/>
                  <w:vAlign w:val="center"/>
                </w:tcPr>
                <w:p w14:paraId="0CAD3F82">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乙醇储罐</w:t>
                  </w:r>
                </w:p>
              </w:tc>
              <w:tc>
                <w:tcPr>
                  <w:tcW w:w="1470" w:type="dxa"/>
                  <w:shd w:val="clear" w:color="auto" w:fill="auto"/>
                  <w:vAlign w:val="center"/>
                </w:tcPr>
                <w:p w14:paraId="6D6A1B24">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乙醇</w:t>
                  </w:r>
                </w:p>
              </w:tc>
              <w:tc>
                <w:tcPr>
                  <w:tcW w:w="1890" w:type="dxa"/>
                  <w:shd w:val="clear" w:color="auto" w:fill="auto"/>
                  <w:vAlign w:val="center"/>
                </w:tcPr>
                <w:p w14:paraId="1AA027C5">
                  <w:pPr>
                    <w:autoSpaceDE w:val="0"/>
                    <w:autoSpaceDN w:val="0"/>
                    <w:jc w:val="center"/>
                    <w:rPr>
                      <w:rFonts w:hint="default" w:ascii="Times New Roman" w:hAnsi="Times New Roman" w:cs="Times New Roman"/>
                      <w:szCs w:val="21"/>
                      <w:highlight w:val="none"/>
                      <w:lang w:eastAsia="zh-CN"/>
                    </w:rPr>
                  </w:pPr>
                  <w:r>
                    <w:rPr>
                      <w:rFonts w:hint="eastAsia"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立式固定顶直径8m，高10.5m</w:t>
                  </w:r>
                  <w:r>
                    <w:rPr>
                      <w:rFonts w:hint="eastAsia" w:cs="Times New Roman"/>
                      <w:szCs w:val="21"/>
                      <w:highlight w:val="none"/>
                      <w:vertAlign w:val="baseline"/>
                      <w:lang w:eastAsia="zh-CN"/>
                    </w:rPr>
                    <w:t>）</w:t>
                  </w:r>
                </w:p>
              </w:tc>
              <w:tc>
                <w:tcPr>
                  <w:tcW w:w="1284" w:type="dxa"/>
                  <w:shd w:val="clear" w:color="auto" w:fill="auto"/>
                  <w:vAlign w:val="center"/>
                </w:tcPr>
                <w:p w14:paraId="0D22756E">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个</w:t>
                  </w:r>
                </w:p>
              </w:tc>
              <w:tc>
                <w:tcPr>
                  <w:tcW w:w="613" w:type="dxa"/>
                  <w:shd w:val="clear" w:color="auto" w:fill="auto"/>
                  <w:vAlign w:val="center"/>
                </w:tcPr>
                <w:p w14:paraId="7DFFADA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54B62F25">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304</w:t>
                  </w:r>
                </w:p>
              </w:tc>
              <w:tc>
                <w:tcPr>
                  <w:tcW w:w="613" w:type="dxa"/>
                  <w:vMerge w:val="continue"/>
                  <w:tcBorders>
                    <w:right w:val="single" w:color="000000" w:sz="6" w:space="0"/>
                  </w:tcBorders>
                  <w:shd w:val="clear" w:color="auto" w:fill="auto"/>
                  <w:vAlign w:val="center"/>
                </w:tcPr>
                <w:p w14:paraId="6C3B76EE">
                  <w:pPr>
                    <w:autoSpaceDE w:val="0"/>
                    <w:autoSpaceDN w:val="0"/>
                    <w:jc w:val="center"/>
                    <w:rPr>
                      <w:rFonts w:hint="default" w:ascii="Times New Roman" w:hAnsi="Times New Roman" w:cs="Times New Roman"/>
                      <w:szCs w:val="21"/>
                      <w:highlight w:val="none"/>
                      <w:lang w:eastAsia="zh-CN"/>
                    </w:rPr>
                  </w:pPr>
                </w:p>
              </w:tc>
              <w:tc>
                <w:tcPr>
                  <w:tcW w:w="613" w:type="dxa"/>
                  <w:tcBorders>
                    <w:right w:val="single" w:color="000000" w:sz="6" w:space="0"/>
                  </w:tcBorders>
                  <w:shd w:val="clear" w:color="auto" w:fill="auto"/>
                  <w:vAlign w:val="center"/>
                </w:tcPr>
                <w:p w14:paraId="404E762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506E16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shd w:val="clear" w:color="auto" w:fill="auto"/>
                  <w:vAlign w:val="center"/>
                </w:tcPr>
                <w:p w14:paraId="3149315C">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5</w:t>
                  </w:r>
                </w:p>
              </w:tc>
              <w:tc>
                <w:tcPr>
                  <w:tcW w:w="1373" w:type="dxa"/>
                  <w:vAlign w:val="center"/>
                </w:tcPr>
                <w:p w14:paraId="5FF754D6">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丙二醇储罐</w:t>
                  </w:r>
                </w:p>
              </w:tc>
              <w:tc>
                <w:tcPr>
                  <w:tcW w:w="1470" w:type="dxa"/>
                  <w:vAlign w:val="center"/>
                </w:tcPr>
                <w:p w14:paraId="2E7E7B5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丙二醇</w:t>
                  </w:r>
                </w:p>
              </w:tc>
              <w:tc>
                <w:tcPr>
                  <w:tcW w:w="1890" w:type="dxa"/>
                  <w:vAlign w:val="center"/>
                </w:tcPr>
                <w:p w14:paraId="454EC47F">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立式固定顶直径7m，高9m</w:t>
                  </w:r>
                  <w:r>
                    <w:rPr>
                      <w:rFonts w:hint="eastAsia" w:cs="Times New Roman"/>
                      <w:szCs w:val="21"/>
                      <w:highlight w:val="none"/>
                      <w:vertAlign w:val="baseline"/>
                      <w:lang w:eastAsia="zh-CN"/>
                    </w:rPr>
                    <w:t>）</w:t>
                  </w:r>
                </w:p>
              </w:tc>
              <w:tc>
                <w:tcPr>
                  <w:tcW w:w="1284" w:type="dxa"/>
                  <w:vAlign w:val="center"/>
                </w:tcPr>
                <w:p w14:paraId="79D51AB1">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个</w:t>
                  </w:r>
                </w:p>
              </w:tc>
              <w:tc>
                <w:tcPr>
                  <w:tcW w:w="613" w:type="dxa"/>
                  <w:vAlign w:val="center"/>
                </w:tcPr>
                <w:p w14:paraId="7F6E015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vAlign w:val="center"/>
                </w:tcPr>
                <w:p w14:paraId="3A366F5A">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304</w:t>
                  </w:r>
                </w:p>
              </w:tc>
              <w:tc>
                <w:tcPr>
                  <w:tcW w:w="613" w:type="dxa"/>
                  <w:vMerge w:val="continue"/>
                  <w:tcBorders>
                    <w:right w:val="single" w:color="000000" w:sz="6" w:space="0"/>
                  </w:tcBorders>
                  <w:vAlign w:val="center"/>
                </w:tcPr>
                <w:p w14:paraId="555A9634">
                  <w:pPr>
                    <w:autoSpaceDE w:val="0"/>
                    <w:autoSpaceDN w:val="0"/>
                    <w:jc w:val="center"/>
                    <w:rPr>
                      <w:rFonts w:hint="default" w:ascii="Times New Roman" w:hAnsi="Times New Roman" w:cs="Times New Roman"/>
                      <w:szCs w:val="21"/>
                      <w:highlight w:val="none"/>
                      <w:lang w:eastAsia="zh-CN"/>
                    </w:rPr>
                  </w:pPr>
                </w:p>
              </w:tc>
              <w:tc>
                <w:tcPr>
                  <w:tcW w:w="613" w:type="dxa"/>
                  <w:tcBorders>
                    <w:right w:val="single" w:color="000000" w:sz="6" w:space="0"/>
                  </w:tcBorders>
                  <w:vAlign w:val="center"/>
                </w:tcPr>
                <w:p w14:paraId="0F411FD0">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7994C5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shd w:val="clear" w:color="auto" w:fill="auto"/>
                  <w:vAlign w:val="center"/>
                </w:tcPr>
                <w:p w14:paraId="2A67BEF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6</w:t>
                  </w:r>
                </w:p>
              </w:tc>
              <w:tc>
                <w:tcPr>
                  <w:tcW w:w="1373" w:type="dxa"/>
                  <w:vAlign w:val="center"/>
                </w:tcPr>
                <w:p w14:paraId="6915C95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丙三醇储罐</w:t>
                  </w:r>
                </w:p>
              </w:tc>
              <w:tc>
                <w:tcPr>
                  <w:tcW w:w="1470" w:type="dxa"/>
                  <w:vAlign w:val="center"/>
                </w:tcPr>
                <w:p w14:paraId="03DA16FB">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丙三醇</w:t>
                  </w:r>
                </w:p>
              </w:tc>
              <w:tc>
                <w:tcPr>
                  <w:tcW w:w="1890" w:type="dxa"/>
                  <w:vAlign w:val="center"/>
                </w:tcPr>
                <w:p w14:paraId="60B03EC6">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立式固定顶直径7m，高9m</w:t>
                  </w:r>
                  <w:r>
                    <w:rPr>
                      <w:rFonts w:hint="eastAsia" w:cs="Times New Roman"/>
                      <w:szCs w:val="21"/>
                      <w:highlight w:val="none"/>
                      <w:vertAlign w:val="baseline"/>
                      <w:lang w:eastAsia="zh-CN"/>
                    </w:rPr>
                    <w:t>）</w:t>
                  </w:r>
                </w:p>
              </w:tc>
              <w:tc>
                <w:tcPr>
                  <w:tcW w:w="1284" w:type="dxa"/>
                  <w:vAlign w:val="center"/>
                </w:tcPr>
                <w:p w14:paraId="6465167B">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个</w:t>
                  </w:r>
                </w:p>
              </w:tc>
              <w:tc>
                <w:tcPr>
                  <w:tcW w:w="613" w:type="dxa"/>
                  <w:vAlign w:val="center"/>
                </w:tcPr>
                <w:p w14:paraId="151C63BF">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vAlign w:val="center"/>
                </w:tcPr>
                <w:p w14:paraId="7D2B61E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304</w:t>
                  </w:r>
                </w:p>
              </w:tc>
              <w:tc>
                <w:tcPr>
                  <w:tcW w:w="613" w:type="dxa"/>
                  <w:vMerge w:val="continue"/>
                  <w:tcBorders>
                    <w:right w:val="single" w:color="000000" w:sz="6" w:space="0"/>
                  </w:tcBorders>
                  <w:vAlign w:val="center"/>
                </w:tcPr>
                <w:p w14:paraId="04582B73">
                  <w:pPr>
                    <w:autoSpaceDE w:val="0"/>
                    <w:autoSpaceDN w:val="0"/>
                    <w:jc w:val="center"/>
                    <w:rPr>
                      <w:rFonts w:hint="default" w:ascii="Times New Roman" w:hAnsi="Times New Roman" w:cs="Times New Roman"/>
                      <w:szCs w:val="21"/>
                      <w:highlight w:val="none"/>
                      <w:lang w:eastAsia="zh-CN"/>
                    </w:rPr>
                  </w:pPr>
                </w:p>
              </w:tc>
              <w:tc>
                <w:tcPr>
                  <w:tcW w:w="613" w:type="dxa"/>
                  <w:tcBorders>
                    <w:right w:val="single" w:color="000000" w:sz="6" w:space="0"/>
                  </w:tcBorders>
                  <w:vAlign w:val="center"/>
                </w:tcPr>
                <w:p w14:paraId="45877B5F">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2030FF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jc w:val="center"/>
              </w:trPr>
              <w:tc>
                <w:tcPr>
                  <w:tcW w:w="621" w:type="dxa"/>
                  <w:tcBorders>
                    <w:left w:val="single" w:color="000000" w:sz="6" w:space="0"/>
                  </w:tcBorders>
                  <w:shd w:val="clear" w:color="auto" w:fill="auto"/>
                  <w:vAlign w:val="center"/>
                </w:tcPr>
                <w:p w14:paraId="5B77FE76">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7</w:t>
                  </w:r>
                </w:p>
              </w:tc>
              <w:tc>
                <w:tcPr>
                  <w:tcW w:w="1373" w:type="dxa"/>
                  <w:shd w:val="clear" w:color="auto" w:fill="auto"/>
                  <w:vAlign w:val="center"/>
                </w:tcPr>
                <w:p w14:paraId="2569D7D9">
                  <w:pPr>
                    <w:autoSpaceDE w:val="0"/>
                    <w:autoSpaceDN w:val="0"/>
                    <w:jc w:val="center"/>
                    <w:rPr>
                      <w:rFonts w:hint="default" w:ascii="Times New Roman" w:hAnsi="Times New Roman" w:cs="Times New Roman"/>
                      <w:szCs w:val="21"/>
                      <w:highlight w:val="none"/>
                      <w:lang w:eastAsia="zh-CN"/>
                    </w:rPr>
                  </w:pPr>
                  <w:r>
                    <w:rPr>
                      <w:rFonts w:hint="eastAsia" w:cs="Times New Roman"/>
                      <w:szCs w:val="21"/>
                      <w:highlight w:val="none"/>
                      <w:lang w:val="en-US" w:eastAsia="zh-CN"/>
                    </w:rPr>
                    <w:t>正丁醇</w:t>
                  </w:r>
                  <w:r>
                    <w:rPr>
                      <w:rFonts w:hint="default" w:ascii="Times New Roman" w:hAnsi="Times New Roman" w:cs="Times New Roman"/>
                      <w:szCs w:val="21"/>
                      <w:highlight w:val="none"/>
                      <w:lang w:eastAsia="zh-CN"/>
                    </w:rPr>
                    <w:t>储罐</w:t>
                  </w:r>
                </w:p>
              </w:tc>
              <w:tc>
                <w:tcPr>
                  <w:tcW w:w="1470" w:type="dxa"/>
                  <w:shd w:val="clear" w:color="auto" w:fill="auto"/>
                  <w:vAlign w:val="center"/>
                </w:tcPr>
                <w:p w14:paraId="688A77A5">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丁二醇</w:t>
                  </w:r>
                </w:p>
              </w:tc>
              <w:tc>
                <w:tcPr>
                  <w:tcW w:w="1890" w:type="dxa"/>
                  <w:shd w:val="clear" w:color="auto" w:fill="auto"/>
                  <w:vAlign w:val="center"/>
                </w:tcPr>
                <w:p w14:paraId="231CF0A6">
                  <w:pPr>
                    <w:autoSpaceDE w:val="0"/>
                    <w:autoSpaceDN w:val="0"/>
                    <w:jc w:val="center"/>
                    <w:rPr>
                      <w:rFonts w:hint="default" w:ascii="Times New Roman" w:hAnsi="Times New Roman" w:cs="Times New Roman"/>
                      <w:szCs w:val="21"/>
                      <w:highlight w:val="none"/>
                      <w:lang w:eastAsia="zh-CN"/>
                    </w:rPr>
                  </w:pPr>
                  <w:r>
                    <w:rPr>
                      <w:rFonts w:hint="eastAsia"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立式固定顶直径7m，高9m</w:t>
                  </w:r>
                  <w:r>
                    <w:rPr>
                      <w:rFonts w:hint="eastAsia" w:cs="Times New Roman"/>
                      <w:szCs w:val="21"/>
                      <w:highlight w:val="none"/>
                      <w:vertAlign w:val="baseline"/>
                      <w:lang w:eastAsia="zh-CN"/>
                    </w:rPr>
                    <w:t>）</w:t>
                  </w:r>
                </w:p>
              </w:tc>
              <w:tc>
                <w:tcPr>
                  <w:tcW w:w="1284" w:type="dxa"/>
                  <w:shd w:val="clear" w:color="auto" w:fill="auto"/>
                  <w:vAlign w:val="center"/>
                </w:tcPr>
                <w:p w14:paraId="2848E5E0">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个</w:t>
                  </w:r>
                </w:p>
              </w:tc>
              <w:tc>
                <w:tcPr>
                  <w:tcW w:w="613" w:type="dxa"/>
                  <w:shd w:val="clear" w:color="auto" w:fill="auto"/>
                  <w:vAlign w:val="center"/>
                </w:tcPr>
                <w:p w14:paraId="0FA7867D">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28DF212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304</w:t>
                  </w:r>
                </w:p>
              </w:tc>
              <w:tc>
                <w:tcPr>
                  <w:tcW w:w="613" w:type="dxa"/>
                  <w:vMerge w:val="continue"/>
                  <w:tcBorders>
                    <w:right w:val="single" w:color="000000" w:sz="6" w:space="0"/>
                  </w:tcBorders>
                  <w:shd w:val="clear" w:color="auto" w:fill="auto"/>
                  <w:vAlign w:val="center"/>
                </w:tcPr>
                <w:p w14:paraId="1307DAC5">
                  <w:pPr>
                    <w:autoSpaceDE w:val="0"/>
                    <w:autoSpaceDN w:val="0"/>
                    <w:jc w:val="center"/>
                    <w:rPr>
                      <w:rFonts w:hint="default" w:ascii="Times New Roman" w:hAnsi="Times New Roman" w:cs="Times New Roman"/>
                      <w:szCs w:val="21"/>
                      <w:highlight w:val="none"/>
                      <w:lang w:eastAsia="zh-CN"/>
                    </w:rPr>
                  </w:pPr>
                </w:p>
              </w:tc>
              <w:tc>
                <w:tcPr>
                  <w:tcW w:w="613" w:type="dxa"/>
                  <w:tcBorders>
                    <w:right w:val="single" w:color="000000" w:sz="6" w:space="0"/>
                  </w:tcBorders>
                  <w:shd w:val="clear" w:color="auto" w:fill="auto"/>
                  <w:vAlign w:val="center"/>
                </w:tcPr>
                <w:p w14:paraId="2F6065E0">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37C2C2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shd w:val="clear" w:color="auto" w:fill="auto"/>
                  <w:vAlign w:val="center"/>
                </w:tcPr>
                <w:p w14:paraId="12CA2D0F">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8</w:t>
                  </w:r>
                </w:p>
              </w:tc>
              <w:tc>
                <w:tcPr>
                  <w:tcW w:w="1373" w:type="dxa"/>
                  <w:shd w:val="clear" w:color="auto" w:fill="auto"/>
                  <w:vAlign w:val="center"/>
                </w:tcPr>
                <w:p w14:paraId="712F4CD2">
                  <w:pPr>
                    <w:autoSpaceDE w:val="0"/>
                    <w:autoSpaceDN w:val="0"/>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异丁醇</w:t>
                  </w:r>
                  <w:r>
                    <w:rPr>
                      <w:rFonts w:hint="default" w:ascii="Times New Roman" w:hAnsi="Times New Roman" w:cs="Times New Roman"/>
                      <w:szCs w:val="21"/>
                      <w:highlight w:val="none"/>
                      <w:lang w:eastAsia="zh-CN"/>
                    </w:rPr>
                    <w:t>储罐</w:t>
                  </w:r>
                </w:p>
              </w:tc>
              <w:tc>
                <w:tcPr>
                  <w:tcW w:w="1470" w:type="dxa"/>
                  <w:shd w:val="clear" w:color="auto" w:fill="auto"/>
                  <w:vAlign w:val="center"/>
                </w:tcPr>
                <w:p w14:paraId="3EA31338">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异丁醇</w:t>
                  </w:r>
                </w:p>
              </w:tc>
              <w:tc>
                <w:tcPr>
                  <w:tcW w:w="1890" w:type="dxa"/>
                  <w:shd w:val="clear" w:color="auto" w:fill="auto"/>
                  <w:vAlign w:val="center"/>
                </w:tcPr>
                <w:p w14:paraId="112519CC">
                  <w:pPr>
                    <w:autoSpaceDE w:val="0"/>
                    <w:autoSpaceDN w:val="0"/>
                    <w:jc w:val="center"/>
                    <w:rPr>
                      <w:rFonts w:hint="default" w:ascii="Times New Roman" w:hAnsi="Times New Roman" w:cs="Times New Roman"/>
                      <w:szCs w:val="21"/>
                      <w:highlight w:val="none"/>
                      <w:lang w:eastAsia="zh-CN"/>
                    </w:rPr>
                  </w:pPr>
                  <w:r>
                    <w:rPr>
                      <w:rFonts w:hint="eastAsia"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立式固定顶直径7m，高9m</w:t>
                  </w:r>
                  <w:r>
                    <w:rPr>
                      <w:rFonts w:hint="eastAsia" w:cs="Times New Roman"/>
                      <w:szCs w:val="21"/>
                      <w:highlight w:val="none"/>
                      <w:vertAlign w:val="baseline"/>
                      <w:lang w:eastAsia="zh-CN"/>
                    </w:rPr>
                    <w:t>）</w:t>
                  </w:r>
                </w:p>
              </w:tc>
              <w:tc>
                <w:tcPr>
                  <w:tcW w:w="1284" w:type="dxa"/>
                  <w:shd w:val="clear" w:color="auto" w:fill="auto"/>
                  <w:vAlign w:val="center"/>
                </w:tcPr>
                <w:p w14:paraId="575B616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个</w:t>
                  </w:r>
                </w:p>
              </w:tc>
              <w:tc>
                <w:tcPr>
                  <w:tcW w:w="613" w:type="dxa"/>
                  <w:shd w:val="clear" w:color="auto" w:fill="auto"/>
                  <w:vAlign w:val="center"/>
                </w:tcPr>
                <w:p w14:paraId="67B49265">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15610EB3">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304</w:t>
                  </w:r>
                </w:p>
              </w:tc>
              <w:tc>
                <w:tcPr>
                  <w:tcW w:w="613" w:type="dxa"/>
                  <w:vMerge w:val="continue"/>
                  <w:tcBorders>
                    <w:right w:val="single" w:color="000000" w:sz="6" w:space="0"/>
                  </w:tcBorders>
                  <w:vAlign w:val="center"/>
                </w:tcPr>
                <w:p w14:paraId="477DB2FB">
                  <w:pPr>
                    <w:autoSpaceDE w:val="0"/>
                    <w:autoSpaceDN w:val="0"/>
                    <w:jc w:val="center"/>
                    <w:rPr>
                      <w:rFonts w:hint="default" w:ascii="Times New Roman" w:hAnsi="Times New Roman" w:cs="Times New Roman"/>
                      <w:szCs w:val="21"/>
                      <w:highlight w:val="none"/>
                      <w:lang w:eastAsia="zh-CN"/>
                    </w:rPr>
                  </w:pPr>
                </w:p>
              </w:tc>
              <w:tc>
                <w:tcPr>
                  <w:tcW w:w="613" w:type="dxa"/>
                  <w:tcBorders>
                    <w:right w:val="single" w:color="000000" w:sz="6" w:space="0"/>
                  </w:tcBorders>
                  <w:shd w:val="clear" w:color="auto" w:fill="auto"/>
                  <w:vAlign w:val="center"/>
                </w:tcPr>
                <w:p w14:paraId="3C482BBD">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0ABEFF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shd w:val="clear" w:color="auto" w:fill="auto"/>
                  <w:vAlign w:val="center"/>
                </w:tcPr>
                <w:p w14:paraId="2D92940F">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9</w:t>
                  </w:r>
                </w:p>
              </w:tc>
              <w:tc>
                <w:tcPr>
                  <w:tcW w:w="1373" w:type="dxa"/>
                  <w:shd w:val="clear" w:color="auto" w:fill="auto"/>
                  <w:vAlign w:val="center"/>
                </w:tcPr>
                <w:p w14:paraId="38F3A545">
                  <w:pPr>
                    <w:autoSpaceDE w:val="0"/>
                    <w:autoSpaceDN w:val="0"/>
                    <w:jc w:val="center"/>
                    <w:rPr>
                      <w:rFonts w:hint="default" w:cs="Times New Roman"/>
                      <w:szCs w:val="21"/>
                      <w:highlight w:val="none"/>
                      <w:lang w:val="en-US" w:eastAsia="zh-CN"/>
                    </w:rPr>
                  </w:pPr>
                  <w:r>
                    <w:rPr>
                      <w:rFonts w:hint="eastAsia" w:cs="Times New Roman"/>
                      <w:szCs w:val="21"/>
                      <w:highlight w:val="none"/>
                      <w:lang w:val="en-US" w:eastAsia="zh-CN"/>
                    </w:rPr>
                    <w:t>正己烷</w:t>
                  </w:r>
                  <w:r>
                    <w:rPr>
                      <w:rFonts w:hint="default" w:ascii="Times New Roman" w:hAnsi="Times New Roman" w:cs="Times New Roman"/>
                      <w:szCs w:val="21"/>
                      <w:highlight w:val="none"/>
                      <w:lang w:eastAsia="zh-CN"/>
                    </w:rPr>
                    <w:t>储罐</w:t>
                  </w:r>
                </w:p>
              </w:tc>
              <w:tc>
                <w:tcPr>
                  <w:tcW w:w="1470" w:type="dxa"/>
                  <w:shd w:val="clear" w:color="auto" w:fill="auto"/>
                  <w:vAlign w:val="center"/>
                </w:tcPr>
                <w:p w14:paraId="2721C03B">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正己烷</w:t>
                  </w:r>
                </w:p>
              </w:tc>
              <w:tc>
                <w:tcPr>
                  <w:tcW w:w="1890" w:type="dxa"/>
                  <w:shd w:val="clear" w:color="auto" w:fill="auto"/>
                  <w:vAlign w:val="center"/>
                </w:tcPr>
                <w:p w14:paraId="49899690">
                  <w:pPr>
                    <w:autoSpaceDE w:val="0"/>
                    <w:autoSpaceDN w:val="0"/>
                    <w:jc w:val="center"/>
                    <w:rPr>
                      <w:rFonts w:hint="default" w:ascii="Times New Roman" w:hAnsi="Times New Roman" w:cs="Times New Roman"/>
                      <w:szCs w:val="21"/>
                      <w:highlight w:val="none"/>
                      <w:lang w:eastAsia="zh-CN"/>
                    </w:rPr>
                  </w:pPr>
                  <w:r>
                    <w:rPr>
                      <w:rFonts w:hint="eastAsia"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立式固定顶直径7m，高9m</w:t>
                  </w:r>
                  <w:r>
                    <w:rPr>
                      <w:rFonts w:hint="eastAsia" w:cs="Times New Roman"/>
                      <w:szCs w:val="21"/>
                      <w:highlight w:val="none"/>
                      <w:vertAlign w:val="baseline"/>
                      <w:lang w:eastAsia="zh-CN"/>
                    </w:rPr>
                    <w:t>）</w:t>
                  </w:r>
                </w:p>
              </w:tc>
              <w:tc>
                <w:tcPr>
                  <w:tcW w:w="1284" w:type="dxa"/>
                  <w:shd w:val="clear" w:color="auto" w:fill="auto"/>
                  <w:vAlign w:val="center"/>
                </w:tcPr>
                <w:p w14:paraId="2B5306E0">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个</w:t>
                  </w:r>
                </w:p>
              </w:tc>
              <w:tc>
                <w:tcPr>
                  <w:tcW w:w="613" w:type="dxa"/>
                  <w:shd w:val="clear" w:color="auto" w:fill="auto"/>
                  <w:vAlign w:val="center"/>
                </w:tcPr>
                <w:p w14:paraId="70769F6E">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68221848">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304</w:t>
                  </w:r>
                </w:p>
              </w:tc>
              <w:tc>
                <w:tcPr>
                  <w:tcW w:w="613" w:type="dxa"/>
                  <w:vMerge w:val="continue"/>
                  <w:tcBorders>
                    <w:right w:val="single" w:color="000000" w:sz="6" w:space="0"/>
                  </w:tcBorders>
                  <w:shd w:val="clear" w:color="auto" w:fill="auto"/>
                  <w:vAlign w:val="center"/>
                </w:tcPr>
                <w:p w14:paraId="5F1D22DC">
                  <w:pPr>
                    <w:autoSpaceDE w:val="0"/>
                    <w:autoSpaceDN w:val="0"/>
                    <w:jc w:val="center"/>
                    <w:rPr>
                      <w:rFonts w:hint="default" w:ascii="Times New Roman" w:hAnsi="Times New Roman" w:eastAsia="宋体" w:cs="Times New Roman"/>
                      <w:kern w:val="2"/>
                      <w:sz w:val="21"/>
                      <w:szCs w:val="21"/>
                      <w:highlight w:val="none"/>
                      <w:lang w:val="en-US" w:eastAsia="zh-CN" w:bidi="ar-SA"/>
                    </w:rPr>
                  </w:pPr>
                </w:p>
              </w:tc>
              <w:tc>
                <w:tcPr>
                  <w:tcW w:w="613" w:type="dxa"/>
                  <w:tcBorders>
                    <w:right w:val="single" w:color="000000" w:sz="6" w:space="0"/>
                  </w:tcBorders>
                  <w:shd w:val="clear" w:color="auto" w:fill="auto"/>
                  <w:vAlign w:val="center"/>
                </w:tcPr>
                <w:p w14:paraId="06E8E7DC">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新建</w:t>
                  </w:r>
                </w:p>
              </w:tc>
            </w:tr>
            <w:tr w14:paraId="24C7AB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shd w:val="clear" w:color="auto" w:fill="auto"/>
                  <w:vAlign w:val="center"/>
                </w:tcPr>
                <w:p w14:paraId="45A70EF3">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10</w:t>
                  </w:r>
                </w:p>
              </w:tc>
              <w:tc>
                <w:tcPr>
                  <w:tcW w:w="1373" w:type="dxa"/>
                  <w:shd w:val="clear" w:color="auto" w:fill="auto"/>
                  <w:vAlign w:val="center"/>
                </w:tcPr>
                <w:p w14:paraId="34F55DB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复合调配罐</w:t>
                  </w:r>
                </w:p>
              </w:tc>
              <w:tc>
                <w:tcPr>
                  <w:tcW w:w="1470" w:type="dxa"/>
                  <w:shd w:val="clear" w:color="auto" w:fill="auto"/>
                  <w:vAlign w:val="center"/>
                </w:tcPr>
                <w:p w14:paraId="4418FC5D">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各种原料</w:t>
                  </w:r>
                </w:p>
              </w:tc>
              <w:tc>
                <w:tcPr>
                  <w:tcW w:w="1890" w:type="dxa"/>
                  <w:shd w:val="clear" w:color="auto" w:fill="auto"/>
                  <w:vAlign w:val="center"/>
                </w:tcPr>
                <w:p w14:paraId="0D964F2F">
                  <w:pPr>
                    <w:autoSpaceDE w:val="0"/>
                    <w:autoSpaceDN w:val="0"/>
                    <w:jc w:val="center"/>
                    <w:rPr>
                      <w:rFonts w:hint="default" w:ascii="Times New Roman" w:hAnsi="Times New Roman" w:cs="Times New Roman"/>
                      <w:szCs w:val="21"/>
                      <w:highlight w:val="none"/>
                      <w:lang w:eastAsia="zh-CN"/>
                    </w:rPr>
                  </w:pPr>
                  <w:r>
                    <w:rPr>
                      <w:rFonts w:hint="eastAsia"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vertAlign w:val="baseline"/>
                      <w:lang w:eastAsia="zh-CN"/>
                    </w:rPr>
                    <w:t>（</w:t>
                  </w:r>
                  <w:r>
                    <w:rPr>
                      <w:rFonts w:hint="eastAsia" w:cs="Times New Roman"/>
                      <w:szCs w:val="21"/>
                      <w:highlight w:val="none"/>
                      <w:vertAlign w:val="baseline"/>
                      <w:lang w:val="en-US" w:eastAsia="zh-CN"/>
                    </w:rPr>
                    <w:t>立式固定顶直径7m，高9m</w:t>
                  </w:r>
                  <w:r>
                    <w:rPr>
                      <w:rFonts w:hint="eastAsia" w:cs="Times New Roman"/>
                      <w:szCs w:val="21"/>
                      <w:highlight w:val="none"/>
                      <w:vertAlign w:val="baseline"/>
                      <w:lang w:eastAsia="zh-CN"/>
                    </w:rPr>
                    <w:t>）</w:t>
                  </w:r>
                </w:p>
              </w:tc>
              <w:tc>
                <w:tcPr>
                  <w:tcW w:w="1284" w:type="dxa"/>
                  <w:shd w:val="clear" w:color="auto" w:fill="auto"/>
                  <w:vAlign w:val="center"/>
                </w:tcPr>
                <w:p w14:paraId="5A6877EB">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个</w:t>
                  </w:r>
                </w:p>
              </w:tc>
              <w:tc>
                <w:tcPr>
                  <w:tcW w:w="613" w:type="dxa"/>
                  <w:shd w:val="clear" w:color="auto" w:fill="auto"/>
                  <w:vAlign w:val="center"/>
                </w:tcPr>
                <w:p w14:paraId="74CD54E6">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043EF64B">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304</w:t>
                  </w:r>
                </w:p>
              </w:tc>
              <w:tc>
                <w:tcPr>
                  <w:tcW w:w="613" w:type="dxa"/>
                  <w:vMerge w:val="continue"/>
                  <w:tcBorders>
                    <w:right w:val="single" w:color="000000" w:sz="6" w:space="0"/>
                  </w:tcBorders>
                  <w:shd w:val="clear" w:color="auto" w:fill="auto"/>
                  <w:vAlign w:val="center"/>
                </w:tcPr>
                <w:p w14:paraId="7E7B3CBC">
                  <w:pPr>
                    <w:autoSpaceDE w:val="0"/>
                    <w:autoSpaceDN w:val="0"/>
                    <w:jc w:val="center"/>
                    <w:rPr>
                      <w:rFonts w:hint="default" w:ascii="Times New Roman" w:hAnsi="Times New Roman" w:cs="Times New Roman"/>
                      <w:szCs w:val="21"/>
                      <w:highlight w:val="none"/>
                      <w:lang w:eastAsia="zh-CN"/>
                    </w:rPr>
                  </w:pPr>
                </w:p>
              </w:tc>
              <w:tc>
                <w:tcPr>
                  <w:tcW w:w="613" w:type="dxa"/>
                  <w:tcBorders>
                    <w:right w:val="single" w:color="000000" w:sz="6" w:space="0"/>
                  </w:tcBorders>
                  <w:shd w:val="clear" w:color="auto" w:fill="auto"/>
                  <w:vAlign w:val="center"/>
                </w:tcPr>
                <w:p w14:paraId="58D5FFEA">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5CB372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shd w:val="clear" w:color="auto" w:fill="auto"/>
                  <w:vAlign w:val="center"/>
                </w:tcPr>
                <w:p w14:paraId="1B0BDC4B">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11</w:t>
                  </w:r>
                </w:p>
              </w:tc>
              <w:tc>
                <w:tcPr>
                  <w:tcW w:w="1373" w:type="dxa"/>
                  <w:shd w:val="clear" w:color="auto" w:fill="auto"/>
                  <w:vAlign w:val="center"/>
                </w:tcPr>
                <w:p w14:paraId="310EEDF5">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灌装机</w:t>
                  </w:r>
                </w:p>
              </w:tc>
              <w:tc>
                <w:tcPr>
                  <w:tcW w:w="1470" w:type="dxa"/>
                  <w:shd w:val="clear" w:color="auto" w:fill="auto"/>
                  <w:vAlign w:val="center"/>
                </w:tcPr>
                <w:p w14:paraId="24CB9923">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w:t>
                  </w:r>
                </w:p>
              </w:tc>
              <w:tc>
                <w:tcPr>
                  <w:tcW w:w="1890" w:type="dxa"/>
                  <w:shd w:val="clear" w:color="auto" w:fill="auto"/>
                  <w:vAlign w:val="center"/>
                </w:tcPr>
                <w:p w14:paraId="31BE91FB">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FZH-100</w:t>
                  </w:r>
                </w:p>
              </w:tc>
              <w:tc>
                <w:tcPr>
                  <w:tcW w:w="1284" w:type="dxa"/>
                  <w:shd w:val="clear" w:color="auto" w:fill="auto"/>
                  <w:vAlign w:val="center"/>
                </w:tcPr>
                <w:p w14:paraId="76F321D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台</w:t>
                  </w:r>
                </w:p>
              </w:tc>
              <w:tc>
                <w:tcPr>
                  <w:tcW w:w="613" w:type="dxa"/>
                  <w:shd w:val="clear" w:color="auto" w:fill="auto"/>
                  <w:vAlign w:val="center"/>
                </w:tcPr>
                <w:p w14:paraId="68666F9A">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4</w:t>
                  </w:r>
                </w:p>
              </w:tc>
              <w:tc>
                <w:tcPr>
                  <w:tcW w:w="618" w:type="dxa"/>
                  <w:shd w:val="clear" w:color="auto" w:fill="auto"/>
                  <w:vAlign w:val="center"/>
                </w:tcPr>
                <w:p w14:paraId="3CD444D5">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w:t>
                  </w:r>
                </w:p>
              </w:tc>
              <w:tc>
                <w:tcPr>
                  <w:tcW w:w="613" w:type="dxa"/>
                  <w:tcBorders>
                    <w:right w:val="single" w:color="000000" w:sz="6" w:space="0"/>
                  </w:tcBorders>
                  <w:shd w:val="clear" w:color="auto" w:fill="auto"/>
                  <w:vAlign w:val="center"/>
                </w:tcPr>
                <w:p w14:paraId="366169B5">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生产车间</w:t>
                  </w:r>
                </w:p>
              </w:tc>
              <w:tc>
                <w:tcPr>
                  <w:tcW w:w="613" w:type="dxa"/>
                  <w:tcBorders>
                    <w:right w:val="single" w:color="000000" w:sz="6" w:space="0"/>
                  </w:tcBorders>
                  <w:shd w:val="clear" w:color="auto" w:fill="auto"/>
                  <w:vAlign w:val="center"/>
                </w:tcPr>
                <w:p w14:paraId="522125C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6A6685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tcBorders>
                    <w:left w:val="single" w:color="000000" w:sz="6" w:space="0"/>
                  </w:tcBorders>
                  <w:shd w:val="clear" w:color="auto" w:fill="auto"/>
                  <w:vAlign w:val="center"/>
                </w:tcPr>
                <w:p w14:paraId="6B3B7FB8">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12</w:t>
                  </w:r>
                </w:p>
              </w:tc>
              <w:tc>
                <w:tcPr>
                  <w:tcW w:w="1373" w:type="dxa"/>
                  <w:shd w:val="clear" w:color="auto" w:fill="auto"/>
                  <w:vAlign w:val="center"/>
                </w:tcPr>
                <w:p w14:paraId="649FA80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甲醇卸车泵</w:t>
                  </w:r>
                </w:p>
              </w:tc>
              <w:tc>
                <w:tcPr>
                  <w:tcW w:w="1470" w:type="dxa"/>
                  <w:shd w:val="clear" w:color="auto" w:fill="auto"/>
                  <w:vAlign w:val="center"/>
                </w:tcPr>
                <w:p w14:paraId="5BFE343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甲醇</w:t>
                  </w:r>
                </w:p>
              </w:tc>
              <w:tc>
                <w:tcPr>
                  <w:tcW w:w="1890" w:type="dxa"/>
                  <w:shd w:val="clear" w:color="auto" w:fill="auto"/>
                  <w:vAlign w:val="center"/>
                </w:tcPr>
                <w:p w14:paraId="4225FEBE">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7.5kW</w:t>
                  </w:r>
                </w:p>
              </w:tc>
              <w:tc>
                <w:tcPr>
                  <w:tcW w:w="1284" w:type="dxa"/>
                  <w:shd w:val="clear" w:color="auto" w:fill="auto"/>
                  <w:vAlign w:val="center"/>
                </w:tcPr>
                <w:p w14:paraId="46AA93EB">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台</w:t>
                  </w:r>
                </w:p>
              </w:tc>
              <w:tc>
                <w:tcPr>
                  <w:tcW w:w="613" w:type="dxa"/>
                  <w:shd w:val="clear" w:color="auto" w:fill="auto"/>
                  <w:vAlign w:val="center"/>
                </w:tcPr>
                <w:p w14:paraId="18F9707F">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345D6E9C">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316L</w:t>
                  </w:r>
                </w:p>
              </w:tc>
              <w:tc>
                <w:tcPr>
                  <w:tcW w:w="613" w:type="dxa"/>
                  <w:vMerge w:val="restart"/>
                  <w:tcBorders>
                    <w:right w:val="single" w:color="000000" w:sz="6" w:space="0"/>
                  </w:tcBorders>
                  <w:shd w:val="clear" w:color="auto" w:fill="auto"/>
                  <w:vAlign w:val="center"/>
                </w:tcPr>
                <w:p w14:paraId="7F69328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卸车区</w:t>
                  </w:r>
                </w:p>
              </w:tc>
              <w:tc>
                <w:tcPr>
                  <w:tcW w:w="613" w:type="dxa"/>
                  <w:tcBorders>
                    <w:right w:val="single" w:color="000000" w:sz="6" w:space="0"/>
                  </w:tcBorders>
                  <w:shd w:val="clear" w:color="auto" w:fill="auto"/>
                  <w:vAlign w:val="center"/>
                </w:tcPr>
                <w:p w14:paraId="01C47FC6">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0465C8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shd w:val="clear" w:color="auto" w:fill="auto"/>
                  <w:vAlign w:val="center"/>
                </w:tcPr>
                <w:p w14:paraId="7A29DB81">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13</w:t>
                  </w:r>
                </w:p>
              </w:tc>
              <w:tc>
                <w:tcPr>
                  <w:tcW w:w="1373" w:type="dxa"/>
                  <w:shd w:val="clear" w:color="auto" w:fill="auto"/>
                  <w:vAlign w:val="center"/>
                </w:tcPr>
                <w:p w14:paraId="32D6D681">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乙醇卸车泵</w:t>
                  </w:r>
                </w:p>
              </w:tc>
              <w:tc>
                <w:tcPr>
                  <w:tcW w:w="1470" w:type="dxa"/>
                  <w:shd w:val="clear" w:color="auto" w:fill="auto"/>
                  <w:vAlign w:val="center"/>
                </w:tcPr>
                <w:p w14:paraId="76EFE96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乙醇</w:t>
                  </w:r>
                </w:p>
              </w:tc>
              <w:tc>
                <w:tcPr>
                  <w:tcW w:w="1890" w:type="dxa"/>
                  <w:shd w:val="clear" w:color="auto" w:fill="auto"/>
                  <w:vAlign w:val="center"/>
                </w:tcPr>
                <w:p w14:paraId="6CDA0CC0">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7.5kW</w:t>
                  </w:r>
                </w:p>
              </w:tc>
              <w:tc>
                <w:tcPr>
                  <w:tcW w:w="1284" w:type="dxa"/>
                  <w:shd w:val="clear" w:color="auto" w:fill="auto"/>
                  <w:vAlign w:val="center"/>
                </w:tcPr>
                <w:p w14:paraId="0428172B">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台</w:t>
                  </w:r>
                </w:p>
              </w:tc>
              <w:tc>
                <w:tcPr>
                  <w:tcW w:w="613" w:type="dxa"/>
                  <w:shd w:val="clear" w:color="auto" w:fill="auto"/>
                  <w:vAlign w:val="center"/>
                </w:tcPr>
                <w:p w14:paraId="110D7203">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4BDBA911">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316L</w:t>
                  </w:r>
                </w:p>
              </w:tc>
              <w:tc>
                <w:tcPr>
                  <w:tcW w:w="613" w:type="dxa"/>
                  <w:vMerge w:val="continue"/>
                  <w:tcBorders>
                    <w:right w:val="single" w:color="000000" w:sz="6" w:space="0"/>
                  </w:tcBorders>
                  <w:vAlign w:val="center"/>
                </w:tcPr>
                <w:p w14:paraId="44F1D20F">
                  <w:pPr>
                    <w:autoSpaceDE w:val="0"/>
                    <w:autoSpaceDN w:val="0"/>
                    <w:jc w:val="center"/>
                    <w:rPr>
                      <w:rFonts w:hint="default" w:ascii="Times New Roman" w:hAnsi="Times New Roman" w:cs="Times New Roman"/>
                      <w:szCs w:val="21"/>
                      <w:highlight w:val="none"/>
                      <w:lang w:eastAsia="zh-CN"/>
                    </w:rPr>
                  </w:pPr>
                </w:p>
              </w:tc>
              <w:tc>
                <w:tcPr>
                  <w:tcW w:w="613" w:type="dxa"/>
                  <w:shd w:val="clear" w:color="auto" w:fill="auto"/>
                  <w:vAlign w:val="center"/>
                </w:tcPr>
                <w:p w14:paraId="0C145DF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3F9A9D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shd w:val="clear" w:color="auto" w:fill="auto"/>
                  <w:vAlign w:val="center"/>
                </w:tcPr>
                <w:p w14:paraId="4FD2C5BD">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14</w:t>
                  </w:r>
                </w:p>
              </w:tc>
              <w:tc>
                <w:tcPr>
                  <w:tcW w:w="1373" w:type="dxa"/>
                  <w:shd w:val="clear" w:color="auto" w:fill="auto"/>
                  <w:vAlign w:val="center"/>
                </w:tcPr>
                <w:p w14:paraId="63F8BDA6">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丙二醇卸车泵</w:t>
                  </w:r>
                </w:p>
              </w:tc>
              <w:tc>
                <w:tcPr>
                  <w:tcW w:w="1470" w:type="dxa"/>
                  <w:shd w:val="clear" w:color="auto" w:fill="auto"/>
                  <w:vAlign w:val="center"/>
                </w:tcPr>
                <w:p w14:paraId="589068E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丙二醇</w:t>
                  </w:r>
                </w:p>
              </w:tc>
              <w:tc>
                <w:tcPr>
                  <w:tcW w:w="1890" w:type="dxa"/>
                  <w:shd w:val="clear" w:color="auto" w:fill="auto"/>
                  <w:vAlign w:val="center"/>
                </w:tcPr>
                <w:p w14:paraId="3715AA2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7.5kW</w:t>
                  </w:r>
                </w:p>
              </w:tc>
              <w:tc>
                <w:tcPr>
                  <w:tcW w:w="1284" w:type="dxa"/>
                  <w:shd w:val="clear" w:color="auto" w:fill="auto"/>
                  <w:vAlign w:val="center"/>
                </w:tcPr>
                <w:p w14:paraId="552D8F81">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台</w:t>
                  </w:r>
                </w:p>
              </w:tc>
              <w:tc>
                <w:tcPr>
                  <w:tcW w:w="613" w:type="dxa"/>
                  <w:shd w:val="clear" w:color="auto" w:fill="auto"/>
                  <w:vAlign w:val="center"/>
                </w:tcPr>
                <w:p w14:paraId="4FE732EF">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7399EA51">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316L</w:t>
                  </w:r>
                </w:p>
              </w:tc>
              <w:tc>
                <w:tcPr>
                  <w:tcW w:w="613" w:type="dxa"/>
                  <w:vMerge w:val="continue"/>
                  <w:tcBorders>
                    <w:right w:val="single" w:color="000000" w:sz="6" w:space="0"/>
                  </w:tcBorders>
                  <w:vAlign w:val="center"/>
                </w:tcPr>
                <w:p w14:paraId="72BF0A0D">
                  <w:pPr>
                    <w:autoSpaceDE w:val="0"/>
                    <w:autoSpaceDN w:val="0"/>
                    <w:jc w:val="center"/>
                    <w:rPr>
                      <w:rFonts w:hint="default" w:ascii="Times New Roman" w:hAnsi="Times New Roman" w:cs="Times New Roman"/>
                      <w:szCs w:val="21"/>
                      <w:highlight w:val="none"/>
                      <w:lang w:eastAsia="zh-CN"/>
                    </w:rPr>
                  </w:pPr>
                </w:p>
              </w:tc>
              <w:tc>
                <w:tcPr>
                  <w:tcW w:w="613" w:type="dxa"/>
                  <w:shd w:val="clear" w:color="auto" w:fill="auto"/>
                  <w:vAlign w:val="center"/>
                </w:tcPr>
                <w:p w14:paraId="25F192D4">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49E594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shd w:val="clear" w:color="auto" w:fill="auto"/>
                  <w:vAlign w:val="center"/>
                </w:tcPr>
                <w:p w14:paraId="2997BEE4">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15</w:t>
                  </w:r>
                </w:p>
              </w:tc>
              <w:tc>
                <w:tcPr>
                  <w:tcW w:w="1373" w:type="dxa"/>
                  <w:shd w:val="clear" w:color="auto" w:fill="auto"/>
                  <w:vAlign w:val="center"/>
                </w:tcPr>
                <w:p w14:paraId="3D82F071">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丙三醇卸车泵</w:t>
                  </w:r>
                </w:p>
              </w:tc>
              <w:tc>
                <w:tcPr>
                  <w:tcW w:w="1470" w:type="dxa"/>
                  <w:shd w:val="clear" w:color="auto" w:fill="auto"/>
                  <w:vAlign w:val="center"/>
                </w:tcPr>
                <w:p w14:paraId="634F010E">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丙三醇</w:t>
                  </w:r>
                </w:p>
              </w:tc>
              <w:tc>
                <w:tcPr>
                  <w:tcW w:w="1890" w:type="dxa"/>
                  <w:shd w:val="clear" w:color="auto" w:fill="auto"/>
                  <w:vAlign w:val="center"/>
                </w:tcPr>
                <w:p w14:paraId="68E8666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7.5kW</w:t>
                  </w:r>
                </w:p>
              </w:tc>
              <w:tc>
                <w:tcPr>
                  <w:tcW w:w="1284" w:type="dxa"/>
                  <w:shd w:val="clear" w:color="auto" w:fill="auto"/>
                  <w:vAlign w:val="center"/>
                </w:tcPr>
                <w:p w14:paraId="36AD61F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台</w:t>
                  </w:r>
                </w:p>
              </w:tc>
              <w:tc>
                <w:tcPr>
                  <w:tcW w:w="613" w:type="dxa"/>
                  <w:shd w:val="clear" w:color="auto" w:fill="auto"/>
                  <w:vAlign w:val="center"/>
                </w:tcPr>
                <w:p w14:paraId="34945E2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3AECF00F">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316L</w:t>
                  </w:r>
                </w:p>
              </w:tc>
              <w:tc>
                <w:tcPr>
                  <w:tcW w:w="613" w:type="dxa"/>
                  <w:vMerge w:val="continue"/>
                  <w:tcBorders>
                    <w:right w:val="single" w:color="000000" w:sz="6" w:space="0"/>
                  </w:tcBorders>
                  <w:vAlign w:val="center"/>
                </w:tcPr>
                <w:p w14:paraId="2EC24CE3">
                  <w:pPr>
                    <w:autoSpaceDE w:val="0"/>
                    <w:autoSpaceDN w:val="0"/>
                    <w:jc w:val="center"/>
                    <w:rPr>
                      <w:rFonts w:hint="default" w:ascii="Times New Roman" w:hAnsi="Times New Roman" w:cs="Times New Roman"/>
                      <w:szCs w:val="21"/>
                      <w:highlight w:val="none"/>
                      <w:lang w:eastAsia="zh-CN"/>
                    </w:rPr>
                  </w:pPr>
                </w:p>
              </w:tc>
              <w:tc>
                <w:tcPr>
                  <w:tcW w:w="613" w:type="dxa"/>
                  <w:shd w:val="clear" w:color="auto" w:fill="auto"/>
                  <w:vAlign w:val="center"/>
                </w:tcPr>
                <w:p w14:paraId="6F0C675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5E9806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shd w:val="clear" w:color="auto" w:fill="auto"/>
                  <w:vAlign w:val="center"/>
                </w:tcPr>
                <w:p w14:paraId="078783DB">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16</w:t>
                  </w:r>
                </w:p>
              </w:tc>
              <w:tc>
                <w:tcPr>
                  <w:tcW w:w="1373" w:type="dxa"/>
                  <w:shd w:val="clear" w:color="auto" w:fill="auto"/>
                  <w:vAlign w:val="center"/>
                </w:tcPr>
                <w:p w14:paraId="74DA2BB1">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丁二醇卸车泵</w:t>
                  </w:r>
                </w:p>
              </w:tc>
              <w:tc>
                <w:tcPr>
                  <w:tcW w:w="1470" w:type="dxa"/>
                  <w:shd w:val="clear" w:color="auto" w:fill="auto"/>
                  <w:vAlign w:val="center"/>
                </w:tcPr>
                <w:p w14:paraId="70CB1BE9">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丁二醇</w:t>
                  </w:r>
                </w:p>
              </w:tc>
              <w:tc>
                <w:tcPr>
                  <w:tcW w:w="1890" w:type="dxa"/>
                  <w:shd w:val="clear" w:color="auto" w:fill="auto"/>
                  <w:vAlign w:val="center"/>
                </w:tcPr>
                <w:p w14:paraId="3AFAA82A">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7.5kW</w:t>
                  </w:r>
                </w:p>
              </w:tc>
              <w:tc>
                <w:tcPr>
                  <w:tcW w:w="1284" w:type="dxa"/>
                  <w:shd w:val="clear" w:color="auto" w:fill="auto"/>
                  <w:vAlign w:val="center"/>
                </w:tcPr>
                <w:p w14:paraId="3D122A1A">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台</w:t>
                  </w:r>
                </w:p>
              </w:tc>
              <w:tc>
                <w:tcPr>
                  <w:tcW w:w="613" w:type="dxa"/>
                  <w:shd w:val="clear" w:color="auto" w:fill="auto"/>
                  <w:vAlign w:val="center"/>
                </w:tcPr>
                <w:p w14:paraId="7CE5EEEC">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1C0BDEE1">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316L</w:t>
                  </w:r>
                </w:p>
              </w:tc>
              <w:tc>
                <w:tcPr>
                  <w:tcW w:w="613" w:type="dxa"/>
                  <w:vMerge w:val="continue"/>
                  <w:tcBorders>
                    <w:right w:val="single" w:color="000000" w:sz="6" w:space="0"/>
                  </w:tcBorders>
                  <w:vAlign w:val="center"/>
                </w:tcPr>
                <w:p w14:paraId="0E721D0E">
                  <w:pPr>
                    <w:autoSpaceDE w:val="0"/>
                    <w:autoSpaceDN w:val="0"/>
                    <w:jc w:val="center"/>
                    <w:rPr>
                      <w:rFonts w:hint="default" w:ascii="Times New Roman" w:hAnsi="Times New Roman" w:cs="Times New Roman"/>
                      <w:szCs w:val="21"/>
                      <w:highlight w:val="none"/>
                      <w:lang w:eastAsia="zh-CN"/>
                    </w:rPr>
                  </w:pPr>
                </w:p>
              </w:tc>
              <w:tc>
                <w:tcPr>
                  <w:tcW w:w="613" w:type="dxa"/>
                  <w:shd w:val="clear" w:color="auto" w:fill="auto"/>
                  <w:vAlign w:val="center"/>
                </w:tcPr>
                <w:p w14:paraId="4AD1683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r w14:paraId="743681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621" w:type="dxa"/>
                  <w:vAlign w:val="center"/>
                </w:tcPr>
                <w:p w14:paraId="094909B7">
                  <w:pPr>
                    <w:autoSpaceDE w:val="0"/>
                    <w:autoSpaceDN w:val="0"/>
                    <w:jc w:val="center"/>
                    <w:rPr>
                      <w:rFonts w:hint="default" w:ascii="Times New Roman" w:hAnsi="Times New Roman" w:cs="Times New Roman"/>
                      <w:szCs w:val="21"/>
                      <w:highlight w:val="none"/>
                      <w:lang w:val="en-US" w:eastAsia="zh-CN"/>
                    </w:rPr>
                  </w:pPr>
                  <w:r>
                    <w:rPr>
                      <w:rFonts w:hint="eastAsia" w:cs="Times New Roman"/>
                      <w:szCs w:val="21"/>
                      <w:highlight w:val="none"/>
                      <w:lang w:val="en-US" w:eastAsia="zh-CN"/>
                    </w:rPr>
                    <w:t>17</w:t>
                  </w:r>
                </w:p>
              </w:tc>
              <w:tc>
                <w:tcPr>
                  <w:tcW w:w="1373" w:type="dxa"/>
                  <w:shd w:val="clear" w:color="auto" w:fill="auto"/>
                  <w:vAlign w:val="center"/>
                </w:tcPr>
                <w:p w14:paraId="520669E7">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乙酸卸车泵</w:t>
                  </w:r>
                </w:p>
              </w:tc>
              <w:tc>
                <w:tcPr>
                  <w:tcW w:w="1470" w:type="dxa"/>
                  <w:shd w:val="clear" w:color="auto" w:fill="auto"/>
                  <w:vAlign w:val="center"/>
                </w:tcPr>
                <w:p w14:paraId="5B199424">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稀醋酸</w:t>
                  </w:r>
                </w:p>
              </w:tc>
              <w:tc>
                <w:tcPr>
                  <w:tcW w:w="1890" w:type="dxa"/>
                  <w:shd w:val="clear" w:color="auto" w:fill="auto"/>
                  <w:vAlign w:val="center"/>
                </w:tcPr>
                <w:p w14:paraId="7F54FF04">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7.5kW</w:t>
                  </w:r>
                </w:p>
              </w:tc>
              <w:tc>
                <w:tcPr>
                  <w:tcW w:w="1284" w:type="dxa"/>
                  <w:shd w:val="clear" w:color="auto" w:fill="auto"/>
                  <w:vAlign w:val="center"/>
                </w:tcPr>
                <w:p w14:paraId="7AC849C4">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台</w:t>
                  </w:r>
                </w:p>
              </w:tc>
              <w:tc>
                <w:tcPr>
                  <w:tcW w:w="613" w:type="dxa"/>
                  <w:shd w:val="clear" w:color="auto" w:fill="auto"/>
                  <w:vAlign w:val="center"/>
                </w:tcPr>
                <w:p w14:paraId="70C2D438">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1</w:t>
                  </w:r>
                </w:p>
              </w:tc>
              <w:tc>
                <w:tcPr>
                  <w:tcW w:w="618" w:type="dxa"/>
                  <w:shd w:val="clear" w:color="auto" w:fill="auto"/>
                  <w:vAlign w:val="center"/>
                </w:tcPr>
                <w:p w14:paraId="7D545776">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316L</w:t>
                  </w:r>
                </w:p>
              </w:tc>
              <w:tc>
                <w:tcPr>
                  <w:tcW w:w="613" w:type="dxa"/>
                  <w:vMerge w:val="continue"/>
                  <w:tcBorders>
                    <w:right w:val="single" w:color="000000" w:sz="6" w:space="0"/>
                  </w:tcBorders>
                  <w:vAlign w:val="center"/>
                </w:tcPr>
                <w:p w14:paraId="27AC3218">
                  <w:pPr>
                    <w:autoSpaceDE w:val="0"/>
                    <w:autoSpaceDN w:val="0"/>
                    <w:jc w:val="center"/>
                    <w:rPr>
                      <w:rFonts w:hint="default" w:ascii="Times New Roman" w:hAnsi="Times New Roman" w:cs="Times New Roman"/>
                      <w:szCs w:val="21"/>
                      <w:highlight w:val="none"/>
                      <w:lang w:eastAsia="zh-CN"/>
                    </w:rPr>
                  </w:pPr>
                </w:p>
              </w:tc>
              <w:tc>
                <w:tcPr>
                  <w:tcW w:w="613" w:type="dxa"/>
                  <w:shd w:val="clear" w:color="auto" w:fill="auto"/>
                  <w:vAlign w:val="center"/>
                </w:tcPr>
                <w:p w14:paraId="140A8FAC">
                  <w:pPr>
                    <w:autoSpaceDE w:val="0"/>
                    <w:autoSpaceDN w:val="0"/>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新建</w:t>
                  </w:r>
                </w:p>
              </w:tc>
            </w:tr>
          </w:tbl>
          <w:p w14:paraId="6A20E6F4">
            <w:pPr>
              <w:pStyle w:val="45"/>
              <w:ind w:left="0" w:leftChars="0" w:firstLine="482"/>
              <w:rPr>
                <w:rFonts w:hint="default" w:ascii="Times New Roman" w:hAnsi="Times New Roman" w:cs="Times New Roman"/>
                <w:b/>
                <w:sz w:val="24"/>
                <w:highlight w:val="none"/>
              </w:rPr>
            </w:pPr>
            <w:r>
              <w:rPr>
                <w:rFonts w:hint="default" w:ascii="Times New Roman" w:hAnsi="Times New Roman" w:cs="Times New Roman"/>
                <w:b/>
                <w:sz w:val="24"/>
                <w:highlight w:val="none"/>
              </w:rPr>
              <w:t>7、公用工程</w:t>
            </w:r>
          </w:p>
          <w:p w14:paraId="0B491F99">
            <w:pPr>
              <w:spacing w:line="360" w:lineRule="auto"/>
              <w:ind w:firstLine="480" w:firstLineChars="200"/>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w:t>7.1供排水</w:t>
            </w:r>
          </w:p>
          <w:p w14:paraId="0F4DD4DA">
            <w:pPr>
              <w:spacing w:line="360" w:lineRule="auto"/>
              <w:ind w:right="105" w:rightChars="50" w:firstLine="480" w:firstLineChars="200"/>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w:t>（1）给水</w:t>
            </w:r>
          </w:p>
          <w:p w14:paraId="37EB5F60">
            <w:pPr>
              <w:adjustRightInd w:val="0"/>
              <w:snapToGrid w:val="0"/>
              <w:spacing w:line="360" w:lineRule="auto"/>
              <w:ind w:firstLine="464" w:firstLineChars="200"/>
              <w:rPr>
                <w:rFonts w:hint="default" w:ascii="Times New Roman" w:hAnsi="Times New Roman" w:cs="Times New Roman"/>
                <w:spacing w:val="-4"/>
                <w:sz w:val="24"/>
                <w:highlight w:val="none"/>
              </w:rPr>
            </w:pPr>
            <w:r>
              <w:rPr>
                <w:rFonts w:hint="default" w:ascii="Times New Roman" w:hAnsi="Times New Roman" w:cs="Times New Roman"/>
                <w:spacing w:val="-4"/>
                <w:sz w:val="24"/>
                <w:highlight w:val="none"/>
              </w:rPr>
              <w:t>项目日常用水主要为厂区内员工日常生活用水和生产用水，用水由淄博天润供水有限公司提供。</w:t>
            </w:r>
          </w:p>
          <w:p w14:paraId="5BB6B7D8">
            <w:pPr>
              <w:adjustRightInd w:val="0"/>
              <w:snapToGrid w:val="0"/>
              <w:spacing w:line="360" w:lineRule="auto"/>
              <w:ind w:firstLine="464" w:firstLineChars="200"/>
              <w:rPr>
                <w:rFonts w:hint="default" w:ascii="Times New Roman" w:hAnsi="Times New Roman" w:cs="Times New Roman"/>
                <w:spacing w:val="-4"/>
                <w:sz w:val="24"/>
                <w:highlight w:val="none"/>
              </w:rPr>
            </w:pPr>
            <w:r>
              <w:rPr>
                <w:rFonts w:hint="default" w:ascii="Times New Roman" w:hAnsi="Times New Roman" w:cs="Times New Roman"/>
                <w:spacing w:val="-4"/>
                <w:sz w:val="24"/>
                <w:highlight w:val="none"/>
              </w:rPr>
              <w:fldChar w:fldCharType="begin"/>
            </w:r>
            <w:r>
              <w:rPr>
                <w:rFonts w:hint="default" w:ascii="Times New Roman" w:hAnsi="Times New Roman" w:cs="Times New Roman"/>
                <w:spacing w:val="-4"/>
                <w:sz w:val="24"/>
                <w:highlight w:val="none"/>
              </w:rPr>
              <w:instrText xml:space="preserve"> = 1 \* GB3 \* MERGEFORMAT </w:instrText>
            </w:r>
            <w:r>
              <w:rPr>
                <w:rFonts w:hint="default" w:ascii="Times New Roman" w:hAnsi="Times New Roman" w:cs="Times New Roman"/>
                <w:spacing w:val="-4"/>
                <w:sz w:val="24"/>
                <w:highlight w:val="none"/>
              </w:rPr>
              <w:fldChar w:fldCharType="separate"/>
            </w:r>
            <w:r>
              <w:rPr>
                <w:rFonts w:hint="default" w:ascii="Times New Roman" w:hAnsi="Times New Roman" w:cs="Times New Roman"/>
                <w:sz w:val="24"/>
                <w:highlight w:val="none"/>
              </w:rPr>
              <w:t>①</w:t>
            </w:r>
            <w:r>
              <w:rPr>
                <w:rFonts w:hint="default" w:ascii="Times New Roman" w:hAnsi="Times New Roman" w:cs="Times New Roman"/>
                <w:spacing w:val="-4"/>
                <w:sz w:val="24"/>
                <w:highlight w:val="none"/>
              </w:rPr>
              <w:fldChar w:fldCharType="end"/>
            </w:r>
            <w:r>
              <w:rPr>
                <w:rFonts w:hint="default" w:ascii="Times New Roman" w:hAnsi="Times New Roman" w:cs="Times New Roman"/>
                <w:spacing w:val="-4"/>
                <w:sz w:val="24"/>
                <w:highlight w:val="none"/>
              </w:rPr>
              <w:t>生活用水：本项目不增加劳动定员，不增加生活用水。</w:t>
            </w:r>
          </w:p>
          <w:p w14:paraId="0BB7CEBC">
            <w:pPr>
              <w:adjustRightInd w:val="0"/>
              <w:snapToGrid w:val="0"/>
              <w:spacing w:line="360" w:lineRule="auto"/>
              <w:ind w:firstLine="464" w:firstLineChars="200"/>
              <w:rPr>
                <w:rFonts w:hint="default" w:ascii="Times New Roman" w:hAnsi="Times New Roman" w:cs="Times New Roman"/>
                <w:sz w:val="24"/>
                <w:highlight w:val="none"/>
              </w:rPr>
            </w:pPr>
            <w:r>
              <w:rPr>
                <w:rFonts w:hint="default" w:ascii="Times New Roman" w:hAnsi="Times New Roman" w:cs="Times New Roman"/>
                <w:spacing w:val="-4"/>
                <w:sz w:val="24"/>
                <w:highlight w:val="none"/>
              </w:rPr>
              <w:fldChar w:fldCharType="begin"/>
            </w:r>
            <w:r>
              <w:rPr>
                <w:rFonts w:hint="default" w:ascii="Times New Roman" w:hAnsi="Times New Roman" w:cs="Times New Roman"/>
                <w:spacing w:val="-4"/>
                <w:sz w:val="24"/>
                <w:highlight w:val="none"/>
              </w:rPr>
              <w:instrText xml:space="preserve"> = 2 \* GB3 \* MERGEFORMAT </w:instrText>
            </w:r>
            <w:r>
              <w:rPr>
                <w:rFonts w:hint="default" w:ascii="Times New Roman" w:hAnsi="Times New Roman" w:cs="Times New Roman"/>
                <w:spacing w:val="-4"/>
                <w:sz w:val="24"/>
                <w:highlight w:val="none"/>
              </w:rPr>
              <w:fldChar w:fldCharType="separate"/>
            </w:r>
            <w:r>
              <w:rPr>
                <w:rFonts w:hint="default" w:ascii="Times New Roman" w:hAnsi="Times New Roman" w:cs="Times New Roman"/>
                <w:spacing w:val="-4"/>
                <w:sz w:val="24"/>
                <w:highlight w:val="none"/>
              </w:rPr>
              <w:t>②</w:t>
            </w:r>
            <w:r>
              <w:rPr>
                <w:rFonts w:hint="default" w:ascii="Times New Roman" w:hAnsi="Times New Roman" w:cs="Times New Roman"/>
                <w:spacing w:val="-4"/>
                <w:sz w:val="24"/>
                <w:highlight w:val="none"/>
              </w:rPr>
              <w:fldChar w:fldCharType="end"/>
            </w:r>
            <w:r>
              <w:rPr>
                <w:rFonts w:hint="default" w:ascii="Times New Roman" w:hAnsi="Times New Roman" w:cs="Times New Roman"/>
                <w:sz w:val="24"/>
                <w:highlight w:val="none"/>
              </w:rPr>
              <w:t>生产用水：项目生产过程中的用水主要为调配用水</w:t>
            </w:r>
            <w:r>
              <w:rPr>
                <w:rFonts w:hint="eastAsia" w:cs="Times New Roman"/>
                <w:sz w:val="24"/>
                <w:highlight w:val="none"/>
                <w:lang w:val="en-US" w:eastAsia="zh-CN"/>
              </w:rPr>
              <w:t>4</w:t>
            </w:r>
            <w:r>
              <w:rPr>
                <w:rFonts w:hint="default" w:ascii="Times New Roman" w:hAnsi="Times New Roman" w:cs="Times New Roman"/>
                <w:sz w:val="24"/>
                <w:highlight w:val="none"/>
              </w:rPr>
              <w:t>1800m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/a</w:t>
            </w:r>
            <w:r>
              <w:rPr>
                <w:rFonts w:hint="default" w:ascii="Times New Roman" w:hAnsi="Times New Roman" w:cs="Times New Roman"/>
                <w:spacing w:val="-4"/>
                <w:sz w:val="24"/>
                <w:highlight w:val="none"/>
              </w:rPr>
              <w:t>。</w:t>
            </w:r>
          </w:p>
          <w:p w14:paraId="2582C00A">
            <w:pPr>
              <w:pStyle w:val="122"/>
              <w:ind w:firstLine="464" w:firstLineChars="200"/>
              <w:rPr>
                <w:rFonts w:hint="default" w:ascii="Times New Roman" w:hAnsi="Times New Roman" w:cs="Times New Roman"/>
                <w:highlight w:val="none"/>
              </w:rPr>
            </w:pPr>
            <w:r>
              <w:rPr>
                <w:rFonts w:hint="default" w:ascii="Times New Roman" w:hAnsi="Times New Roman" w:cs="Times New Roman"/>
                <w:color w:val="auto"/>
                <w:spacing w:val="-4"/>
                <w:highlight w:val="none"/>
              </w:rPr>
              <w:t>③喷淋用水：项目</w:t>
            </w:r>
            <w:r>
              <w:rPr>
                <w:rFonts w:hint="default" w:ascii="Times New Roman" w:hAnsi="Times New Roman" w:cs="Times New Roman"/>
                <w:highlight w:val="none"/>
              </w:rPr>
              <w:t>喷</w:t>
            </w:r>
            <w:r>
              <w:rPr>
                <w:rFonts w:hint="default" w:ascii="Times New Roman" w:hAnsi="Times New Roman" w:cs="Times New Roman"/>
                <w:color w:val="auto"/>
                <w:highlight w:val="none"/>
              </w:rPr>
              <w:t>淋塔配置1座4m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水箱，循环量5m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/h，损耗2%，年工作2400h/a，喷淋塔补水为240m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/a，水箱中</w:t>
            </w:r>
            <w:r>
              <w:rPr>
                <w:rFonts w:hint="default" w:ascii="Times New Roman" w:hAnsi="Times New Roman" w:cs="Times New Roman"/>
                <w:highlight w:val="none"/>
              </w:rPr>
              <w:t>的水每年更换一次，更换量4m</w:t>
            </w:r>
            <w:r>
              <w:rPr>
                <w:rFonts w:hint="default" w:ascii="Times New Roman" w:hAnsi="Times New Roman" w:cs="Times New Roman"/>
                <w:highlight w:val="none"/>
                <w:vertAlign w:val="superscript"/>
              </w:rPr>
              <w:t>3</w:t>
            </w:r>
            <w:r>
              <w:rPr>
                <w:rFonts w:hint="default" w:ascii="Times New Roman" w:hAnsi="Times New Roman" w:cs="Times New Roman"/>
                <w:highlight w:val="none"/>
              </w:rPr>
              <w:t>/a，则喷淋用水为244m</w:t>
            </w:r>
            <w:r>
              <w:rPr>
                <w:rFonts w:hint="default" w:ascii="Times New Roman" w:hAnsi="Times New Roman" w:cs="Times New Roman"/>
                <w:highlight w:val="none"/>
                <w:vertAlign w:val="superscript"/>
              </w:rPr>
              <w:t>3</w:t>
            </w:r>
            <w:r>
              <w:rPr>
                <w:rFonts w:hint="default" w:ascii="Times New Roman" w:hAnsi="Times New Roman" w:cs="Times New Roman"/>
                <w:highlight w:val="none"/>
              </w:rPr>
              <w:t>/a。</w:t>
            </w:r>
          </w:p>
          <w:p w14:paraId="240E0CE3">
            <w:pPr>
              <w:pStyle w:val="122"/>
              <w:ind w:firstLine="464" w:firstLineChars="200"/>
              <w:rPr>
                <w:rFonts w:hint="default" w:ascii="Times New Roman" w:hAnsi="Times New Roman" w:cs="Times New Roman"/>
                <w:color w:val="auto"/>
                <w:spacing w:val="-4"/>
                <w:highlight w:val="none"/>
              </w:rPr>
            </w:pPr>
            <w:r>
              <w:rPr>
                <w:rFonts w:hint="default" w:ascii="Times New Roman" w:hAnsi="Times New Roman" w:cs="Times New Roman"/>
                <w:color w:val="auto"/>
                <w:spacing w:val="-4"/>
                <w:highlight w:val="none"/>
              </w:rPr>
              <w:t>综上所述，项目新鲜水用量为</w:t>
            </w:r>
            <w:r>
              <w:rPr>
                <w:rFonts w:hint="eastAsia" w:ascii="Times New Roman" w:hAnsi="Times New Roman" w:cs="Times New Roman"/>
                <w:color w:val="auto"/>
                <w:spacing w:val="-4"/>
                <w:highlight w:val="none"/>
                <w:lang w:val="en-US" w:eastAsia="zh-CN"/>
              </w:rPr>
              <w:t>4</w:t>
            </w:r>
            <w:r>
              <w:rPr>
                <w:rFonts w:hint="default" w:ascii="Times New Roman" w:hAnsi="Times New Roman" w:cs="Times New Roman"/>
                <w:color w:val="auto"/>
                <w:spacing w:val="-4"/>
                <w:highlight w:val="none"/>
              </w:rPr>
              <w:t>2044m</w:t>
            </w:r>
            <w:r>
              <w:rPr>
                <w:rFonts w:hint="default" w:ascii="Times New Roman" w:hAnsi="Times New Roman" w:cs="Times New Roman"/>
                <w:color w:val="auto"/>
                <w:spacing w:val="-4"/>
                <w:highlight w:val="none"/>
                <w:vertAlign w:val="superscript"/>
              </w:rPr>
              <w:t>3</w:t>
            </w:r>
            <w:r>
              <w:rPr>
                <w:rFonts w:hint="default" w:ascii="Times New Roman" w:hAnsi="Times New Roman" w:cs="Times New Roman"/>
                <w:color w:val="auto"/>
                <w:spacing w:val="-4"/>
                <w:highlight w:val="none"/>
              </w:rPr>
              <w:t>/a。</w:t>
            </w:r>
          </w:p>
          <w:p w14:paraId="4A111E5B">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（2）排水</w:t>
            </w:r>
          </w:p>
          <w:p w14:paraId="0DC66440">
            <w:pPr>
              <w:spacing w:line="360" w:lineRule="auto"/>
              <w:ind w:firstLine="482"/>
              <w:rPr>
                <w:rFonts w:hint="default" w:ascii="Times New Roman" w:hAnsi="Times New Roman" w:cs="Times New Roman"/>
                <w:spacing w:val="-2"/>
                <w:kern w:val="0"/>
                <w:sz w:val="24"/>
                <w:highlight w:val="none"/>
              </w:rPr>
            </w:pPr>
            <w:r>
              <w:rPr>
                <w:rFonts w:hint="default" w:ascii="Times New Roman" w:hAnsi="Times New Roman" w:cs="Times New Roman"/>
                <w:spacing w:val="-4"/>
                <w:sz w:val="24"/>
                <w:highlight w:val="none"/>
              </w:rPr>
              <w:t>项目喷淋废水属于危险废物，委托有资质单位处理</w:t>
            </w:r>
            <w:r>
              <w:rPr>
                <w:rFonts w:hint="default" w:ascii="Times New Roman" w:hAnsi="Times New Roman" w:cs="Times New Roman"/>
                <w:spacing w:val="-2"/>
                <w:kern w:val="0"/>
                <w:sz w:val="24"/>
                <w:highlight w:val="none"/>
              </w:rPr>
              <w:t>。</w:t>
            </w:r>
          </w:p>
          <w:p w14:paraId="0F00A0E7">
            <w:pPr>
              <w:spacing w:line="360" w:lineRule="auto"/>
              <w:ind w:firstLine="482"/>
              <w:rPr>
                <w:rFonts w:hint="default" w:ascii="Times New Roman" w:hAnsi="Times New Roman" w:cs="Times New Roman"/>
                <w:spacing w:val="-4"/>
                <w:sz w:val="24"/>
                <w:highlight w:val="none"/>
              </w:rPr>
            </w:pPr>
            <w:r>
              <w:rPr>
                <w:rFonts w:hint="default" w:ascii="Times New Roman" w:hAnsi="Times New Roman" w:cs="Times New Roman"/>
                <w:spacing w:val="-4"/>
                <w:sz w:val="24"/>
                <w:highlight w:val="none"/>
              </w:rPr>
              <w:t>综上所述，项目无废水外排。</w:t>
            </w:r>
          </w:p>
          <w:p w14:paraId="2629737E">
            <w:pPr>
              <w:pStyle w:val="45"/>
              <w:ind w:left="0" w:leftChars="0" w:firstLine="0" w:firstLineChars="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5" o:spt="75" alt="" type="#_x0000_t75" style="height:163.7pt;width:459pt;" o:ole="t" filled="f" o:preferrelative="t" stroked="f" coordsize="21600,21600">
                  <v:path/>
                  <v:fill on="f" focussize="0,0"/>
                  <v:stroke on="f"/>
                  <v:imagedata r:id="rId17" o:title=""/>
                  <o:lock v:ext="edit" aspectratio="t"/>
                  <w10:wrap type="none"/>
                  <w10:anchorlock/>
                </v:shape>
                <o:OLEObject Type="Embed" ProgID="Visio.Drawing.15" ShapeID="_x0000_i1025" DrawAspect="Content" ObjectID="_1468075725" r:id="rId16">
                  <o:LockedField>false</o:LockedField>
                </o:OLEObject>
              </w:object>
            </w:r>
          </w:p>
          <w:p w14:paraId="1F407DBF">
            <w:pPr>
              <w:pStyle w:val="45"/>
              <w:ind w:left="0" w:leftChars="0" w:firstLine="0" w:firstLineChars="0"/>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图2-1  拟建项目水平衡图（m</w:t>
            </w:r>
            <w:r>
              <w:rPr>
                <w:rFonts w:hint="default" w:ascii="Times New Roman" w:hAnsi="Times New Roman" w:cs="Times New Roman"/>
                <w:b/>
                <w:bCs/>
                <w:sz w:val="24"/>
                <w:highlight w:val="none"/>
                <w:vertAlign w:val="superscript"/>
              </w:rPr>
              <w:t>3</w:t>
            </w:r>
            <w:r>
              <w:rPr>
                <w:rFonts w:hint="default" w:ascii="Times New Roman" w:hAnsi="Times New Roman" w:cs="Times New Roman"/>
                <w:b/>
                <w:bCs/>
                <w:sz w:val="24"/>
                <w:highlight w:val="none"/>
              </w:rPr>
              <w:t>/a）</w:t>
            </w:r>
          </w:p>
          <w:p w14:paraId="0824BB1E">
            <w:pPr>
              <w:spacing w:line="360" w:lineRule="auto"/>
              <w:ind w:firstLine="482"/>
              <w:rPr>
                <w:rFonts w:hint="default" w:ascii="Times New Roman" w:hAnsi="Times New Roman" w:cs="Times New Roman"/>
                <w:spacing w:val="-4"/>
                <w:sz w:val="24"/>
                <w:highlight w:val="none"/>
              </w:rPr>
            </w:pPr>
            <w:r>
              <w:rPr>
                <w:rFonts w:hint="default" w:ascii="Times New Roman" w:hAnsi="Times New Roman" w:cs="Times New Roman"/>
                <w:spacing w:val="-4"/>
                <w:sz w:val="24"/>
                <w:highlight w:val="none"/>
              </w:rPr>
              <w:t>7.2供电</w:t>
            </w:r>
          </w:p>
          <w:p w14:paraId="042B2041">
            <w:pPr>
              <w:spacing w:line="360" w:lineRule="auto"/>
              <w:ind w:firstLine="482"/>
              <w:rPr>
                <w:rFonts w:hint="default" w:ascii="Times New Roman" w:hAnsi="Times New Roman" w:cs="Times New Roman"/>
                <w:spacing w:val="-4"/>
                <w:sz w:val="24"/>
                <w:highlight w:val="none"/>
              </w:rPr>
            </w:pPr>
            <w:r>
              <w:rPr>
                <w:rFonts w:hint="default" w:ascii="Times New Roman" w:hAnsi="Times New Roman" w:cs="Times New Roman"/>
                <w:spacing w:val="-4"/>
                <w:sz w:val="24"/>
                <w:highlight w:val="none"/>
              </w:rPr>
              <w:t>项目用电量为33万kWh/a，引自齐翔变冯北线23号杆接线夹处。</w:t>
            </w:r>
          </w:p>
          <w:p w14:paraId="0581137E">
            <w:pPr>
              <w:spacing w:line="360" w:lineRule="auto"/>
              <w:ind w:firstLine="361" w:firstLineChars="150"/>
              <w:rPr>
                <w:rFonts w:hint="default" w:ascii="Times New Roman" w:hAnsi="Times New Roman" w:cs="Times New Roman"/>
                <w:b/>
                <w:bCs/>
                <w:sz w:val="24"/>
                <w:highlight w:val="none"/>
              </w:rPr>
            </w:pPr>
            <w:r>
              <w:rPr>
                <w:rFonts w:hint="default" w:ascii="Times New Roman" w:hAnsi="Times New Roman" w:cs="Times New Roman"/>
                <w:b/>
                <w:bCs/>
                <w:sz w:val="24"/>
                <w:highlight w:val="none"/>
              </w:rPr>
              <w:t>8、总平面布置</w:t>
            </w:r>
          </w:p>
          <w:p w14:paraId="43D56CE4">
            <w:pPr>
              <w:spacing w:line="360" w:lineRule="auto"/>
              <w:ind w:firstLine="480" w:firstLineChars="200"/>
              <w:textAlignment w:val="baseline"/>
              <w:rPr>
                <w:rFonts w:hint="default" w:ascii="Times New Roman" w:hAnsi="Times New Roman" w:cs="Times New Roman"/>
                <w:bCs/>
                <w:sz w:val="24"/>
                <w:highlight w:val="none"/>
              </w:rPr>
            </w:pPr>
            <w:r>
              <w:rPr>
                <w:rFonts w:hint="default" w:ascii="Times New Roman" w:hAnsi="Times New Roman" w:cs="Times New Roman"/>
                <w:bCs/>
                <w:sz w:val="24"/>
                <w:highlight w:val="none"/>
              </w:rPr>
              <w:t>按照工艺流程和配套设施情况，本项目划分为生产区、办公生活区两部分。</w:t>
            </w:r>
          </w:p>
          <w:p w14:paraId="6DBF2F6E">
            <w:pPr>
              <w:spacing w:line="360" w:lineRule="auto"/>
              <w:ind w:firstLine="480" w:firstLineChars="200"/>
              <w:textAlignment w:val="baseline"/>
              <w:rPr>
                <w:rFonts w:hint="default" w:ascii="Times New Roman" w:hAnsi="Times New Roman" w:cs="Times New Roman"/>
                <w:bCs/>
                <w:sz w:val="24"/>
                <w:highlight w:val="none"/>
              </w:rPr>
            </w:pPr>
            <w:r>
              <w:rPr>
                <w:rFonts w:hint="default" w:ascii="Times New Roman" w:hAnsi="Times New Roman" w:cs="Times New Roman"/>
                <w:bCs/>
                <w:sz w:val="24"/>
                <w:highlight w:val="none"/>
              </w:rPr>
              <w:t>大门位于整个厂区的东侧，分为人流入口和物流入口，综合楼、空压机房、变配电室、抗爆控制室位于厂区东北角，拟建项目位于厂区中部，罐区位于中部南侧，灌装车间位于中部北侧。</w:t>
            </w:r>
          </w:p>
          <w:p w14:paraId="5A8B8F89">
            <w:pPr>
              <w:spacing w:line="360" w:lineRule="auto"/>
              <w:ind w:firstLine="480" w:firstLineChars="200"/>
              <w:textAlignment w:val="baseline"/>
              <w:rPr>
                <w:rFonts w:hint="default" w:ascii="Times New Roman" w:hAnsi="Times New Roman" w:cs="Times New Roman"/>
                <w:bCs/>
                <w:sz w:val="24"/>
                <w:highlight w:val="none"/>
              </w:rPr>
            </w:pPr>
            <w:r>
              <w:rPr>
                <w:rFonts w:hint="default" w:ascii="Times New Roman" w:hAnsi="Times New Roman" w:cs="Times New Roman"/>
                <w:bCs/>
                <w:sz w:val="24"/>
                <w:highlight w:val="none"/>
              </w:rPr>
              <w:t>平面布置图见附图。</w:t>
            </w:r>
          </w:p>
          <w:p w14:paraId="370E6F49">
            <w:p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9、环保投资</w:t>
            </w:r>
          </w:p>
          <w:p w14:paraId="3FD0084E">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项目总投资11664.73万元，环保投资</w:t>
            </w:r>
            <w:r>
              <w:rPr>
                <w:rFonts w:hint="eastAsia" w:cs="Times New Roman"/>
                <w:sz w:val="24"/>
                <w:highlight w:val="none"/>
                <w:lang w:val="en-US" w:eastAsia="zh-CN"/>
              </w:rPr>
              <w:t>90</w:t>
            </w:r>
            <w:r>
              <w:rPr>
                <w:rFonts w:hint="default" w:ascii="Times New Roman" w:hAnsi="Times New Roman" w:cs="Times New Roman"/>
                <w:sz w:val="24"/>
                <w:highlight w:val="none"/>
              </w:rPr>
              <w:t>万元，项目环保设施及其投资估算详见下表。</w:t>
            </w:r>
          </w:p>
          <w:p w14:paraId="2ADB6870">
            <w:pPr>
              <w:pStyle w:val="13"/>
              <w:ind w:firstLine="0"/>
              <w:jc w:val="center"/>
              <w:rPr>
                <w:rFonts w:hint="default" w:ascii="Times New Roman" w:hAnsi="Times New Roman" w:cs="Times New Roman"/>
                <w:b/>
                <w:bCs/>
                <w:kern w:val="0"/>
                <w:sz w:val="24"/>
                <w:szCs w:val="24"/>
                <w:highlight w:val="none"/>
              </w:rPr>
            </w:pPr>
            <w:r>
              <w:rPr>
                <w:rFonts w:hint="default" w:ascii="Times New Roman" w:hAnsi="Times New Roman" w:cs="Times New Roman"/>
                <w:b/>
                <w:bCs/>
                <w:kern w:val="0"/>
                <w:sz w:val="24"/>
                <w:szCs w:val="24"/>
                <w:highlight w:val="none"/>
              </w:rPr>
              <w:t>表2-5  项目环保设施及投资情况汇总表</w:t>
            </w:r>
          </w:p>
          <w:tbl>
            <w:tblPr>
              <w:tblStyle w:val="4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08"/>
              <w:gridCol w:w="4191"/>
              <w:gridCol w:w="1381"/>
            </w:tblGrid>
            <w:tr w14:paraId="1EDF42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8" w:type="dxa"/>
                  <w:tcBorders>
                    <w:tl2br w:val="nil"/>
                    <w:tr2bl w:val="nil"/>
                  </w:tcBorders>
                  <w:vAlign w:val="center"/>
                </w:tcPr>
                <w:p w14:paraId="3E424AD5">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项目</w:t>
                  </w:r>
                </w:p>
              </w:tc>
              <w:tc>
                <w:tcPr>
                  <w:tcW w:w="4191" w:type="dxa"/>
                  <w:tcBorders>
                    <w:tl2br w:val="nil"/>
                    <w:tr2bl w:val="nil"/>
                  </w:tcBorders>
                  <w:vAlign w:val="center"/>
                </w:tcPr>
                <w:p w14:paraId="103DA56C">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治理措施</w:t>
                  </w:r>
                </w:p>
              </w:tc>
              <w:tc>
                <w:tcPr>
                  <w:tcW w:w="1381" w:type="dxa"/>
                  <w:tcBorders>
                    <w:tl2br w:val="nil"/>
                    <w:tr2bl w:val="nil"/>
                  </w:tcBorders>
                  <w:vAlign w:val="center"/>
                </w:tcPr>
                <w:p w14:paraId="27FFE41F">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投资（万元）</w:t>
                  </w:r>
                </w:p>
              </w:tc>
            </w:tr>
            <w:tr w14:paraId="4FDEB8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8" w:type="dxa"/>
                  <w:tcBorders>
                    <w:tl2br w:val="nil"/>
                    <w:tr2bl w:val="nil"/>
                  </w:tcBorders>
                  <w:vAlign w:val="center"/>
                </w:tcPr>
                <w:p w14:paraId="7605BAD3">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废气治理</w:t>
                  </w:r>
                </w:p>
              </w:tc>
              <w:tc>
                <w:tcPr>
                  <w:tcW w:w="4191" w:type="dxa"/>
                  <w:tcBorders>
                    <w:tl2br w:val="nil"/>
                    <w:tr2bl w:val="nil"/>
                  </w:tcBorders>
                  <w:vAlign w:val="center"/>
                </w:tcPr>
                <w:p w14:paraId="54DD2A8F">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新增碱喷淋</w:t>
                  </w:r>
                  <w:r>
                    <w:rPr>
                      <w:rFonts w:hint="default" w:ascii="Times New Roman" w:hAnsi="Times New Roman" w:cs="Times New Roman"/>
                      <w:color w:val="000000"/>
                      <w:highlight w:val="none"/>
                      <w:lang w:val="en-US"/>
                    </w:rPr>
                    <w:t>+</w:t>
                  </w:r>
                  <w:r>
                    <w:rPr>
                      <w:rFonts w:hint="eastAsia"/>
                      <w:lang w:val="en-US" w:eastAsia="zh-CN"/>
                    </w:rPr>
                    <w:t>除雾装置</w:t>
                  </w:r>
                  <w:r>
                    <w:rPr>
                      <w:rFonts w:hint="default" w:ascii="Times New Roman" w:hAnsi="Times New Roman" w:eastAsia="宋体" w:cs="Times New Roman"/>
                      <w:szCs w:val="21"/>
                      <w:highlight w:val="none"/>
                      <w:lang w:eastAsia="zh-CN"/>
                    </w:rPr>
                    <w:t>+2级活性炭吸附装置</w:t>
                  </w:r>
                </w:p>
              </w:tc>
              <w:tc>
                <w:tcPr>
                  <w:tcW w:w="1381" w:type="dxa"/>
                  <w:tcBorders>
                    <w:tl2br w:val="nil"/>
                    <w:tr2bl w:val="nil"/>
                  </w:tcBorders>
                  <w:vAlign w:val="center"/>
                </w:tcPr>
                <w:p w14:paraId="43B69E2B">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20</w:t>
                  </w:r>
                </w:p>
              </w:tc>
            </w:tr>
            <w:tr w14:paraId="787CF3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8" w:type="dxa"/>
                  <w:tcBorders>
                    <w:tl2br w:val="nil"/>
                    <w:tr2bl w:val="nil"/>
                  </w:tcBorders>
                  <w:vAlign w:val="center"/>
                </w:tcPr>
                <w:p w14:paraId="2E6760BD">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废水处理</w:t>
                  </w:r>
                </w:p>
              </w:tc>
              <w:tc>
                <w:tcPr>
                  <w:tcW w:w="4191" w:type="dxa"/>
                  <w:tcBorders>
                    <w:tl2br w:val="nil"/>
                    <w:tr2bl w:val="nil"/>
                  </w:tcBorders>
                  <w:vAlign w:val="center"/>
                </w:tcPr>
                <w:p w14:paraId="4EF6F3B3">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化粪池</w:t>
                  </w:r>
                </w:p>
              </w:tc>
              <w:tc>
                <w:tcPr>
                  <w:tcW w:w="1381" w:type="dxa"/>
                  <w:tcBorders>
                    <w:tl2br w:val="nil"/>
                    <w:tr2bl w:val="nil"/>
                  </w:tcBorders>
                  <w:vAlign w:val="center"/>
                </w:tcPr>
                <w:p w14:paraId="72EFE6FA">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依托现有</w:t>
                  </w:r>
                </w:p>
              </w:tc>
            </w:tr>
            <w:tr w14:paraId="6BA8B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8" w:type="dxa"/>
                  <w:tcBorders>
                    <w:tl2br w:val="nil"/>
                    <w:tr2bl w:val="nil"/>
                  </w:tcBorders>
                  <w:vAlign w:val="center"/>
                </w:tcPr>
                <w:p w14:paraId="6C98C722">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噪声控制</w:t>
                  </w:r>
                </w:p>
              </w:tc>
              <w:tc>
                <w:tcPr>
                  <w:tcW w:w="4191" w:type="dxa"/>
                  <w:tcBorders>
                    <w:tl2br w:val="nil"/>
                    <w:tr2bl w:val="nil"/>
                  </w:tcBorders>
                  <w:vAlign w:val="center"/>
                </w:tcPr>
                <w:p w14:paraId="3C1C4BE1">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基础固定、减振隔声</w:t>
                  </w:r>
                </w:p>
              </w:tc>
              <w:tc>
                <w:tcPr>
                  <w:tcW w:w="1381" w:type="dxa"/>
                  <w:tcBorders>
                    <w:tl2br w:val="nil"/>
                    <w:tr2bl w:val="nil"/>
                  </w:tcBorders>
                  <w:vAlign w:val="center"/>
                </w:tcPr>
                <w:p w14:paraId="2497B934">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10</w:t>
                  </w:r>
                </w:p>
              </w:tc>
            </w:tr>
            <w:tr w14:paraId="45519D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8" w:type="dxa"/>
                  <w:tcBorders>
                    <w:tl2br w:val="nil"/>
                    <w:tr2bl w:val="nil"/>
                  </w:tcBorders>
                  <w:vAlign w:val="center"/>
                </w:tcPr>
                <w:p w14:paraId="429F8731">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固废处置</w:t>
                  </w:r>
                </w:p>
              </w:tc>
              <w:tc>
                <w:tcPr>
                  <w:tcW w:w="4191" w:type="dxa"/>
                  <w:tcBorders>
                    <w:tl2br w:val="nil"/>
                    <w:tr2bl w:val="nil"/>
                  </w:tcBorders>
                  <w:vAlign w:val="center"/>
                </w:tcPr>
                <w:p w14:paraId="7D122F4D">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一般固废暂存场所、危废暂存间</w:t>
                  </w:r>
                </w:p>
              </w:tc>
              <w:tc>
                <w:tcPr>
                  <w:tcW w:w="1381" w:type="dxa"/>
                  <w:tcBorders>
                    <w:tl2br w:val="nil"/>
                    <w:tr2bl w:val="nil"/>
                  </w:tcBorders>
                  <w:vAlign w:val="center"/>
                </w:tcPr>
                <w:p w14:paraId="3DAD8845">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依托现有</w:t>
                  </w:r>
                </w:p>
              </w:tc>
            </w:tr>
            <w:tr w14:paraId="7913E1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08" w:type="dxa"/>
                  <w:tcBorders>
                    <w:tl2br w:val="nil"/>
                    <w:tr2bl w:val="nil"/>
                  </w:tcBorders>
                  <w:vAlign w:val="center"/>
                </w:tcPr>
                <w:p w14:paraId="1D4A7CD2">
                  <w:pPr>
                    <w:autoSpaceDE w:val="0"/>
                    <w:autoSpaceDN w:val="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风险</w:t>
                  </w:r>
                </w:p>
              </w:tc>
              <w:tc>
                <w:tcPr>
                  <w:tcW w:w="4191" w:type="dxa"/>
                  <w:tcBorders>
                    <w:tl2br w:val="nil"/>
                    <w:tr2bl w:val="nil"/>
                  </w:tcBorders>
                  <w:vAlign w:val="center"/>
                </w:tcPr>
                <w:p w14:paraId="092CD4E3">
                  <w:pPr>
                    <w:autoSpaceDE w:val="0"/>
                    <w:autoSpaceDN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防渗、围堰、导排设施、事故水池</w:t>
                  </w:r>
                </w:p>
              </w:tc>
              <w:tc>
                <w:tcPr>
                  <w:tcW w:w="1381" w:type="dxa"/>
                  <w:tcBorders>
                    <w:tl2br w:val="nil"/>
                    <w:tr2bl w:val="nil"/>
                  </w:tcBorders>
                  <w:vAlign w:val="center"/>
                </w:tcPr>
                <w:p w14:paraId="251ACF7C">
                  <w:pPr>
                    <w:autoSpaceDE w:val="0"/>
                    <w:autoSpaceDN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60（事故水池依托现有）</w:t>
                  </w:r>
                </w:p>
              </w:tc>
            </w:tr>
            <w:tr w14:paraId="102403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9" w:type="dxa"/>
                  <w:gridSpan w:val="2"/>
                  <w:tcBorders>
                    <w:tl2br w:val="nil"/>
                    <w:tr2bl w:val="nil"/>
                  </w:tcBorders>
                  <w:vAlign w:val="center"/>
                </w:tcPr>
                <w:p w14:paraId="6704C6B5">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合计</w:t>
                  </w:r>
                </w:p>
              </w:tc>
              <w:tc>
                <w:tcPr>
                  <w:tcW w:w="1381" w:type="dxa"/>
                  <w:tcBorders>
                    <w:tl2br w:val="nil"/>
                    <w:tr2bl w:val="nil"/>
                  </w:tcBorders>
                  <w:vAlign w:val="center"/>
                </w:tcPr>
                <w:p w14:paraId="3D480CE8">
                  <w:pPr>
                    <w:autoSpaceDE w:val="0"/>
                    <w:autoSpaceDN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90</w:t>
                  </w:r>
                </w:p>
              </w:tc>
            </w:tr>
            <w:tr w14:paraId="7A197F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99" w:type="dxa"/>
                  <w:gridSpan w:val="2"/>
                  <w:tcBorders>
                    <w:tl2br w:val="nil"/>
                    <w:tr2bl w:val="nil"/>
                  </w:tcBorders>
                  <w:vAlign w:val="center"/>
                </w:tcPr>
                <w:p w14:paraId="50A698C4">
                  <w:pPr>
                    <w:autoSpaceDE w:val="0"/>
                    <w:autoSpaceDN w:val="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占总投资的比例（%）</w:t>
                  </w:r>
                </w:p>
              </w:tc>
              <w:tc>
                <w:tcPr>
                  <w:tcW w:w="1381" w:type="dxa"/>
                  <w:tcBorders>
                    <w:tl2br w:val="nil"/>
                    <w:tr2bl w:val="nil"/>
                  </w:tcBorders>
                  <w:vAlign w:val="center"/>
                </w:tcPr>
                <w:p w14:paraId="223F868C">
                  <w:pPr>
                    <w:autoSpaceDE w:val="0"/>
                    <w:autoSpaceDN w:val="0"/>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eastAsia="zh-CN"/>
                    </w:rPr>
                    <w:t>0.</w:t>
                  </w:r>
                  <w:r>
                    <w:rPr>
                      <w:rFonts w:hint="eastAsia" w:ascii="Times New Roman" w:hAnsi="Times New Roman" w:eastAsia="宋体" w:cs="Times New Roman"/>
                      <w:szCs w:val="21"/>
                      <w:highlight w:val="none"/>
                      <w:lang w:val="en-US" w:eastAsia="zh-CN"/>
                    </w:rPr>
                    <w:t>77</w:t>
                  </w:r>
                </w:p>
              </w:tc>
            </w:tr>
          </w:tbl>
          <w:p w14:paraId="3F3F2422">
            <w:pPr>
              <w:spacing w:line="360" w:lineRule="auto"/>
              <w:ind w:firstLine="480" w:firstLineChars="200"/>
              <w:textAlignment w:val="baseline"/>
              <w:rPr>
                <w:rFonts w:hint="default" w:ascii="Times New Roman" w:hAnsi="Times New Roman" w:cs="Times New Roman"/>
                <w:bCs/>
                <w:sz w:val="24"/>
                <w:highlight w:val="none"/>
              </w:rPr>
            </w:pPr>
          </w:p>
        </w:tc>
      </w:tr>
      <w:tr w14:paraId="58DB3C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88" w:hRule="atLeast"/>
          <w:jc w:val="center"/>
        </w:trPr>
        <w:tc>
          <w:tcPr>
            <w:tcW w:w="271" w:type="pct"/>
            <w:vAlign w:val="center"/>
          </w:tcPr>
          <w:p w14:paraId="39CC7895">
            <w:pPr>
              <w:pStyle w:val="42"/>
              <w:adjustRightInd w:val="0"/>
              <w:snapToGrid w:val="0"/>
              <w:spacing w:before="0" w:beforeAutospacing="0" w:after="0" w:afterAutospacing="0"/>
              <w:jc w:val="center"/>
              <w:rPr>
                <w:rFonts w:hint="default" w:ascii="Times New Roman" w:hAnsi="Times New Roman" w:eastAsia="黑体" w:cs="Times New Roman"/>
                <w:szCs w:val="24"/>
                <w:highlight w:val="none"/>
              </w:rPr>
            </w:pPr>
            <w:r>
              <w:rPr>
                <w:rFonts w:hint="default" w:ascii="Times New Roman" w:hAnsi="Times New Roman" w:eastAsia="黑体" w:cs="Times New Roman"/>
                <w:szCs w:val="24"/>
                <w:highlight w:val="none"/>
              </w:rPr>
              <w:t>工艺流程和产排污环节</w:t>
            </w:r>
          </w:p>
        </w:tc>
        <w:tc>
          <w:tcPr>
            <w:tcW w:w="4728" w:type="pct"/>
          </w:tcPr>
          <w:p w14:paraId="743AB27C">
            <w:pPr>
              <w:pStyle w:val="267"/>
              <w:spacing w:before="39" w:line="360" w:lineRule="auto"/>
              <w:ind w:left="117" w:firstLine="462" w:firstLineChars="200"/>
              <w:rPr>
                <w:rFonts w:hint="default" w:ascii="Times New Roman" w:hAnsi="Times New Roman" w:cs="Times New Roman"/>
                <w:sz w:val="24"/>
                <w:szCs w:val="24"/>
                <w:highlight w:val="none"/>
                <w:lang w:eastAsia="zh-CN"/>
              </w:rPr>
            </w:pPr>
            <w:r>
              <w:rPr>
                <w:rFonts w:hint="default" w:ascii="Times New Roman" w:hAnsi="Times New Roman" w:cs="Times New Roman"/>
                <w:b/>
                <w:bCs/>
                <w:spacing w:val="-5"/>
                <w:sz w:val="24"/>
                <w:szCs w:val="24"/>
                <w:highlight w:val="none"/>
                <w:lang w:eastAsia="zh-CN"/>
              </w:rPr>
              <w:t>一、施工期</w:t>
            </w:r>
          </w:p>
          <w:p w14:paraId="0ADE2E65">
            <w:pPr>
              <w:widowControl/>
              <w:kinsoku w:val="0"/>
              <w:autoSpaceDE w:val="0"/>
              <w:autoSpaceDN w:val="0"/>
              <w:adjustRightInd w:val="0"/>
              <w:snapToGrid w:val="0"/>
              <w:spacing w:line="360" w:lineRule="auto"/>
              <w:ind w:firstLine="458" w:firstLineChars="200"/>
              <w:textAlignment w:val="baseline"/>
              <w:rPr>
                <w:rFonts w:hint="default" w:ascii="Times New Roman" w:hAnsi="Times New Roman" w:cs="Times New Roman"/>
                <w:b/>
                <w:bCs/>
                <w:snapToGrid w:val="0"/>
                <w:spacing w:val="-6"/>
                <w:kern w:val="0"/>
                <w:sz w:val="24"/>
                <w:highlight w:val="none"/>
              </w:rPr>
            </w:pPr>
            <w:r>
              <w:rPr>
                <w:rFonts w:hint="default" w:ascii="Times New Roman" w:hAnsi="Times New Roman" w:cs="Times New Roman"/>
                <w:b/>
                <w:bCs/>
                <w:snapToGrid w:val="0"/>
                <w:spacing w:val="-6"/>
                <w:kern w:val="0"/>
                <w:sz w:val="24"/>
                <w:highlight w:val="none"/>
              </w:rPr>
              <w:t>1、施工期工艺流程</w:t>
            </w:r>
          </w:p>
          <w:p w14:paraId="08A6892C">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snapToGrid w:val="0"/>
                <w:spacing w:val="-6"/>
                <w:kern w:val="0"/>
                <w:sz w:val="24"/>
                <w:highlight w:val="none"/>
              </w:rPr>
            </w:pPr>
            <w:r>
              <w:rPr>
                <w:rFonts w:hint="default" w:ascii="Times New Roman" w:hAnsi="Times New Roman" w:eastAsia="Times New Roman" w:cs="Times New Roman"/>
                <w:snapToGrid w:val="0"/>
                <w:spacing w:val="-6"/>
                <w:kern w:val="0"/>
                <w:sz w:val="24"/>
                <w:highlight w:val="none"/>
              </w:rPr>
              <w:t>本项目施工期主要为车间、罐区的建设和设备安装。</w:t>
            </w:r>
          </w:p>
          <w:p w14:paraId="77E92476">
            <w:pPr>
              <w:pStyle w:val="267"/>
              <w:widowControl/>
              <w:kinsoku w:val="0"/>
              <w:autoSpaceDE w:val="0"/>
              <w:autoSpaceDN w:val="0"/>
              <w:adjustRightInd w:val="0"/>
              <w:snapToGrid w:val="0"/>
              <w:jc w:val="center"/>
              <w:textAlignment w:val="baseline"/>
              <w:rPr>
                <w:rFonts w:hint="default" w:ascii="Times New Roman" w:hAnsi="Times New Roman" w:cs="Times New Roman"/>
                <w:highlight w:val="none"/>
                <w:lang w:eastAsia="zh-CN"/>
              </w:rPr>
            </w:pPr>
            <w:r>
              <w:rPr>
                <w:rFonts w:hint="default" w:ascii="Times New Roman" w:hAnsi="Times New Roman" w:cs="Times New Roman"/>
                <w:color w:val="000000"/>
                <w:highlight w:val="none"/>
              </w:rPr>
              <w:object>
                <v:shape id="_x0000_i1026" o:spt="75" type="#_x0000_t75" style="height:161.7pt;width:348.1pt;" o:ole="t" filled="f" o:preferrelative="t" stroked="f" coordsize="21600,21600">
                  <v:path/>
                  <v:fill on="f" focussize="0,0"/>
                  <v:stroke on="f" joinstyle="miter"/>
                  <v:imagedata r:id="rId19" o:title=""/>
                  <o:lock v:ext="edit" aspectratio="f"/>
                  <w10:wrap type="none"/>
                  <w10:anchorlock/>
                </v:shape>
                <o:OLEObject Type="Embed" ProgID="Visio.Drawing.15" ShapeID="_x0000_i1026" DrawAspect="Content" ObjectID="_1468075726" r:id="rId18">
                  <o:LockedField>false</o:LockedField>
                </o:OLEObject>
              </w:object>
            </w:r>
          </w:p>
          <w:p w14:paraId="4628CE02">
            <w:pPr>
              <w:widowControl/>
              <w:kinsoku w:val="0"/>
              <w:autoSpaceDE w:val="0"/>
              <w:autoSpaceDN w:val="0"/>
              <w:adjustRightInd w:val="0"/>
              <w:snapToGrid w:val="0"/>
              <w:spacing w:line="360" w:lineRule="auto"/>
              <w:ind w:firstLine="482" w:firstLineChars="200"/>
              <w:jc w:val="center"/>
              <w:textAlignment w:val="baseline"/>
              <w:rPr>
                <w:rFonts w:hint="default" w:ascii="Times New Roman" w:hAnsi="Times New Roman" w:cs="Times New Roman"/>
                <w:b/>
                <w:bCs/>
                <w:snapToGrid w:val="0"/>
                <w:kern w:val="0"/>
                <w:sz w:val="24"/>
                <w:highlight w:val="none"/>
              </w:rPr>
            </w:pPr>
            <w:r>
              <w:rPr>
                <w:rFonts w:hint="default" w:ascii="Times New Roman" w:hAnsi="Times New Roman" w:cs="Times New Roman"/>
                <w:b/>
                <w:bCs/>
                <w:snapToGrid w:val="0"/>
                <w:kern w:val="0"/>
                <w:sz w:val="24"/>
                <w:highlight w:val="none"/>
              </w:rPr>
              <w:t>图2-2  施工期工艺流程及产污环节示意图</w:t>
            </w:r>
          </w:p>
          <w:p w14:paraId="26740868">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b/>
                <w:bCs/>
                <w:snapToGrid w:val="0"/>
                <w:spacing w:val="-6"/>
                <w:kern w:val="0"/>
                <w:sz w:val="24"/>
                <w:highlight w:val="none"/>
              </w:rPr>
            </w:pPr>
            <w:r>
              <w:rPr>
                <w:rFonts w:hint="default" w:ascii="Times New Roman" w:hAnsi="Times New Roman" w:eastAsia="Times New Roman" w:cs="Times New Roman"/>
                <w:b/>
                <w:bCs/>
                <w:snapToGrid w:val="0"/>
                <w:spacing w:val="-6"/>
                <w:kern w:val="0"/>
                <w:sz w:val="24"/>
                <w:highlight w:val="none"/>
              </w:rPr>
              <w:t>2、主要产污环节</w:t>
            </w:r>
          </w:p>
          <w:p w14:paraId="4C7343EA">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snapToGrid w:val="0"/>
                <w:spacing w:val="-6"/>
                <w:kern w:val="0"/>
                <w:sz w:val="24"/>
                <w:highlight w:val="none"/>
              </w:rPr>
            </w:pPr>
            <w:r>
              <w:rPr>
                <w:rFonts w:hint="default" w:ascii="Times New Roman" w:hAnsi="Times New Roman" w:eastAsia="Times New Roman" w:cs="Times New Roman"/>
                <w:snapToGrid w:val="0"/>
                <w:spacing w:val="-6"/>
                <w:kern w:val="0"/>
                <w:sz w:val="24"/>
                <w:highlight w:val="none"/>
              </w:rPr>
              <w:t>（1）废气</w:t>
            </w:r>
          </w:p>
          <w:p w14:paraId="7D014271">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snapToGrid w:val="0"/>
                <w:spacing w:val="-6"/>
                <w:kern w:val="0"/>
                <w:sz w:val="24"/>
                <w:highlight w:val="none"/>
              </w:rPr>
            </w:pPr>
            <w:r>
              <w:rPr>
                <w:rFonts w:hint="default" w:ascii="Times New Roman" w:hAnsi="Times New Roman" w:eastAsia="Times New Roman" w:cs="Times New Roman"/>
                <w:snapToGrid w:val="0"/>
                <w:spacing w:val="-6"/>
                <w:kern w:val="0"/>
                <w:sz w:val="24"/>
                <w:highlight w:val="none"/>
              </w:rPr>
              <w:t>施工废气主要有施工及运输车辆行驶产生的扬尘，施工机械、运输车辆排放的废气以及焊接作业产生的焊接烟尘。</w:t>
            </w:r>
          </w:p>
          <w:p w14:paraId="345EF278">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snapToGrid w:val="0"/>
                <w:spacing w:val="-6"/>
                <w:kern w:val="0"/>
                <w:sz w:val="24"/>
                <w:highlight w:val="none"/>
              </w:rPr>
            </w:pPr>
            <w:r>
              <w:rPr>
                <w:rFonts w:hint="default" w:ascii="Times New Roman" w:hAnsi="Times New Roman" w:eastAsia="Times New Roman" w:cs="Times New Roman"/>
                <w:snapToGrid w:val="0"/>
                <w:spacing w:val="-6"/>
                <w:kern w:val="0"/>
                <w:sz w:val="24"/>
                <w:highlight w:val="none"/>
              </w:rPr>
              <w:t>（2）废水</w:t>
            </w:r>
          </w:p>
          <w:p w14:paraId="3988C487">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snapToGrid w:val="0"/>
                <w:spacing w:val="-6"/>
                <w:kern w:val="0"/>
                <w:sz w:val="24"/>
                <w:highlight w:val="none"/>
              </w:rPr>
            </w:pPr>
            <w:r>
              <w:rPr>
                <w:rFonts w:hint="default" w:ascii="Times New Roman" w:hAnsi="Times New Roman" w:eastAsia="Times New Roman" w:cs="Times New Roman"/>
                <w:snapToGrid w:val="0"/>
                <w:spacing w:val="-6"/>
                <w:kern w:val="0"/>
                <w:sz w:val="24"/>
                <w:highlight w:val="none"/>
              </w:rPr>
              <w:t>本项目施工期废水主要包括施工废水及施工人员的生活污水。</w:t>
            </w:r>
          </w:p>
          <w:p w14:paraId="4EE84E34">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snapToGrid w:val="0"/>
                <w:spacing w:val="-6"/>
                <w:kern w:val="0"/>
                <w:sz w:val="24"/>
                <w:highlight w:val="none"/>
              </w:rPr>
            </w:pPr>
            <w:r>
              <w:rPr>
                <w:rFonts w:hint="default" w:ascii="Times New Roman" w:hAnsi="Times New Roman" w:eastAsia="Times New Roman" w:cs="Times New Roman"/>
                <w:snapToGrid w:val="0"/>
                <w:spacing w:val="-6"/>
                <w:kern w:val="0"/>
                <w:sz w:val="24"/>
                <w:highlight w:val="none"/>
              </w:rPr>
              <w:t>（3）噪声</w:t>
            </w:r>
          </w:p>
          <w:p w14:paraId="410CEE97">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snapToGrid w:val="0"/>
                <w:spacing w:val="-6"/>
                <w:kern w:val="0"/>
                <w:sz w:val="24"/>
                <w:highlight w:val="none"/>
              </w:rPr>
            </w:pPr>
            <w:r>
              <w:rPr>
                <w:rFonts w:hint="default" w:ascii="Times New Roman" w:hAnsi="Times New Roman" w:eastAsia="Times New Roman" w:cs="Times New Roman"/>
                <w:snapToGrid w:val="0"/>
                <w:spacing w:val="-6"/>
                <w:kern w:val="0"/>
                <w:sz w:val="24"/>
                <w:highlight w:val="none"/>
              </w:rPr>
              <w:t>施工期噪声主要为施工机械及运输车辆及设备安装调试过</w:t>
            </w:r>
            <w:r>
              <w:rPr>
                <w:rFonts w:hint="default" w:ascii="Times New Roman" w:hAnsi="Times New Roman" w:cs="Times New Roman"/>
                <w:snapToGrid w:val="0"/>
                <w:spacing w:val="-6"/>
                <w:kern w:val="0"/>
                <w:sz w:val="24"/>
                <w:highlight w:val="none"/>
              </w:rPr>
              <w:t>程中</w:t>
            </w:r>
            <w:r>
              <w:rPr>
                <w:rFonts w:hint="default" w:ascii="Times New Roman" w:hAnsi="Times New Roman" w:eastAsia="Times New Roman" w:cs="Times New Roman"/>
                <w:snapToGrid w:val="0"/>
                <w:spacing w:val="-6"/>
                <w:kern w:val="0"/>
                <w:sz w:val="24"/>
                <w:highlight w:val="none"/>
              </w:rPr>
              <w:t>产生的噪声，噪声源强为85dB（A）～100dB（A）。</w:t>
            </w:r>
          </w:p>
          <w:p w14:paraId="2829FE8F">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snapToGrid w:val="0"/>
                <w:spacing w:val="-6"/>
                <w:kern w:val="0"/>
                <w:sz w:val="24"/>
                <w:highlight w:val="none"/>
              </w:rPr>
            </w:pPr>
            <w:r>
              <w:rPr>
                <w:rFonts w:hint="default" w:ascii="Times New Roman" w:hAnsi="Times New Roman" w:eastAsia="Times New Roman" w:cs="Times New Roman"/>
                <w:snapToGrid w:val="0"/>
                <w:spacing w:val="-6"/>
                <w:kern w:val="0"/>
                <w:sz w:val="24"/>
                <w:highlight w:val="none"/>
              </w:rPr>
              <w:t>（4）固废</w:t>
            </w:r>
          </w:p>
          <w:p w14:paraId="6E177668">
            <w:pPr>
              <w:widowControl/>
              <w:kinsoku w:val="0"/>
              <w:autoSpaceDE w:val="0"/>
              <w:autoSpaceDN w:val="0"/>
              <w:adjustRightInd w:val="0"/>
              <w:snapToGrid w:val="0"/>
              <w:spacing w:line="360" w:lineRule="auto"/>
              <w:ind w:firstLine="456" w:firstLineChars="200"/>
              <w:textAlignment w:val="baseline"/>
              <w:rPr>
                <w:rFonts w:hint="default" w:ascii="Times New Roman" w:hAnsi="Times New Roman" w:eastAsia="Times New Roman" w:cs="Times New Roman"/>
                <w:snapToGrid w:val="0"/>
                <w:spacing w:val="-6"/>
                <w:kern w:val="0"/>
                <w:sz w:val="24"/>
                <w:highlight w:val="none"/>
              </w:rPr>
            </w:pPr>
            <w:r>
              <w:rPr>
                <w:rFonts w:hint="default" w:ascii="Times New Roman" w:hAnsi="Times New Roman" w:eastAsia="Times New Roman" w:cs="Times New Roman"/>
                <w:snapToGrid w:val="0"/>
                <w:spacing w:val="-6"/>
                <w:kern w:val="0"/>
                <w:sz w:val="24"/>
                <w:highlight w:val="none"/>
              </w:rPr>
              <w:t>施工期产生的固体废物主要为建筑垃圾、施工废料、多余土石方及生活垃圾。</w:t>
            </w:r>
          </w:p>
          <w:p w14:paraId="15267868">
            <w:pPr>
              <w:pStyle w:val="267"/>
              <w:spacing w:before="39" w:line="360" w:lineRule="auto"/>
              <w:ind w:left="117" w:firstLine="462" w:firstLineChars="200"/>
              <w:rPr>
                <w:rFonts w:hint="default" w:ascii="Times New Roman" w:hAnsi="Times New Roman" w:cs="Times New Roman"/>
                <w:b/>
                <w:bCs/>
                <w:spacing w:val="-5"/>
                <w:sz w:val="24"/>
                <w:szCs w:val="24"/>
                <w:highlight w:val="none"/>
                <w:lang w:eastAsia="zh-CN"/>
              </w:rPr>
            </w:pPr>
            <w:r>
              <w:rPr>
                <w:rFonts w:hint="default" w:ascii="Times New Roman" w:hAnsi="Times New Roman" w:cs="Times New Roman"/>
                <w:b/>
                <w:bCs/>
                <w:spacing w:val="-5"/>
                <w:sz w:val="24"/>
                <w:szCs w:val="24"/>
                <w:highlight w:val="none"/>
                <w:lang w:eastAsia="zh-CN"/>
              </w:rPr>
              <w:t>二、运营期</w:t>
            </w:r>
          </w:p>
          <w:p w14:paraId="7FE5F4BC">
            <w:pPr>
              <w:pStyle w:val="267"/>
              <w:spacing w:before="39" w:line="360" w:lineRule="auto"/>
              <w:ind w:left="117" w:firstLine="462" w:firstLineChars="200"/>
              <w:rPr>
                <w:rFonts w:hint="default" w:ascii="Times New Roman" w:hAnsi="Times New Roman" w:cs="Times New Roman"/>
                <w:b/>
                <w:bCs/>
                <w:spacing w:val="-5"/>
                <w:sz w:val="24"/>
                <w:szCs w:val="24"/>
                <w:highlight w:val="none"/>
                <w:lang w:eastAsia="zh-CN"/>
              </w:rPr>
            </w:pPr>
            <w:r>
              <w:rPr>
                <w:rFonts w:hint="default" w:ascii="Times New Roman" w:hAnsi="Times New Roman" w:cs="Times New Roman"/>
                <w:b/>
                <w:bCs/>
                <w:spacing w:val="-5"/>
                <w:sz w:val="24"/>
                <w:szCs w:val="24"/>
                <w:highlight w:val="none"/>
                <w:lang w:eastAsia="zh-CN"/>
              </w:rPr>
              <w:t>（一）、醋酸钠及复合醋酸钠脱氮系列助剂生产工艺（批次生产）</w:t>
            </w:r>
          </w:p>
          <w:p w14:paraId="33EAD106">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工艺流程说明如下：</w:t>
            </w:r>
          </w:p>
          <w:p w14:paraId="5261AF6A">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该产品是一个系列产品，根据配比的不同生产不同型号的产品，所依托的设备和生产线一致。</w:t>
            </w:r>
          </w:p>
          <w:p w14:paraId="0893665B">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使用输料泵将醋酸钠溶液打入复合调配罐内，再按照比例加入定量的甲酸、乙酸、丙酸，通过循环泵循环打料进行物料的混合均匀调配，该操作在常温常压下进行，（所添加物料均为酸类，乙酸钠为无机盐，各物料之间不会发生化学反应）待物料混合均匀后，再向复合调配罐内投加定量的活性蛋白酶、脱氮活性菌种和水进行调配，待调配完成后，根据订单需要的规格要求操作人员向复合调配罐中投加定量的脱氮活性酶、脱磷活性菌种、活性耐盐菌种得到醋酸钠及复合醋酸钠脱氮助剂产品，检验合格后（符合《废（污）水处理用复合碳源》（HG/T5960-2021）标准要求），产品经转料泵转入分装车间装桶或者直接由复合调配罐装槽车运送。</w:t>
            </w:r>
          </w:p>
          <w:p w14:paraId="19CA534E">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注：《废（污）水处理用复合碳源》（HG/T5960-2021）标准里面规定的复合碳源闪点大于93℃，金属腐蚀率≤6.25mm/a，不属于危险化学品。</w:t>
            </w:r>
          </w:p>
          <w:p w14:paraId="01EA8B31">
            <w:pPr>
              <w:pStyle w:val="267"/>
              <w:spacing w:before="39" w:line="360" w:lineRule="auto"/>
              <w:ind w:left="117" w:firstLine="42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7" o:spt="75" type="#_x0000_t75" style="height:179.35pt;width:357.65pt;" o:ole="t" filled="f" o:preferrelative="t" stroked="f" coordsize="21600,21600">
                  <v:path/>
                  <v:fill on="f" focussize="0,0"/>
                  <v:stroke on="f" joinstyle="miter"/>
                  <v:imagedata r:id="rId21" o:title=""/>
                  <o:lock v:ext="edit" aspectratio="t"/>
                  <w10:wrap type="none"/>
                  <w10:anchorlock/>
                </v:shape>
                <o:OLEObject Type="Embed" ProgID="Visio.Drawing.15" ShapeID="_x0000_i1027" DrawAspect="Content" ObjectID="_1468075727" r:id="rId20">
                  <o:LockedField>false</o:LockedField>
                </o:OLEObject>
              </w:object>
            </w:r>
          </w:p>
          <w:p w14:paraId="1DEA7E97">
            <w:pPr>
              <w:pStyle w:val="267"/>
              <w:spacing w:before="39" w:line="360" w:lineRule="auto"/>
              <w:jc w:val="center"/>
              <w:rPr>
                <w:rFonts w:hint="default" w:ascii="Times New Roman" w:hAnsi="Times New Roman" w:cs="Times New Roman"/>
                <w:b/>
                <w:bCs/>
                <w:sz w:val="24"/>
                <w:highlight w:val="none"/>
                <w:lang w:eastAsia="zh-CN"/>
              </w:rPr>
            </w:pPr>
            <w:r>
              <w:rPr>
                <w:rFonts w:hint="default" w:ascii="Times New Roman" w:hAnsi="Times New Roman" w:cs="Times New Roman"/>
                <w:b/>
                <w:bCs/>
                <w:sz w:val="24"/>
                <w:highlight w:val="none"/>
                <w:lang w:eastAsia="zh-CN"/>
              </w:rPr>
              <w:t xml:space="preserve">图2-3  </w:t>
            </w:r>
            <w:r>
              <w:rPr>
                <w:rFonts w:hint="default" w:ascii="Times New Roman" w:hAnsi="Times New Roman" w:cs="Times New Roman"/>
                <w:b/>
                <w:bCs/>
                <w:spacing w:val="-5"/>
                <w:sz w:val="24"/>
                <w:szCs w:val="24"/>
                <w:highlight w:val="none"/>
                <w:lang w:eastAsia="zh-CN"/>
              </w:rPr>
              <w:t>醋酸钠及复合醋酸钠脱氮系列助剂</w:t>
            </w:r>
            <w:r>
              <w:rPr>
                <w:rFonts w:hint="default" w:ascii="Times New Roman" w:hAnsi="Times New Roman" w:cs="Times New Roman"/>
                <w:b/>
                <w:bCs/>
                <w:sz w:val="24"/>
                <w:highlight w:val="none"/>
                <w:lang w:eastAsia="zh-CN"/>
              </w:rPr>
              <w:t>生产工艺流程图</w:t>
            </w:r>
          </w:p>
          <w:p w14:paraId="48072BA4">
            <w:pPr>
              <w:pStyle w:val="267"/>
              <w:spacing w:before="39" w:line="360" w:lineRule="auto"/>
              <w:ind w:left="117" w:firstLine="462" w:firstLineChars="200"/>
              <w:rPr>
                <w:rFonts w:hint="default" w:ascii="Times New Roman" w:hAnsi="Times New Roman" w:cs="Times New Roman"/>
                <w:b/>
                <w:bCs/>
                <w:spacing w:val="-5"/>
                <w:sz w:val="24"/>
                <w:szCs w:val="24"/>
                <w:highlight w:val="none"/>
                <w:lang w:eastAsia="zh-CN"/>
              </w:rPr>
            </w:pPr>
            <w:r>
              <w:rPr>
                <w:rFonts w:hint="default" w:ascii="Times New Roman" w:hAnsi="Times New Roman" w:cs="Times New Roman"/>
                <w:b/>
                <w:bCs/>
                <w:spacing w:val="-5"/>
                <w:sz w:val="24"/>
                <w:szCs w:val="24"/>
                <w:highlight w:val="none"/>
                <w:lang w:eastAsia="zh-CN"/>
              </w:rPr>
              <w:t>（二）、葡萄糖及葡萄糖类脱氮系列助剂生产工艺（批次生产）</w:t>
            </w:r>
          </w:p>
          <w:p w14:paraId="562219AE">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工艺流程说明如下：</w:t>
            </w:r>
          </w:p>
          <w:p w14:paraId="753FFFA6">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该产品是一个系列产品，根据配比的不同生产不同型号的产品，所依托的设备和生产线一致。</w:t>
            </w:r>
          </w:p>
          <w:p w14:paraId="333F8289">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使用输料泵将30%的葡萄糖溶液，打入复合调配罐内，再按照比例加入定量的甲酸、乙酸、丙酸，通过循环泵循环打料进行物料的混合均匀调配，该操作在常温常压下进行，（所添加物料均为酸类，各物料之间及与葡萄糖均不会发生化学反应）待物料混合均匀后，再向复合调配罐内投加定量的活性蛋白酶、脱氮活性菌种和水进行调配，待调配完成后，根据订单需要的规格要求操作人员向复合调配罐中投加定量的脱氮活性酶、脱磷活性菌种、活性耐盐菌种得到葡萄糖及葡萄糖类脱氮助剂产品，检验合格后（符合《废（污）水处理用复合碳源》（HG/T5960-2021）标准要求），产品经转料泵转入分装车间装桶或者直接由复合调配罐装槽车运送。</w:t>
            </w:r>
          </w:p>
          <w:p w14:paraId="267F85BB">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注：《废（污）水处理用复合碳源》（HG/T5960-2021）标准里面规定的复合碳源闪点大于93℃，金属腐蚀率≤6.25mm/a，不属于危险化学品。</w:t>
            </w:r>
          </w:p>
          <w:p w14:paraId="053A271C">
            <w:pPr>
              <w:pStyle w:val="267"/>
              <w:spacing w:before="39" w:line="360" w:lineRule="auto"/>
              <w:ind w:left="117" w:firstLine="42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8" o:spt="75" type="#_x0000_t75" style="height:179.35pt;width:357.65pt;" o:ole="t" filled="f" o:preferrelative="t" stroked="f" coordsize="21600,21600">
                  <v:path/>
                  <v:fill on="f" focussize="0,0"/>
                  <v:stroke on="f" joinstyle="miter"/>
                  <v:imagedata r:id="rId23" o:title=""/>
                  <o:lock v:ext="edit" aspectratio="t"/>
                  <w10:wrap type="none"/>
                  <w10:anchorlock/>
                </v:shape>
                <o:OLEObject Type="Embed" ProgID="Visio.Drawing.15" ShapeID="_x0000_i1028" DrawAspect="Content" ObjectID="_1468075728" r:id="rId22">
                  <o:LockedField>false</o:LockedField>
                </o:OLEObject>
              </w:object>
            </w:r>
          </w:p>
          <w:p w14:paraId="22FB1E49">
            <w:pPr>
              <w:pStyle w:val="267"/>
              <w:spacing w:before="39" w:line="360" w:lineRule="auto"/>
              <w:jc w:val="center"/>
              <w:rPr>
                <w:rFonts w:hint="default" w:ascii="Times New Roman" w:hAnsi="Times New Roman" w:cs="Times New Roman"/>
                <w:b/>
                <w:bCs/>
                <w:sz w:val="24"/>
                <w:highlight w:val="none"/>
                <w:lang w:eastAsia="zh-CN"/>
              </w:rPr>
            </w:pPr>
            <w:r>
              <w:rPr>
                <w:rFonts w:hint="default" w:ascii="Times New Roman" w:hAnsi="Times New Roman" w:cs="Times New Roman"/>
                <w:b/>
                <w:bCs/>
                <w:sz w:val="24"/>
                <w:highlight w:val="none"/>
                <w:lang w:eastAsia="zh-CN"/>
              </w:rPr>
              <w:t xml:space="preserve">图2-3  </w:t>
            </w:r>
            <w:r>
              <w:rPr>
                <w:rFonts w:hint="default" w:ascii="Times New Roman" w:hAnsi="Times New Roman" w:cs="Times New Roman"/>
                <w:b/>
                <w:bCs/>
                <w:spacing w:val="-5"/>
                <w:sz w:val="24"/>
                <w:szCs w:val="24"/>
                <w:highlight w:val="none"/>
                <w:lang w:eastAsia="zh-CN"/>
              </w:rPr>
              <w:t>葡萄糖及葡萄糖类脱氮系列助剂</w:t>
            </w:r>
            <w:r>
              <w:rPr>
                <w:rFonts w:hint="default" w:ascii="Times New Roman" w:hAnsi="Times New Roman" w:cs="Times New Roman"/>
                <w:b/>
                <w:bCs/>
                <w:sz w:val="24"/>
                <w:highlight w:val="none"/>
                <w:lang w:eastAsia="zh-CN"/>
              </w:rPr>
              <w:t>生产工艺流程图</w:t>
            </w:r>
          </w:p>
          <w:p w14:paraId="16C5AA71">
            <w:pPr>
              <w:pStyle w:val="267"/>
              <w:spacing w:before="39" w:line="360" w:lineRule="auto"/>
              <w:ind w:left="117" w:firstLine="462" w:firstLineChars="200"/>
              <w:rPr>
                <w:rFonts w:hint="default" w:ascii="Times New Roman" w:hAnsi="Times New Roman" w:cs="Times New Roman"/>
                <w:b/>
                <w:bCs/>
                <w:spacing w:val="-5"/>
                <w:sz w:val="24"/>
                <w:szCs w:val="24"/>
                <w:highlight w:val="none"/>
                <w:lang w:eastAsia="zh-CN"/>
              </w:rPr>
            </w:pPr>
            <w:r>
              <w:rPr>
                <w:rFonts w:hint="default" w:ascii="Times New Roman" w:hAnsi="Times New Roman" w:cs="Times New Roman"/>
                <w:b/>
                <w:bCs/>
                <w:spacing w:val="-5"/>
                <w:sz w:val="24"/>
                <w:szCs w:val="24"/>
                <w:highlight w:val="none"/>
                <w:lang w:eastAsia="zh-CN"/>
              </w:rPr>
              <w:t>（三）、醇类复合碳源系列助剂生产工艺（批次生产）</w:t>
            </w:r>
          </w:p>
          <w:p w14:paraId="38287550">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该产品是一个系列产品，根据配比的不同生产不同型号的产品，所依托的设备和生产线一致。</w:t>
            </w:r>
          </w:p>
          <w:p w14:paraId="032943C0">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使用输料泵将醋酸钠溶液（或葡萄糖溶液）打入复合调配罐内，再按照比例加入定量的甲醇、乙醇、丙二醇、丙三醇、正丁醇、异丁醇、丁二醇、正己烷、水进行混合调配，通过循环泵打循环进行物料的混合均匀调配，该操作在常温常压下进行，（所添加物料均为醇类，各物料之间及与乙酸钠或葡萄糖均不会发生化学反应）待物料混合均匀后，再向复合调配罐内投加定量的活性蛋白酶、脱氮活性菌种和水进行调配，待调配完成后，根据订单需要的规格要求操作人员向复合调配罐中投加定量的脱氮活性酶、脱磷活性菌种、活性耐盐菌种得到醇类复合碳源助剂产品，检验合格后（符合《废（污）水处理用复合碳源》（HG/T5960-2021）标准要求），产品经转料泵转入分装车间装桶或者直接由复合调配罐装槽车运送。</w:t>
            </w:r>
          </w:p>
          <w:p w14:paraId="6118CD60">
            <w:pPr>
              <w:spacing w:line="360" w:lineRule="auto"/>
              <w:ind w:firstLine="480" w:firstLineChars="200"/>
              <w:rPr>
                <w:rFonts w:hint="default" w:ascii="Times New Roman" w:hAnsi="Times New Roman" w:cs="Times New Roman"/>
                <w:kern w:val="0"/>
                <w:sz w:val="24"/>
                <w:szCs w:val="22"/>
                <w:highlight w:val="none"/>
              </w:rPr>
            </w:pPr>
            <w:r>
              <w:rPr>
                <w:rFonts w:hint="default" w:ascii="Times New Roman" w:hAnsi="Times New Roman" w:cs="Times New Roman"/>
                <w:kern w:val="0"/>
                <w:sz w:val="24"/>
                <w:szCs w:val="22"/>
                <w:highlight w:val="none"/>
              </w:rPr>
              <w:t>注：《废（污）水处理用复合碳源》（HG/T5960-2021）标准里面规定的复合碳源闪点大于93℃，金属腐蚀率≤6.25mm/a，不属于危险化学品。</w:t>
            </w:r>
          </w:p>
          <w:p w14:paraId="0F8BD7AA">
            <w:pPr>
              <w:spacing w:line="360" w:lineRule="auto"/>
              <w:ind w:firstLine="432"/>
              <w:rPr>
                <w:rFonts w:hint="default" w:ascii="Times New Roman" w:hAnsi="Times New Roman" w:cs="Times New Roman"/>
                <w:spacing w:val="-6"/>
                <w:kern w:val="0"/>
                <w:sz w:val="24"/>
                <w:szCs w:val="22"/>
                <w:highlight w:val="none"/>
              </w:rPr>
            </w:pPr>
            <w:r>
              <w:rPr>
                <w:rFonts w:hint="default" w:ascii="Times New Roman" w:hAnsi="Times New Roman" w:cs="Times New Roman"/>
                <w:spacing w:val="-6"/>
                <w:kern w:val="0"/>
                <w:sz w:val="24"/>
                <w:szCs w:val="22"/>
                <w:highlight w:val="none"/>
              </w:rPr>
              <w:t>工艺流程图如下所示：</w:t>
            </w:r>
          </w:p>
          <w:p w14:paraId="02DD3B93">
            <w:pPr>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9" o:spt="75" type="#_x0000_t75" style="height:220.7pt;width:357.65pt;" o:ole="t" filled="f" o:preferrelative="t" stroked="f" coordsize="21600,21600">
                  <v:path/>
                  <v:fill on="f" focussize="0,0"/>
                  <v:stroke on="f" joinstyle="miter"/>
                  <v:imagedata r:id="rId25" o:title=""/>
                  <o:lock v:ext="edit" aspectratio="t"/>
                  <w10:wrap type="none"/>
                  <w10:anchorlock/>
                </v:shape>
                <o:OLEObject Type="Embed" ProgID="Visio.Drawing.15" ShapeID="_x0000_i1029" DrawAspect="Content" ObjectID="_1468075729" r:id="rId24">
                  <o:LockedField>false</o:LockedField>
                </o:OLEObject>
              </w:object>
            </w:r>
          </w:p>
          <w:p w14:paraId="7C432D52">
            <w:pPr>
              <w:spacing w:line="360" w:lineRule="auto"/>
              <w:jc w:val="center"/>
              <w:rPr>
                <w:rFonts w:hint="default" w:ascii="Times New Roman" w:hAnsi="Times New Roman" w:cs="Times New Roman"/>
                <w:highlight w:val="none"/>
              </w:rPr>
            </w:pPr>
            <w:r>
              <w:rPr>
                <w:rFonts w:hint="default" w:ascii="Times New Roman" w:hAnsi="Times New Roman" w:cs="Times New Roman"/>
                <w:b/>
                <w:bCs/>
                <w:sz w:val="24"/>
                <w:highlight w:val="none"/>
              </w:rPr>
              <w:t xml:space="preserve">图2-3  </w:t>
            </w:r>
            <w:r>
              <w:rPr>
                <w:rFonts w:hint="default" w:ascii="Times New Roman" w:hAnsi="Times New Roman" w:cs="Times New Roman"/>
                <w:b/>
                <w:bCs/>
                <w:spacing w:val="-5"/>
                <w:sz w:val="24"/>
                <w:highlight w:val="none"/>
              </w:rPr>
              <w:t>醇类复合碳源系列助剂</w:t>
            </w:r>
            <w:r>
              <w:rPr>
                <w:rFonts w:hint="default" w:ascii="Times New Roman" w:hAnsi="Times New Roman" w:cs="Times New Roman"/>
                <w:b/>
                <w:bCs/>
                <w:sz w:val="24"/>
                <w:highlight w:val="none"/>
              </w:rPr>
              <w:t>生产工艺流程图</w:t>
            </w:r>
          </w:p>
          <w:p w14:paraId="382EA877">
            <w:pPr>
              <w:spacing w:before="240"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（二）、项目主要污染工序及产污环节</w:t>
            </w:r>
          </w:p>
          <w:p w14:paraId="7101A994">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项目主要污染物产生环节如下：</w:t>
            </w:r>
          </w:p>
          <w:p w14:paraId="67D3967D">
            <w:pPr>
              <w:spacing w:line="360" w:lineRule="auto"/>
              <w:ind w:firstLine="482" w:firstLineChars="200"/>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表2-6  项目污染物产生环节</w:t>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871"/>
              <w:gridCol w:w="1712"/>
              <w:gridCol w:w="1995"/>
              <w:gridCol w:w="1081"/>
              <w:gridCol w:w="709"/>
              <w:gridCol w:w="1717"/>
            </w:tblGrid>
            <w:tr w14:paraId="1AB00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top w:val="single" w:color="auto" w:sz="4" w:space="0"/>
                    <w:left w:val="single" w:color="auto" w:sz="4" w:space="0"/>
                    <w:bottom w:val="single" w:color="auto" w:sz="4" w:space="0"/>
                    <w:right w:val="single" w:color="auto" w:sz="4" w:space="0"/>
                  </w:tcBorders>
                  <w:vAlign w:val="center"/>
                </w:tcPr>
                <w:p w14:paraId="3B411FD6">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产污环节</w:t>
                  </w:r>
                </w:p>
              </w:tc>
              <w:tc>
                <w:tcPr>
                  <w:tcW w:w="1712" w:type="dxa"/>
                  <w:tcBorders>
                    <w:top w:val="single" w:color="auto" w:sz="4" w:space="0"/>
                    <w:left w:val="single" w:color="auto" w:sz="4" w:space="0"/>
                    <w:bottom w:val="single" w:color="auto" w:sz="4" w:space="0"/>
                    <w:right w:val="single" w:color="auto" w:sz="4" w:space="0"/>
                  </w:tcBorders>
                  <w:vAlign w:val="center"/>
                </w:tcPr>
                <w:p w14:paraId="4C6F3A32">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污染物组成</w:t>
                  </w:r>
                </w:p>
              </w:tc>
              <w:tc>
                <w:tcPr>
                  <w:tcW w:w="1995" w:type="dxa"/>
                  <w:tcBorders>
                    <w:top w:val="single" w:color="auto" w:sz="4" w:space="0"/>
                    <w:left w:val="single" w:color="auto" w:sz="4" w:space="0"/>
                    <w:bottom w:val="single" w:color="auto" w:sz="4" w:space="0"/>
                    <w:right w:val="single" w:color="auto" w:sz="4" w:space="0"/>
                  </w:tcBorders>
                  <w:vAlign w:val="center"/>
                </w:tcPr>
                <w:p w14:paraId="621867C1">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治理措施</w:t>
                  </w:r>
                </w:p>
              </w:tc>
              <w:tc>
                <w:tcPr>
                  <w:tcW w:w="1081" w:type="dxa"/>
                  <w:tcBorders>
                    <w:top w:val="single" w:color="auto" w:sz="4" w:space="0"/>
                    <w:left w:val="single" w:color="auto" w:sz="4" w:space="0"/>
                    <w:bottom w:val="single" w:color="auto" w:sz="4" w:space="0"/>
                    <w:right w:val="single" w:color="auto" w:sz="4" w:space="0"/>
                  </w:tcBorders>
                  <w:vAlign w:val="center"/>
                </w:tcPr>
                <w:p w14:paraId="5D513DEA">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排放规律</w:t>
                  </w:r>
                </w:p>
              </w:tc>
              <w:tc>
                <w:tcPr>
                  <w:tcW w:w="709" w:type="dxa"/>
                  <w:tcBorders>
                    <w:top w:val="single" w:color="auto" w:sz="4" w:space="0"/>
                    <w:left w:val="single" w:color="auto" w:sz="4" w:space="0"/>
                    <w:bottom w:val="single" w:color="auto" w:sz="4" w:space="0"/>
                    <w:right w:val="single" w:color="auto" w:sz="4" w:space="0"/>
                  </w:tcBorders>
                  <w:vAlign w:val="center"/>
                </w:tcPr>
                <w:p w14:paraId="10C11BF1">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生产时间</w:t>
                  </w:r>
                </w:p>
              </w:tc>
              <w:tc>
                <w:tcPr>
                  <w:tcW w:w="1717" w:type="dxa"/>
                  <w:tcBorders>
                    <w:top w:val="single" w:color="auto" w:sz="4" w:space="0"/>
                    <w:left w:val="single" w:color="auto" w:sz="4" w:space="0"/>
                    <w:bottom w:val="single" w:color="auto" w:sz="4" w:space="0"/>
                    <w:right w:val="single" w:color="auto" w:sz="4" w:space="0"/>
                  </w:tcBorders>
                  <w:vAlign w:val="center"/>
                </w:tcPr>
                <w:p w14:paraId="5B59AF89">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排放方式</w:t>
                  </w:r>
                </w:p>
              </w:tc>
            </w:tr>
            <w:tr w14:paraId="086CA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086" w:type="dxa"/>
                  <w:gridSpan w:val="6"/>
                  <w:tcBorders>
                    <w:top w:val="single" w:color="auto" w:sz="4" w:space="0"/>
                    <w:left w:val="single" w:color="auto" w:sz="4" w:space="0"/>
                    <w:bottom w:val="single" w:color="auto" w:sz="4" w:space="0"/>
                    <w:right w:val="single" w:color="auto" w:sz="4" w:space="0"/>
                  </w:tcBorders>
                  <w:vAlign w:val="center"/>
                </w:tcPr>
                <w:p w14:paraId="6D80FCBC">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废气</w:t>
                  </w:r>
                </w:p>
              </w:tc>
            </w:tr>
            <w:tr w14:paraId="1A0E4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top w:val="single" w:color="auto" w:sz="4" w:space="0"/>
                    <w:left w:val="single" w:color="auto" w:sz="4" w:space="0"/>
                    <w:right w:val="single" w:color="auto" w:sz="4" w:space="0"/>
                  </w:tcBorders>
                  <w:vAlign w:val="center"/>
                </w:tcPr>
                <w:p w14:paraId="4C50EADF">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G1-1调配废气</w:t>
                  </w:r>
                </w:p>
              </w:tc>
              <w:tc>
                <w:tcPr>
                  <w:tcW w:w="1712" w:type="dxa"/>
                  <w:tcBorders>
                    <w:top w:val="single" w:color="auto" w:sz="4" w:space="0"/>
                    <w:left w:val="single" w:color="auto" w:sz="4" w:space="0"/>
                    <w:right w:val="single" w:color="auto" w:sz="4" w:space="0"/>
                  </w:tcBorders>
                  <w:vAlign w:val="center"/>
                </w:tcPr>
                <w:p w14:paraId="574F38FD">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VOCs</w:t>
                  </w:r>
                </w:p>
              </w:tc>
              <w:tc>
                <w:tcPr>
                  <w:tcW w:w="1995" w:type="dxa"/>
                  <w:vMerge w:val="restart"/>
                  <w:tcBorders>
                    <w:top w:val="single" w:color="auto" w:sz="4" w:space="0"/>
                    <w:left w:val="single" w:color="auto" w:sz="4" w:space="0"/>
                    <w:right w:val="single" w:color="auto" w:sz="4" w:space="0"/>
                  </w:tcBorders>
                  <w:vAlign w:val="center"/>
                </w:tcPr>
                <w:p w14:paraId="154A22CC">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碱喷淋</w:t>
                  </w:r>
                  <w:r>
                    <w:rPr>
                      <w:rFonts w:hint="default" w:ascii="Times New Roman" w:hAnsi="Times New Roman" w:cs="Times New Roman"/>
                      <w:color w:val="000000"/>
                      <w:highlight w:val="none"/>
                      <w:lang w:val="en-US"/>
                    </w:rPr>
                    <w:t>+</w:t>
                  </w:r>
                  <w:r>
                    <w:rPr>
                      <w:rFonts w:hint="eastAsia"/>
                      <w:lang w:val="en-US" w:eastAsia="zh-CN"/>
                    </w:rPr>
                    <w:t>除雾装置</w:t>
                  </w:r>
                  <w:r>
                    <w:rPr>
                      <w:rFonts w:hint="default" w:ascii="Times New Roman" w:hAnsi="Times New Roman" w:cs="Times New Roman"/>
                      <w:kern w:val="0"/>
                      <w:highlight w:val="none"/>
                    </w:rPr>
                    <w:t>+2级活性炭吸附</w:t>
                  </w:r>
                </w:p>
              </w:tc>
              <w:tc>
                <w:tcPr>
                  <w:tcW w:w="1081" w:type="dxa"/>
                  <w:tcBorders>
                    <w:top w:val="single" w:color="auto" w:sz="4" w:space="0"/>
                    <w:left w:val="single" w:color="auto" w:sz="4" w:space="0"/>
                    <w:bottom w:val="single" w:color="auto" w:sz="4" w:space="0"/>
                    <w:right w:val="single" w:color="auto" w:sz="4" w:space="0"/>
                  </w:tcBorders>
                  <w:vAlign w:val="center"/>
                </w:tcPr>
                <w:p w14:paraId="58259A44">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709" w:type="dxa"/>
                  <w:tcBorders>
                    <w:top w:val="single" w:color="auto" w:sz="4" w:space="0"/>
                    <w:left w:val="single" w:color="auto" w:sz="4" w:space="0"/>
                    <w:right w:val="single" w:color="auto" w:sz="4" w:space="0"/>
                  </w:tcBorders>
                  <w:vAlign w:val="center"/>
                </w:tcPr>
                <w:p w14:paraId="359BF859">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2400</w:t>
                  </w:r>
                </w:p>
              </w:tc>
              <w:tc>
                <w:tcPr>
                  <w:tcW w:w="1717" w:type="dxa"/>
                  <w:vMerge w:val="restart"/>
                  <w:tcBorders>
                    <w:top w:val="single" w:color="auto" w:sz="4" w:space="0"/>
                    <w:left w:val="single" w:color="auto" w:sz="4" w:space="0"/>
                    <w:right w:val="single" w:color="auto" w:sz="4" w:space="0"/>
                  </w:tcBorders>
                  <w:vAlign w:val="center"/>
                </w:tcPr>
                <w:p w14:paraId="3B933969">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P1</w:t>
                  </w:r>
                </w:p>
              </w:tc>
            </w:tr>
            <w:tr w14:paraId="565F7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top w:val="single" w:color="auto" w:sz="4" w:space="0"/>
                    <w:left w:val="single" w:color="auto" w:sz="4" w:space="0"/>
                    <w:right w:val="single" w:color="auto" w:sz="4" w:space="0"/>
                  </w:tcBorders>
                  <w:vAlign w:val="center"/>
                </w:tcPr>
                <w:p w14:paraId="316536F6">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G1-2灌装废气</w:t>
                  </w:r>
                </w:p>
              </w:tc>
              <w:tc>
                <w:tcPr>
                  <w:tcW w:w="1712" w:type="dxa"/>
                  <w:tcBorders>
                    <w:top w:val="single" w:color="auto" w:sz="4" w:space="0"/>
                    <w:left w:val="single" w:color="auto" w:sz="4" w:space="0"/>
                    <w:right w:val="single" w:color="auto" w:sz="4" w:space="0"/>
                  </w:tcBorders>
                  <w:vAlign w:val="center"/>
                </w:tcPr>
                <w:p w14:paraId="12FA4C8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VOCs</w:t>
                  </w:r>
                </w:p>
              </w:tc>
              <w:tc>
                <w:tcPr>
                  <w:tcW w:w="1995" w:type="dxa"/>
                  <w:vMerge w:val="continue"/>
                  <w:tcBorders>
                    <w:left w:val="single" w:color="auto" w:sz="4" w:space="0"/>
                    <w:right w:val="single" w:color="auto" w:sz="4" w:space="0"/>
                  </w:tcBorders>
                  <w:vAlign w:val="center"/>
                </w:tcPr>
                <w:p w14:paraId="275632EE">
                  <w:pPr>
                    <w:autoSpaceDE w:val="0"/>
                    <w:autoSpaceDN w:val="0"/>
                    <w:adjustRightInd w:val="0"/>
                    <w:jc w:val="center"/>
                    <w:rPr>
                      <w:rFonts w:hint="default" w:ascii="Times New Roman" w:hAnsi="Times New Roman" w:cs="Times New Roman"/>
                      <w:kern w:val="0"/>
                      <w:highlight w:val="none"/>
                    </w:rPr>
                  </w:pPr>
                </w:p>
              </w:tc>
              <w:tc>
                <w:tcPr>
                  <w:tcW w:w="1081" w:type="dxa"/>
                  <w:tcBorders>
                    <w:top w:val="single" w:color="auto" w:sz="4" w:space="0"/>
                    <w:left w:val="single" w:color="auto" w:sz="4" w:space="0"/>
                    <w:bottom w:val="single" w:color="auto" w:sz="4" w:space="0"/>
                    <w:right w:val="single" w:color="auto" w:sz="4" w:space="0"/>
                  </w:tcBorders>
                  <w:vAlign w:val="center"/>
                </w:tcPr>
                <w:p w14:paraId="30EC992C">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709" w:type="dxa"/>
                  <w:tcBorders>
                    <w:top w:val="single" w:color="auto" w:sz="4" w:space="0"/>
                    <w:left w:val="single" w:color="auto" w:sz="4" w:space="0"/>
                    <w:right w:val="single" w:color="auto" w:sz="4" w:space="0"/>
                  </w:tcBorders>
                  <w:vAlign w:val="center"/>
                </w:tcPr>
                <w:p w14:paraId="7FBCF61C">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600</w:t>
                  </w:r>
                </w:p>
              </w:tc>
              <w:tc>
                <w:tcPr>
                  <w:tcW w:w="1717" w:type="dxa"/>
                  <w:vMerge w:val="continue"/>
                  <w:tcBorders>
                    <w:left w:val="single" w:color="auto" w:sz="4" w:space="0"/>
                    <w:right w:val="single" w:color="auto" w:sz="4" w:space="0"/>
                  </w:tcBorders>
                  <w:vAlign w:val="center"/>
                </w:tcPr>
                <w:p w14:paraId="0F3A9B2B">
                  <w:pPr>
                    <w:autoSpaceDE w:val="0"/>
                    <w:autoSpaceDN w:val="0"/>
                    <w:adjustRightInd w:val="0"/>
                    <w:jc w:val="center"/>
                    <w:rPr>
                      <w:rFonts w:hint="default" w:ascii="Times New Roman" w:hAnsi="Times New Roman" w:cs="Times New Roman"/>
                      <w:kern w:val="0"/>
                      <w:highlight w:val="none"/>
                    </w:rPr>
                  </w:pPr>
                </w:p>
              </w:tc>
            </w:tr>
            <w:tr w14:paraId="3C618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top w:val="single" w:color="auto" w:sz="4" w:space="0"/>
                    <w:left w:val="single" w:color="auto" w:sz="4" w:space="0"/>
                    <w:right w:val="single" w:color="auto" w:sz="4" w:space="0"/>
                  </w:tcBorders>
                  <w:vAlign w:val="center"/>
                </w:tcPr>
                <w:p w14:paraId="26A53860">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G2-1调配废气</w:t>
                  </w:r>
                </w:p>
              </w:tc>
              <w:tc>
                <w:tcPr>
                  <w:tcW w:w="1712" w:type="dxa"/>
                  <w:tcBorders>
                    <w:top w:val="single" w:color="auto" w:sz="4" w:space="0"/>
                    <w:left w:val="single" w:color="auto" w:sz="4" w:space="0"/>
                    <w:right w:val="single" w:color="auto" w:sz="4" w:space="0"/>
                  </w:tcBorders>
                  <w:vAlign w:val="center"/>
                </w:tcPr>
                <w:p w14:paraId="2B709491">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VOCs</w:t>
                  </w:r>
                </w:p>
              </w:tc>
              <w:tc>
                <w:tcPr>
                  <w:tcW w:w="1995" w:type="dxa"/>
                  <w:vMerge w:val="continue"/>
                  <w:tcBorders>
                    <w:left w:val="single" w:color="auto" w:sz="4" w:space="0"/>
                    <w:right w:val="single" w:color="auto" w:sz="4" w:space="0"/>
                  </w:tcBorders>
                  <w:vAlign w:val="center"/>
                </w:tcPr>
                <w:p w14:paraId="1900426A">
                  <w:pPr>
                    <w:autoSpaceDE w:val="0"/>
                    <w:autoSpaceDN w:val="0"/>
                    <w:adjustRightInd w:val="0"/>
                    <w:jc w:val="center"/>
                    <w:rPr>
                      <w:rFonts w:hint="default" w:ascii="Times New Roman" w:hAnsi="Times New Roman" w:cs="Times New Roman"/>
                      <w:kern w:val="0"/>
                      <w:highlight w:val="none"/>
                    </w:rPr>
                  </w:pPr>
                </w:p>
              </w:tc>
              <w:tc>
                <w:tcPr>
                  <w:tcW w:w="1081" w:type="dxa"/>
                  <w:tcBorders>
                    <w:top w:val="single" w:color="auto" w:sz="4" w:space="0"/>
                    <w:left w:val="single" w:color="auto" w:sz="4" w:space="0"/>
                    <w:bottom w:val="single" w:color="auto" w:sz="4" w:space="0"/>
                    <w:right w:val="single" w:color="auto" w:sz="4" w:space="0"/>
                  </w:tcBorders>
                  <w:vAlign w:val="center"/>
                </w:tcPr>
                <w:p w14:paraId="3A0097C7">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709" w:type="dxa"/>
                  <w:tcBorders>
                    <w:top w:val="single" w:color="auto" w:sz="4" w:space="0"/>
                    <w:left w:val="single" w:color="auto" w:sz="4" w:space="0"/>
                    <w:right w:val="single" w:color="auto" w:sz="4" w:space="0"/>
                  </w:tcBorders>
                  <w:vAlign w:val="center"/>
                </w:tcPr>
                <w:p w14:paraId="43CB7AC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2400</w:t>
                  </w:r>
                </w:p>
              </w:tc>
              <w:tc>
                <w:tcPr>
                  <w:tcW w:w="1717" w:type="dxa"/>
                  <w:vMerge w:val="continue"/>
                  <w:tcBorders>
                    <w:left w:val="single" w:color="auto" w:sz="4" w:space="0"/>
                    <w:right w:val="single" w:color="auto" w:sz="4" w:space="0"/>
                  </w:tcBorders>
                  <w:vAlign w:val="center"/>
                </w:tcPr>
                <w:p w14:paraId="7031AA5C">
                  <w:pPr>
                    <w:autoSpaceDE w:val="0"/>
                    <w:autoSpaceDN w:val="0"/>
                    <w:adjustRightInd w:val="0"/>
                    <w:jc w:val="center"/>
                    <w:rPr>
                      <w:rFonts w:hint="default" w:ascii="Times New Roman" w:hAnsi="Times New Roman" w:cs="Times New Roman"/>
                      <w:kern w:val="0"/>
                      <w:highlight w:val="none"/>
                    </w:rPr>
                  </w:pPr>
                </w:p>
              </w:tc>
            </w:tr>
            <w:tr w14:paraId="3E06B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top w:val="single" w:color="auto" w:sz="4" w:space="0"/>
                    <w:left w:val="single" w:color="auto" w:sz="4" w:space="0"/>
                    <w:right w:val="single" w:color="auto" w:sz="4" w:space="0"/>
                  </w:tcBorders>
                  <w:vAlign w:val="center"/>
                </w:tcPr>
                <w:p w14:paraId="038FBDD0">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G2-2灌装废气</w:t>
                  </w:r>
                </w:p>
              </w:tc>
              <w:tc>
                <w:tcPr>
                  <w:tcW w:w="1712" w:type="dxa"/>
                  <w:tcBorders>
                    <w:top w:val="single" w:color="auto" w:sz="4" w:space="0"/>
                    <w:left w:val="single" w:color="auto" w:sz="4" w:space="0"/>
                    <w:right w:val="single" w:color="auto" w:sz="4" w:space="0"/>
                  </w:tcBorders>
                  <w:vAlign w:val="center"/>
                </w:tcPr>
                <w:p w14:paraId="3C717F92">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VOCs</w:t>
                  </w:r>
                </w:p>
              </w:tc>
              <w:tc>
                <w:tcPr>
                  <w:tcW w:w="1995" w:type="dxa"/>
                  <w:vMerge w:val="continue"/>
                  <w:tcBorders>
                    <w:left w:val="single" w:color="auto" w:sz="4" w:space="0"/>
                    <w:right w:val="single" w:color="auto" w:sz="4" w:space="0"/>
                  </w:tcBorders>
                  <w:vAlign w:val="center"/>
                </w:tcPr>
                <w:p w14:paraId="6937E7EB">
                  <w:pPr>
                    <w:autoSpaceDE w:val="0"/>
                    <w:autoSpaceDN w:val="0"/>
                    <w:adjustRightInd w:val="0"/>
                    <w:jc w:val="center"/>
                    <w:rPr>
                      <w:rFonts w:hint="default" w:ascii="Times New Roman" w:hAnsi="Times New Roman" w:cs="Times New Roman"/>
                      <w:kern w:val="0"/>
                      <w:highlight w:val="none"/>
                    </w:rPr>
                  </w:pPr>
                </w:p>
              </w:tc>
              <w:tc>
                <w:tcPr>
                  <w:tcW w:w="1081" w:type="dxa"/>
                  <w:tcBorders>
                    <w:top w:val="single" w:color="auto" w:sz="4" w:space="0"/>
                    <w:left w:val="single" w:color="auto" w:sz="4" w:space="0"/>
                    <w:bottom w:val="single" w:color="auto" w:sz="4" w:space="0"/>
                    <w:right w:val="single" w:color="auto" w:sz="4" w:space="0"/>
                  </w:tcBorders>
                  <w:vAlign w:val="center"/>
                </w:tcPr>
                <w:p w14:paraId="20C9011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709" w:type="dxa"/>
                  <w:tcBorders>
                    <w:top w:val="single" w:color="auto" w:sz="4" w:space="0"/>
                    <w:left w:val="single" w:color="auto" w:sz="4" w:space="0"/>
                    <w:right w:val="single" w:color="auto" w:sz="4" w:space="0"/>
                  </w:tcBorders>
                  <w:vAlign w:val="center"/>
                </w:tcPr>
                <w:p w14:paraId="5A3B4CE2">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600</w:t>
                  </w:r>
                </w:p>
              </w:tc>
              <w:tc>
                <w:tcPr>
                  <w:tcW w:w="1717" w:type="dxa"/>
                  <w:vMerge w:val="continue"/>
                  <w:tcBorders>
                    <w:left w:val="single" w:color="auto" w:sz="4" w:space="0"/>
                    <w:right w:val="single" w:color="auto" w:sz="4" w:space="0"/>
                  </w:tcBorders>
                  <w:vAlign w:val="center"/>
                </w:tcPr>
                <w:p w14:paraId="3001542B">
                  <w:pPr>
                    <w:autoSpaceDE w:val="0"/>
                    <w:autoSpaceDN w:val="0"/>
                    <w:adjustRightInd w:val="0"/>
                    <w:jc w:val="center"/>
                    <w:rPr>
                      <w:rFonts w:hint="default" w:ascii="Times New Roman" w:hAnsi="Times New Roman" w:cs="Times New Roman"/>
                      <w:kern w:val="0"/>
                      <w:highlight w:val="none"/>
                    </w:rPr>
                  </w:pPr>
                </w:p>
              </w:tc>
            </w:tr>
            <w:tr w14:paraId="52DA0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top w:val="single" w:color="auto" w:sz="4" w:space="0"/>
                    <w:left w:val="single" w:color="auto" w:sz="4" w:space="0"/>
                    <w:right w:val="single" w:color="auto" w:sz="4" w:space="0"/>
                  </w:tcBorders>
                  <w:vAlign w:val="center"/>
                </w:tcPr>
                <w:p w14:paraId="227A9FC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G3-1调配废气</w:t>
                  </w:r>
                </w:p>
              </w:tc>
              <w:tc>
                <w:tcPr>
                  <w:tcW w:w="1712" w:type="dxa"/>
                  <w:tcBorders>
                    <w:top w:val="single" w:color="auto" w:sz="4" w:space="0"/>
                    <w:left w:val="single" w:color="auto" w:sz="4" w:space="0"/>
                    <w:right w:val="single" w:color="auto" w:sz="4" w:space="0"/>
                  </w:tcBorders>
                  <w:vAlign w:val="center"/>
                </w:tcPr>
                <w:p w14:paraId="555017EA">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VOCs</w:t>
                  </w:r>
                </w:p>
              </w:tc>
              <w:tc>
                <w:tcPr>
                  <w:tcW w:w="1995" w:type="dxa"/>
                  <w:vMerge w:val="continue"/>
                  <w:tcBorders>
                    <w:left w:val="single" w:color="auto" w:sz="4" w:space="0"/>
                    <w:right w:val="single" w:color="auto" w:sz="4" w:space="0"/>
                  </w:tcBorders>
                  <w:vAlign w:val="center"/>
                </w:tcPr>
                <w:p w14:paraId="7CB2538E">
                  <w:pPr>
                    <w:autoSpaceDE w:val="0"/>
                    <w:autoSpaceDN w:val="0"/>
                    <w:adjustRightInd w:val="0"/>
                    <w:jc w:val="center"/>
                    <w:rPr>
                      <w:rFonts w:hint="default" w:ascii="Times New Roman" w:hAnsi="Times New Roman" w:cs="Times New Roman"/>
                      <w:kern w:val="0"/>
                      <w:highlight w:val="none"/>
                    </w:rPr>
                  </w:pPr>
                </w:p>
              </w:tc>
              <w:tc>
                <w:tcPr>
                  <w:tcW w:w="1081" w:type="dxa"/>
                  <w:tcBorders>
                    <w:top w:val="single" w:color="auto" w:sz="4" w:space="0"/>
                    <w:left w:val="single" w:color="auto" w:sz="4" w:space="0"/>
                    <w:bottom w:val="single" w:color="auto" w:sz="4" w:space="0"/>
                    <w:right w:val="single" w:color="auto" w:sz="4" w:space="0"/>
                  </w:tcBorders>
                  <w:vAlign w:val="center"/>
                </w:tcPr>
                <w:p w14:paraId="603C6FD6">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709" w:type="dxa"/>
                  <w:tcBorders>
                    <w:top w:val="single" w:color="auto" w:sz="4" w:space="0"/>
                    <w:left w:val="single" w:color="auto" w:sz="4" w:space="0"/>
                    <w:right w:val="single" w:color="auto" w:sz="4" w:space="0"/>
                  </w:tcBorders>
                  <w:vAlign w:val="center"/>
                </w:tcPr>
                <w:p w14:paraId="099B4B53">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2400</w:t>
                  </w:r>
                </w:p>
              </w:tc>
              <w:tc>
                <w:tcPr>
                  <w:tcW w:w="1717" w:type="dxa"/>
                  <w:vMerge w:val="continue"/>
                  <w:tcBorders>
                    <w:left w:val="single" w:color="auto" w:sz="4" w:space="0"/>
                    <w:right w:val="single" w:color="auto" w:sz="4" w:space="0"/>
                  </w:tcBorders>
                  <w:vAlign w:val="center"/>
                </w:tcPr>
                <w:p w14:paraId="25A555D1">
                  <w:pPr>
                    <w:autoSpaceDE w:val="0"/>
                    <w:autoSpaceDN w:val="0"/>
                    <w:adjustRightInd w:val="0"/>
                    <w:jc w:val="center"/>
                    <w:rPr>
                      <w:rFonts w:hint="default" w:ascii="Times New Roman" w:hAnsi="Times New Roman" w:cs="Times New Roman"/>
                      <w:kern w:val="0"/>
                      <w:highlight w:val="none"/>
                    </w:rPr>
                  </w:pPr>
                </w:p>
              </w:tc>
            </w:tr>
            <w:tr w14:paraId="29312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top w:val="single" w:color="auto" w:sz="4" w:space="0"/>
                    <w:left w:val="single" w:color="auto" w:sz="4" w:space="0"/>
                    <w:right w:val="single" w:color="auto" w:sz="4" w:space="0"/>
                  </w:tcBorders>
                  <w:vAlign w:val="center"/>
                </w:tcPr>
                <w:p w14:paraId="10961EFC">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G3-2灌装废气</w:t>
                  </w:r>
                </w:p>
              </w:tc>
              <w:tc>
                <w:tcPr>
                  <w:tcW w:w="1712" w:type="dxa"/>
                  <w:tcBorders>
                    <w:top w:val="single" w:color="auto" w:sz="4" w:space="0"/>
                    <w:left w:val="single" w:color="auto" w:sz="4" w:space="0"/>
                    <w:right w:val="single" w:color="auto" w:sz="4" w:space="0"/>
                  </w:tcBorders>
                  <w:vAlign w:val="center"/>
                </w:tcPr>
                <w:p w14:paraId="6A2F5E12">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VOCs</w:t>
                  </w:r>
                </w:p>
              </w:tc>
              <w:tc>
                <w:tcPr>
                  <w:tcW w:w="1995" w:type="dxa"/>
                  <w:vMerge w:val="continue"/>
                  <w:tcBorders>
                    <w:left w:val="single" w:color="auto" w:sz="4" w:space="0"/>
                    <w:right w:val="single" w:color="auto" w:sz="4" w:space="0"/>
                  </w:tcBorders>
                  <w:vAlign w:val="center"/>
                </w:tcPr>
                <w:p w14:paraId="3638BF0B">
                  <w:pPr>
                    <w:autoSpaceDE w:val="0"/>
                    <w:autoSpaceDN w:val="0"/>
                    <w:adjustRightInd w:val="0"/>
                    <w:jc w:val="center"/>
                    <w:rPr>
                      <w:rFonts w:hint="default" w:ascii="Times New Roman" w:hAnsi="Times New Roman" w:cs="Times New Roman"/>
                      <w:kern w:val="0"/>
                      <w:highlight w:val="none"/>
                    </w:rPr>
                  </w:pPr>
                </w:p>
              </w:tc>
              <w:tc>
                <w:tcPr>
                  <w:tcW w:w="1081" w:type="dxa"/>
                  <w:tcBorders>
                    <w:top w:val="single" w:color="auto" w:sz="4" w:space="0"/>
                    <w:left w:val="single" w:color="auto" w:sz="4" w:space="0"/>
                    <w:bottom w:val="single" w:color="auto" w:sz="4" w:space="0"/>
                    <w:right w:val="single" w:color="auto" w:sz="4" w:space="0"/>
                  </w:tcBorders>
                  <w:vAlign w:val="center"/>
                </w:tcPr>
                <w:p w14:paraId="3A05CF0E">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间歇</w:t>
                  </w:r>
                </w:p>
              </w:tc>
              <w:tc>
                <w:tcPr>
                  <w:tcW w:w="709" w:type="dxa"/>
                  <w:tcBorders>
                    <w:top w:val="single" w:color="auto" w:sz="4" w:space="0"/>
                    <w:left w:val="single" w:color="auto" w:sz="4" w:space="0"/>
                    <w:right w:val="single" w:color="auto" w:sz="4" w:space="0"/>
                  </w:tcBorders>
                  <w:vAlign w:val="center"/>
                </w:tcPr>
                <w:p w14:paraId="0BE51F8F">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600</w:t>
                  </w:r>
                </w:p>
              </w:tc>
              <w:tc>
                <w:tcPr>
                  <w:tcW w:w="1717" w:type="dxa"/>
                  <w:vMerge w:val="continue"/>
                  <w:tcBorders>
                    <w:left w:val="single" w:color="auto" w:sz="4" w:space="0"/>
                    <w:right w:val="single" w:color="auto" w:sz="4" w:space="0"/>
                  </w:tcBorders>
                  <w:vAlign w:val="center"/>
                </w:tcPr>
                <w:p w14:paraId="6FF871C2">
                  <w:pPr>
                    <w:autoSpaceDE w:val="0"/>
                    <w:autoSpaceDN w:val="0"/>
                    <w:adjustRightInd w:val="0"/>
                    <w:jc w:val="center"/>
                    <w:rPr>
                      <w:rFonts w:hint="default" w:ascii="Times New Roman" w:hAnsi="Times New Roman" w:cs="Times New Roman"/>
                      <w:kern w:val="0"/>
                      <w:highlight w:val="none"/>
                    </w:rPr>
                  </w:pPr>
                </w:p>
              </w:tc>
            </w:tr>
            <w:tr w14:paraId="41631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086" w:type="dxa"/>
                  <w:gridSpan w:val="6"/>
                  <w:tcBorders>
                    <w:left w:val="single" w:color="auto" w:sz="4" w:space="0"/>
                    <w:right w:val="single" w:color="auto" w:sz="4" w:space="0"/>
                  </w:tcBorders>
                  <w:vAlign w:val="center"/>
                </w:tcPr>
                <w:p w14:paraId="5D487FFE">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固废</w:t>
                  </w:r>
                </w:p>
              </w:tc>
            </w:tr>
            <w:tr w14:paraId="2C4B4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left w:val="single" w:color="auto" w:sz="4" w:space="0"/>
                    <w:right w:val="single" w:color="auto" w:sz="4" w:space="0"/>
                  </w:tcBorders>
                  <w:shd w:val="clear" w:color="auto" w:fill="auto"/>
                  <w:vAlign w:val="center"/>
                </w:tcPr>
                <w:p w14:paraId="127BE65F">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废活性炭</w:t>
                  </w:r>
                </w:p>
              </w:tc>
              <w:tc>
                <w:tcPr>
                  <w:tcW w:w="1712" w:type="dxa"/>
                  <w:tcBorders>
                    <w:top w:val="single" w:color="auto" w:sz="4" w:space="0"/>
                    <w:left w:val="single" w:color="auto" w:sz="4" w:space="0"/>
                    <w:bottom w:val="single" w:color="auto" w:sz="4" w:space="0"/>
                    <w:right w:val="single" w:color="auto" w:sz="4" w:space="0"/>
                  </w:tcBorders>
                  <w:shd w:val="clear" w:color="auto" w:fill="auto"/>
                  <w:vAlign w:val="center"/>
                </w:tcPr>
                <w:p w14:paraId="36417F43">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VOCs</w:t>
                  </w:r>
                </w:p>
              </w:tc>
              <w:tc>
                <w:tcPr>
                  <w:tcW w:w="1995" w:type="dxa"/>
                  <w:vMerge w:val="restart"/>
                  <w:tcBorders>
                    <w:left w:val="single" w:color="auto" w:sz="4" w:space="0"/>
                    <w:right w:val="single" w:color="auto" w:sz="4" w:space="0"/>
                  </w:tcBorders>
                  <w:shd w:val="clear" w:color="auto" w:fill="auto"/>
                  <w:vAlign w:val="center"/>
                </w:tcPr>
                <w:p w14:paraId="09BC0263">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收集后暂存危废暂存间</w:t>
                  </w:r>
                </w:p>
              </w:tc>
              <w:tc>
                <w:tcPr>
                  <w:tcW w:w="1081" w:type="dxa"/>
                  <w:tcBorders>
                    <w:top w:val="single" w:color="auto" w:sz="4" w:space="0"/>
                    <w:left w:val="single" w:color="auto" w:sz="4" w:space="0"/>
                    <w:right w:val="single" w:color="auto" w:sz="4" w:space="0"/>
                  </w:tcBorders>
                  <w:shd w:val="clear" w:color="auto" w:fill="auto"/>
                  <w:vAlign w:val="center"/>
                </w:tcPr>
                <w:p w14:paraId="0CB449AA">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间歇</w:t>
                  </w:r>
                </w:p>
              </w:tc>
              <w:tc>
                <w:tcPr>
                  <w:tcW w:w="2426" w:type="dxa"/>
                  <w:gridSpan w:val="2"/>
                  <w:vMerge w:val="restart"/>
                  <w:tcBorders>
                    <w:left w:val="single" w:color="auto" w:sz="4" w:space="0"/>
                    <w:right w:val="single" w:color="auto" w:sz="4" w:space="0"/>
                  </w:tcBorders>
                  <w:vAlign w:val="center"/>
                </w:tcPr>
                <w:p w14:paraId="7B7AACFC">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委托有资质单位处置</w:t>
                  </w:r>
                </w:p>
              </w:tc>
            </w:tr>
            <w:tr w14:paraId="79FE8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left w:val="single" w:color="auto" w:sz="4" w:space="0"/>
                    <w:right w:val="single" w:color="auto" w:sz="4" w:space="0"/>
                  </w:tcBorders>
                  <w:shd w:val="clear" w:color="auto" w:fill="auto"/>
                  <w:vAlign w:val="center"/>
                </w:tcPr>
                <w:p w14:paraId="5E43D5A3">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喷淋废水</w:t>
                  </w:r>
                </w:p>
              </w:tc>
              <w:tc>
                <w:tcPr>
                  <w:tcW w:w="1712" w:type="dxa"/>
                  <w:tcBorders>
                    <w:top w:val="single" w:color="auto" w:sz="4" w:space="0"/>
                    <w:left w:val="single" w:color="auto" w:sz="4" w:space="0"/>
                    <w:bottom w:val="single" w:color="auto" w:sz="4" w:space="0"/>
                    <w:right w:val="single" w:color="auto" w:sz="4" w:space="0"/>
                  </w:tcBorders>
                  <w:shd w:val="clear" w:color="auto" w:fill="auto"/>
                  <w:vAlign w:val="center"/>
                </w:tcPr>
                <w:p w14:paraId="6B67A893">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废碱液</w:t>
                  </w:r>
                </w:p>
              </w:tc>
              <w:tc>
                <w:tcPr>
                  <w:tcW w:w="1995" w:type="dxa"/>
                  <w:vMerge w:val="continue"/>
                  <w:tcBorders>
                    <w:left w:val="single" w:color="auto" w:sz="4" w:space="0"/>
                    <w:right w:val="single" w:color="auto" w:sz="4" w:space="0"/>
                  </w:tcBorders>
                  <w:shd w:val="clear" w:color="auto" w:fill="auto"/>
                  <w:vAlign w:val="center"/>
                </w:tcPr>
                <w:p w14:paraId="02BB11DB">
                  <w:pPr>
                    <w:autoSpaceDE w:val="0"/>
                    <w:autoSpaceDN w:val="0"/>
                    <w:adjustRightInd w:val="0"/>
                    <w:jc w:val="center"/>
                    <w:rPr>
                      <w:rFonts w:hint="default" w:ascii="Times New Roman" w:hAnsi="Times New Roman" w:cs="Times New Roman"/>
                      <w:kern w:val="0"/>
                      <w:highlight w:val="none"/>
                    </w:rPr>
                  </w:pPr>
                </w:p>
              </w:tc>
              <w:tc>
                <w:tcPr>
                  <w:tcW w:w="1081" w:type="dxa"/>
                  <w:tcBorders>
                    <w:top w:val="single" w:color="auto" w:sz="4" w:space="0"/>
                    <w:left w:val="single" w:color="auto" w:sz="4" w:space="0"/>
                    <w:right w:val="single" w:color="auto" w:sz="4" w:space="0"/>
                  </w:tcBorders>
                  <w:shd w:val="clear" w:color="auto" w:fill="auto"/>
                  <w:vAlign w:val="center"/>
                </w:tcPr>
                <w:p w14:paraId="5DA8BB2D">
                  <w:pPr>
                    <w:autoSpaceDE w:val="0"/>
                    <w:autoSpaceDN w:val="0"/>
                    <w:adjustRightInd w:val="0"/>
                    <w:jc w:val="center"/>
                    <w:rPr>
                      <w:rFonts w:hint="default" w:ascii="Times New Roman" w:hAnsi="Times New Roman" w:cs="Times New Roman"/>
                      <w:kern w:val="0"/>
                      <w:szCs w:val="21"/>
                      <w:highlight w:val="none"/>
                    </w:rPr>
                  </w:pPr>
                  <w:r>
                    <w:rPr>
                      <w:rFonts w:hint="default" w:ascii="Times New Roman" w:hAnsi="Times New Roman" w:cs="Times New Roman"/>
                      <w:kern w:val="0"/>
                      <w:highlight w:val="none"/>
                    </w:rPr>
                    <w:t>间歇</w:t>
                  </w:r>
                </w:p>
              </w:tc>
              <w:tc>
                <w:tcPr>
                  <w:tcW w:w="2426" w:type="dxa"/>
                  <w:gridSpan w:val="2"/>
                  <w:vMerge w:val="continue"/>
                  <w:tcBorders>
                    <w:left w:val="single" w:color="auto" w:sz="4" w:space="0"/>
                    <w:right w:val="single" w:color="auto" w:sz="4" w:space="0"/>
                  </w:tcBorders>
                  <w:vAlign w:val="center"/>
                </w:tcPr>
                <w:p w14:paraId="2D21852B">
                  <w:pPr>
                    <w:autoSpaceDE w:val="0"/>
                    <w:autoSpaceDN w:val="0"/>
                    <w:adjustRightInd w:val="0"/>
                    <w:jc w:val="center"/>
                    <w:rPr>
                      <w:rFonts w:hint="default" w:ascii="Times New Roman" w:hAnsi="Times New Roman" w:cs="Times New Roman"/>
                      <w:kern w:val="0"/>
                      <w:highlight w:val="none"/>
                    </w:rPr>
                  </w:pPr>
                </w:p>
              </w:tc>
            </w:tr>
            <w:tr w14:paraId="7B66E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086" w:type="dxa"/>
                  <w:gridSpan w:val="6"/>
                  <w:tcBorders>
                    <w:top w:val="single" w:color="auto" w:sz="4" w:space="0"/>
                    <w:left w:val="single" w:color="auto" w:sz="4" w:space="0"/>
                    <w:bottom w:val="single" w:color="auto" w:sz="4" w:space="0"/>
                    <w:right w:val="single" w:color="auto" w:sz="4" w:space="0"/>
                  </w:tcBorders>
                  <w:vAlign w:val="center"/>
                </w:tcPr>
                <w:p w14:paraId="34CB6ED0">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噪声</w:t>
                  </w:r>
                </w:p>
              </w:tc>
            </w:tr>
            <w:tr w14:paraId="6D1F9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1872" w:type="dxa"/>
                  <w:tcBorders>
                    <w:top w:val="single" w:color="auto" w:sz="4" w:space="0"/>
                    <w:left w:val="single" w:color="auto" w:sz="4" w:space="0"/>
                    <w:bottom w:val="single" w:color="auto" w:sz="4" w:space="0"/>
                    <w:right w:val="single" w:color="auto" w:sz="4" w:space="0"/>
                  </w:tcBorders>
                  <w:vAlign w:val="center"/>
                </w:tcPr>
                <w:p w14:paraId="35A8540B">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泵、风机等机械设备</w:t>
                  </w:r>
                </w:p>
              </w:tc>
              <w:tc>
                <w:tcPr>
                  <w:tcW w:w="1712" w:type="dxa"/>
                  <w:tcBorders>
                    <w:top w:val="single" w:color="auto" w:sz="4" w:space="0"/>
                    <w:left w:val="single" w:color="auto" w:sz="4" w:space="0"/>
                    <w:bottom w:val="single" w:color="auto" w:sz="4" w:space="0"/>
                    <w:right w:val="single" w:color="auto" w:sz="4" w:space="0"/>
                  </w:tcBorders>
                  <w:vAlign w:val="center"/>
                </w:tcPr>
                <w:p w14:paraId="15ACFE25">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w:t>
                  </w:r>
                </w:p>
              </w:tc>
              <w:tc>
                <w:tcPr>
                  <w:tcW w:w="1995" w:type="dxa"/>
                  <w:tcBorders>
                    <w:top w:val="single" w:color="auto" w:sz="4" w:space="0"/>
                    <w:left w:val="single" w:color="auto" w:sz="4" w:space="0"/>
                    <w:bottom w:val="single" w:color="auto" w:sz="4" w:space="0"/>
                    <w:right w:val="single" w:color="auto" w:sz="4" w:space="0"/>
                  </w:tcBorders>
                  <w:vAlign w:val="center"/>
                </w:tcPr>
                <w:p w14:paraId="289E843F">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基础减振、低噪声设备、室内布置</w:t>
                  </w:r>
                </w:p>
              </w:tc>
              <w:tc>
                <w:tcPr>
                  <w:tcW w:w="1081" w:type="dxa"/>
                  <w:tcBorders>
                    <w:top w:val="single" w:color="auto" w:sz="4" w:space="0"/>
                    <w:left w:val="single" w:color="auto" w:sz="4" w:space="0"/>
                    <w:bottom w:val="single" w:color="auto" w:sz="4" w:space="0"/>
                    <w:right w:val="single" w:color="auto" w:sz="4" w:space="0"/>
                  </w:tcBorders>
                  <w:vAlign w:val="center"/>
                </w:tcPr>
                <w:p w14:paraId="64441E34">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连续</w:t>
                  </w:r>
                </w:p>
              </w:tc>
              <w:tc>
                <w:tcPr>
                  <w:tcW w:w="2426" w:type="dxa"/>
                  <w:gridSpan w:val="2"/>
                  <w:tcBorders>
                    <w:top w:val="single" w:color="auto" w:sz="4" w:space="0"/>
                    <w:left w:val="single" w:color="auto" w:sz="4" w:space="0"/>
                    <w:bottom w:val="single" w:color="auto" w:sz="4" w:space="0"/>
                    <w:right w:val="single" w:color="auto" w:sz="4" w:space="0"/>
                  </w:tcBorders>
                  <w:vAlign w:val="center"/>
                </w:tcPr>
                <w:p w14:paraId="2447AF5F">
                  <w:pPr>
                    <w:autoSpaceDE w:val="0"/>
                    <w:autoSpaceDN w:val="0"/>
                    <w:adjustRightInd w:val="0"/>
                    <w:jc w:val="center"/>
                    <w:rPr>
                      <w:rFonts w:hint="default" w:ascii="Times New Roman" w:hAnsi="Times New Roman" w:cs="Times New Roman"/>
                      <w:kern w:val="0"/>
                      <w:highlight w:val="none"/>
                    </w:rPr>
                  </w:pPr>
                  <w:r>
                    <w:rPr>
                      <w:rFonts w:hint="default" w:ascii="Times New Roman" w:hAnsi="Times New Roman" w:cs="Times New Roman"/>
                      <w:kern w:val="0"/>
                      <w:highlight w:val="none"/>
                    </w:rPr>
                    <w:t>—</w:t>
                  </w:r>
                </w:p>
              </w:tc>
            </w:tr>
          </w:tbl>
          <w:p w14:paraId="7071CD3B">
            <w:pPr>
              <w:spacing w:before="120" w:beforeLines="50" w:line="360" w:lineRule="auto"/>
              <w:ind w:firstLine="480" w:firstLineChars="200"/>
              <w:rPr>
                <w:rFonts w:hint="default" w:ascii="Times New Roman" w:hAnsi="Times New Roman" w:cs="Times New Roman"/>
                <w:sz w:val="24"/>
                <w:highlight w:val="none"/>
              </w:rPr>
            </w:pPr>
          </w:p>
        </w:tc>
      </w:tr>
      <w:tr w14:paraId="7E309A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65" w:hRule="atLeast"/>
          <w:jc w:val="center"/>
        </w:trPr>
        <w:tc>
          <w:tcPr>
            <w:tcW w:w="271" w:type="pct"/>
            <w:vAlign w:val="center"/>
          </w:tcPr>
          <w:p w14:paraId="6DAEF19E">
            <w:pPr>
              <w:pStyle w:val="42"/>
              <w:adjustRightInd w:val="0"/>
              <w:snapToGrid w:val="0"/>
              <w:spacing w:before="0" w:beforeAutospacing="0" w:after="0" w:afterAutospacing="0"/>
              <w:jc w:val="center"/>
              <w:rPr>
                <w:rFonts w:hint="default" w:ascii="Times New Roman" w:hAnsi="Times New Roman" w:eastAsia="黑体" w:cs="Times New Roman"/>
                <w:szCs w:val="24"/>
                <w:highlight w:val="none"/>
              </w:rPr>
            </w:pPr>
            <w:r>
              <w:rPr>
                <w:rFonts w:hint="default" w:ascii="Times New Roman" w:hAnsi="Times New Roman" w:cs="Times New Roman"/>
                <w:bCs/>
                <w:kern w:val="2"/>
                <w:szCs w:val="24"/>
                <w:highlight w:val="none"/>
              </w:rPr>
              <w:t>与项目有关的原有环境污染问题</w:t>
            </w:r>
          </w:p>
        </w:tc>
        <w:tc>
          <w:tcPr>
            <w:tcW w:w="4728" w:type="pct"/>
            <w:vAlign w:val="center"/>
          </w:tcPr>
          <w:p w14:paraId="6B783906">
            <w:pPr>
              <w:adjustRightInd w:val="0"/>
              <w:snapToGrid w:val="0"/>
              <w:spacing w:line="360" w:lineRule="auto"/>
              <w:ind w:firstLine="480" w:firstLineChars="200"/>
              <w:rPr>
                <w:rFonts w:hint="default" w:ascii="Times New Roman" w:hAnsi="Times New Roman" w:cs="Times New Roman"/>
                <w:highlight w:val="none"/>
              </w:rPr>
            </w:pPr>
            <w:r>
              <w:rPr>
                <w:rFonts w:hint="default" w:ascii="Times New Roman" w:hAnsi="Times New Roman" w:cs="Times New Roman"/>
                <w:sz w:val="24"/>
                <w:highlight w:val="none"/>
              </w:rPr>
              <w:t>拟建项目在现有厂区内建设，车间、罐区、环保设施全部新建，原料、工艺与现有项目无关联，项目为新建项目，无与项目有关的原有环境污染问题。</w:t>
            </w:r>
          </w:p>
        </w:tc>
      </w:tr>
    </w:tbl>
    <w:p w14:paraId="29A351E7">
      <w:pPr>
        <w:pStyle w:val="42"/>
        <w:adjustRightInd w:val="0"/>
        <w:snapToGrid w:val="0"/>
        <w:spacing w:before="0" w:beforeAutospacing="0" w:after="0" w:afterAutospacing="0"/>
        <w:rPr>
          <w:rFonts w:hint="default" w:ascii="Times New Roman" w:hAnsi="Times New Roman" w:eastAsia="黑体" w:cs="Times New Roman"/>
          <w:bCs/>
          <w:kern w:val="2"/>
          <w:szCs w:val="24"/>
          <w:highlight w:val="none"/>
        </w:rPr>
        <w:sectPr>
          <w:pgSz w:w="11906" w:h="16838"/>
          <w:pgMar w:top="1440" w:right="1080" w:bottom="1440" w:left="1080" w:header="851" w:footer="851" w:gutter="0"/>
          <w:cols w:space="720" w:num="1"/>
          <w:docGrid w:linePitch="312" w:charSpace="0"/>
        </w:sectPr>
      </w:pPr>
    </w:p>
    <w:p w14:paraId="7989D013">
      <w:pPr>
        <w:pStyle w:val="42"/>
        <w:spacing w:before="0" w:beforeAutospacing="0" w:after="0" w:afterAutospacing="0" w:line="360" w:lineRule="auto"/>
        <w:jc w:val="center"/>
        <w:outlineLvl w:val="0"/>
        <w:rPr>
          <w:rFonts w:hint="default" w:ascii="Times New Roman" w:hAnsi="Times New Roman" w:eastAsia="黑体" w:cs="Times New Roman"/>
          <w:b/>
          <w:bCs/>
          <w:snapToGrid w:val="0"/>
          <w:sz w:val="30"/>
          <w:szCs w:val="30"/>
          <w:highlight w:val="none"/>
        </w:rPr>
      </w:pPr>
      <w:r>
        <w:rPr>
          <w:rFonts w:hint="default" w:ascii="Times New Roman" w:hAnsi="Times New Roman" w:eastAsia="黑体" w:cs="Times New Roman"/>
          <w:b/>
          <w:bCs/>
          <w:snapToGrid w:val="0"/>
          <w:sz w:val="30"/>
          <w:szCs w:val="30"/>
          <w:highlight w:val="none"/>
        </w:rPr>
        <w:t>三、区域环境质量现状、环境保护目标及评价标准</w:t>
      </w:r>
    </w:p>
    <w:tbl>
      <w:tblPr>
        <w:tblStyle w:val="46"/>
        <w:tblW w:w="496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08"/>
        <w:gridCol w:w="9377"/>
      </w:tblGrid>
      <w:tr w14:paraId="0DA4F6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05" w:hRule="atLeast"/>
          <w:jc w:val="center"/>
        </w:trPr>
        <w:tc>
          <w:tcPr>
            <w:tcW w:w="257" w:type="pct"/>
            <w:vAlign w:val="center"/>
          </w:tcPr>
          <w:p w14:paraId="37005BD8">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区域</w:t>
            </w:r>
          </w:p>
          <w:p w14:paraId="23D03986">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环境</w:t>
            </w:r>
          </w:p>
          <w:p w14:paraId="063B8B2C">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质量</w:t>
            </w:r>
          </w:p>
          <w:p w14:paraId="3556C105">
            <w:pPr>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 w:val="24"/>
                <w:highlight w:val="none"/>
              </w:rPr>
              <w:t>现状</w:t>
            </w:r>
          </w:p>
        </w:tc>
        <w:tc>
          <w:tcPr>
            <w:tcW w:w="4742" w:type="pct"/>
            <w:vAlign w:val="center"/>
          </w:tcPr>
          <w:p w14:paraId="5C37B2D5">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1、环境空气</w:t>
            </w:r>
          </w:p>
          <w:p w14:paraId="5FD4834C">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根据淄博市生态环境局2025年1月27日发布的《2024年12月份及全年环境空气质量情况通报》，临淄区202</w:t>
            </w:r>
            <w:r>
              <w:rPr>
                <w:rFonts w:hint="eastAsia" w:cs="Times New Roman"/>
                <w:sz w:val="24"/>
                <w:highlight w:val="none"/>
                <w:lang w:val="en-US" w:eastAsia="zh-CN"/>
              </w:rPr>
              <w:t>4</w:t>
            </w:r>
            <w:r>
              <w:rPr>
                <w:rFonts w:hint="default" w:ascii="Times New Roman" w:hAnsi="Times New Roman" w:cs="Times New Roman"/>
                <w:sz w:val="24"/>
                <w:highlight w:val="none"/>
              </w:rPr>
              <w:t>年度环境空气质量状况及达标判断结果如下：</w:t>
            </w:r>
          </w:p>
          <w:p w14:paraId="76BDE65A">
            <w:pPr>
              <w:spacing w:line="360" w:lineRule="auto"/>
              <w:ind w:firstLine="482" w:firstLineChars="200"/>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表3-1  临淄区202</w:t>
            </w:r>
            <w:r>
              <w:rPr>
                <w:rFonts w:hint="eastAsia" w:cs="Times New Roman"/>
                <w:b/>
                <w:bCs/>
                <w:sz w:val="24"/>
                <w:highlight w:val="none"/>
                <w:lang w:val="en-US" w:eastAsia="zh-CN"/>
              </w:rPr>
              <w:t>4</w:t>
            </w:r>
            <w:r>
              <w:rPr>
                <w:rFonts w:hint="default" w:ascii="Times New Roman" w:hAnsi="Times New Roman" w:cs="Times New Roman"/>
                <w:b/>
                <w:bCs/>
                <w:sz w:val="24"/>
                <w:highlight w:val="none"/>
              </w:rPr>
              <w:t>年度环境空气质量状况</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083"/>
              <w:gridCol w:w="3552"/>
              <w:gridCol w:w="1534"/>
              <w:gridCol w:w="1502"/>
              <w:gridCol w:w="1480"/>
            </w:tblGrid>
            <w:tr w14:paraId="654C2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6E3B128A">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污染物</w:t>
                  </w:r>
                </w:p>
              </w:tc>
              <w:tc>
                <w:tcPr>
                  <w:tcW w:w="3095" w:type="dxa"/>
                  <w:tcBorders>
                    <w:tl2br w:val="nil"/>
                    <w:tr2bl w:val="nil"/>
                  </w:tcBorders>
                  <w:vAlign w:val="center"/>
                </w:tcPr>
                <w:p w14:paraId="6B431E1C">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评价指标</w:t>
                  </w:r>
                </w:p>
              </w:tc>
              <w:tc>
                <w:tcPr>
                  <w:tcW w:w="1337" w:type="dxa"/>
                  <w:tcBorders>
                    <w:tl2br w:val="nil"/>
                    <w:tr2bl w:val="nil"/>
                  </w:tcBorders>
                  <w:vAlign w:val="center"/>
                </w:tcPr>
                <w:p w14:paraId="08E6FA42">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参比浓度</w:t>
                  </w:r>
                </w:p>
              </w:tc>
              <w:tc>
                <w:tcPr>
                  <w:tcW w:w="1309" w:type="dxa"/>
                  <w:tcBorders>
                    <w:tl2br w:val="nil"/>
                    <w:tr2bl w:val="nil"/>
                  </w:tcBorders>
                  <w:vAlign w:val="center"/>
                </w:tcPr>
                <w:p w14:paraId="201B609D">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标准值</w:t>
                  </w:r>
                </w:p>
              </w:tc>
              <w:tc>
                <w:tcPr>
                  <w:tcW w:w="1290" w:type="dxa"/>
                  <w:tcBorders>
                    <w:tl2br w:val="nil"/>
                    <w:tr2bl w:val="nil"/>
                  </w:tcBorders>
                  <w:vAlign w:val="center"/>
                </w:tcPr>
                <w:p w14:paraId="55562812">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达标情况</w:t>
                  </w:r>
                </w:p>
              </w:tc>
            </w:tr>
            <w:tr w14:paraId="3AC6E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3687F2F1">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SO</w:t>
                  </w:r>
                  <w:r>
                    <w:rPr>
                      <w:rFonts w:hint="default" w:ascii="Times New Roman" w:hAnsi="Times New Roman" w:cs="Times New Roman"/>
                      <w:szCs w:val="21"/>
                      <w:highlight w:val="none"/>
                      <w:vertAlign w:val="subscript"/>
                    </w:rPr>
                    <w:t>2</w:t>
                  </w:r>
                </w:p>
              </w:tc>
              <w:tc>
                <w:tcPr>
                  <w:tcW w:w="3095" w:type="dxa"/>
                  <w:tcBorders>
                    <w:tl2br w:val="nil"/>
                    <w:tr2bl w:val="nil"/>
                  </w:tcBorders>
                  <w:vAlign w:val="center"/>
                </w:tcPr>
                <w:p w14:paraId="187FCCDD">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年平均质量浓度</w:t>
                  </w:r>
                </w:p>
              </w:tc>
              <w:tc>
                <w:tcPr>
                  <w:tcW w:w="1337" w:type="dxa"/>
                  <w:tcBorders>
                    <w:tl2br w:val="nil"/>
                    <w:tr2bl w:val="nil"/>
                  </w:tcBorders>
                  <w:vAlign w:val="center"/>
                </w:tcPr>
                <w:p w14:paraId="79E2EE6F">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13ug/m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11E2025A">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60ug/m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2680EB12">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71831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7C0FDC1B">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NO</w:t>
                  </w:r>
                  <w:r>
                    <w:rPr>
                      <w:rFonts w:hint="default" w:ascii="Times New Roman" w:hAnsi="Times New Roman" w:cs="Times New Roman"/>
                      <w:szCs w:val="21"/>
                      <w:highlight w:val="none"/>
                      <w:vertAlign w:val="subscript"/>
                    </w:rPr>
                    <w:t>2</w:t>
                  </w:r>
                </w:p>
              </w:tc>
              <w:tc>
                <w:tcPr>
                  <w:tcW w:w="3095" w:type="dxa"/>
                  <w:tcBorders>
                    <w:tl2br w:val="nil"/>
                    <w:tr2bl w:val="nil"/>
                  </w:tcBorders>
                  <w:vAlign w:val="center"/>
                </w:tcPr>
                <w:p w14:paraId="077BF0E6">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年平均质量浓度</w:t>
                  </w:r>
                </w:p>
              </w:tc>
              <w:tc>
                <w:tcPr>
                  <w:tcW w:w="1337" w:type="dxa"/>
                  <w:tcBorders>
                    <w:tl2br w:val="nil"/>
                    <w:tr2bl w:val="nil"/>
                  </w:tcBorders>
                  <w:vAlign w:val="center"/>
                </w:tcPr>
                <w:p w14:paraId="38D5490C">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30ug/m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6960329D">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40ug/m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2A82A866">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7C41A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4C59EFAB">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PM</w:t>
                  </w:r>
                  <w:r>
                    <w:rPr>
                      <w:rFonts w:hint="default" w:ascii="Times New Roman" w:hAnsi="Times New Roman" w:cs="Times New Roman"/>
                      <w:szCs w:val="21"/>
                      <w:highlight w:val="none"/>
                      <w:vertAlign w:val="subscript"/>
                    </w:rPr>
                    <w:t>10</w:t>
                  </w:r>
                </w:p>
              </w:tc>
              <w:tc>
                <w:tcPr>
                  <w:tcW w:w="3095" w:type="dxa"/>
                  <w:tcBorders>
                    <w:tl2br w:val="nil"/>
                    <w:tr2bl w:val="nil"/>
                  </w:tcBorders>
                  <w:vAlign w:val="center"/>
                </w:tcPr>
                <w:p w14:paraId="314C61F1">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年平均质量浓度</w:t>
                  </w:r>
                </w:p>
              </w:tc>
              <w:tc>
                <w:tcPr>
                  <w:tcW w:w="1337" w:type="dxa"/>
                  <w:tcBorders>
                    <w:tl2br w:val="nil"/>
                    <w:tr2bl w:val="nil"/>
                  </w:tcBorders>
                  <w:vAlign w:val="center"/>
                </w:tcPr>
                <w:p w14:paraId="5A5626D4">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73ug/m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361C6969">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70ug/m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7B04A52D">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不达标</w:t>
                  </w:r>
                </w:p>
              </w:tc>
            </w:tr>
            <w:tr w14:paraId="40892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7E910A9F">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PM</w:t>
                  </w:r>
                  <w:r>
                    <w:rPr>
                      <w:rFonts w:hint="default" w:ascii="Times New Roman" w:hAnsi="Times New Roman" w:cs="Times New Roman"/>
                      <w:szCs w:val="21"/>
                      <w:highlight w:val="none"/>
                      <w:vertAlign w:val="subscript"/>
                    </w:rPr>
                    <w:t>2.5</w:t>
                  </w:r>
                </w:p>
              </w:tc>
              <w:tc>
                <w:tcPr>
                  <w:tcW w:w="3095" w:type="dxa"/>
                  <w:tcBorders>
                    <w:tl2br w:val="nil"/>
                    <w:tr2bl w:val="nil"/>
                  </w:tcBorders>
                  <w:vAlign w:val="center"/>
                </w:tcPr>
                <w:p w14:paraId="1D517777">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年平均质量浓度</w:t>
                  </w:r>
                </w:p>
              </w:tc>
              <w:tc>
                <w:tcPr>
                  <w:tcW w:w="1337" w:type="dxa"/>
                  <w:tcBorders>
                    <w:tl2br w:val="nil"/>
                    <w:tr2bl w:val="nil"/>
                  </w:tcBorders>
                  <w:vAlign w:val="center"/>
                </w:tcPr>
                <w:p w14:paraId="5960D3E4">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39ug/m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72ADAC7D">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35ug/m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0BBF2F60">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不达标</w:t>
                  </w:r>
                </w:p>
              </w:tc>
            </w:tr>
            <w:tr w14:paraId="00A1A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67EA800A">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CO</w:t>
                  </w:r>
                </w:p>
              </w:tc>
              <w:tc>
                <w:tcPr>
                  <w:tcW w:w="3095" w:type="dxa"/>
                  <w:tcBorders>
                    <w:tl2br w:val="nil"/>
                    <w:tr2bl w:val="nil"/>
                  </w:tcBorders>
                  <w:vAlign w:val="center"/>
                </w:tcPr>
                <w:p w14:paraId="2A3EED41">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保证率日平均质量浓度</w:t>
                  </w:r>
                </w:p>
              </w:tc>
              <w:tc>
                <w:tcPr>
                  <w:tcW w:w="1337" w:type="dxa"/>
                  <w:tcBorders>
                    <w:tl2br w:val="nil"/>
                    <w:tr2bl w:val="nil"/>
                  </w:tcBorders>
                  <w:vAlign w:val="center"/>
                </w:tcPr>
                <w:p w14:paraId="4B20A67D">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0.186mg/m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3E9FD503">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4mg/m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14BBB87F">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5D401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943" w:type="dxa"/>
                  <w:tcBorders>
                    <w:tl2br w:val="nil"/>
                    <w:tr2bl w:val="nil"/>
                  </w:tcBorders>
                  <w:vAlign w:val="center"/>
                </w:tcPr>
                <w:p w14:paraId="53F32553">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O</w:t>
                  </w:r>
                  <w:r>
                    <w:rPr>
                      <w:rFonts w:hint="default" w:ascii="Times New Roman" w:hAnsi="Times New Roman" w:cs="Times New Roman"/>
                      <w:szCs w:val="21"/>
                      <w:highlight w:val="none"/>
                      <w:vertAlign w:val="subscript"/>
                    </w:rPr>
                    <w:t>3</w:t>
                  </w:r>
                </w:p>
              </w:tc>
              <w:tc>
                <w:tcPr>
                  <w:tcW w:w="3095" w:type="dxa"/>
                  <w:tcBorders>
                    <w:tl2br w:val="nil"/>
                    <w:tr2bl w:val="nil"/>
                  </w:tcBorders>
                  <w:vAlign w:val="center"/>
                </w:tcPr>
                <w:p w14:paraId="31EBBDD7">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保证率日最大8h平均质量浓度</w:t>
                  </w:r>
                </w:p>
              </w:tc>
              <w:tc>
                <w:tcPr>
                  <w:tcW w:w="1337" w:type="dxa"/>
                  <w:tcBorders>
                    <w:tl2br w:val="nil"/>
                    <w:tr2bl w:val="nil"/>
                  </w:tcBorders>
                  <w:vAlign w:val="center"/>
                </w:tcPr>
                <w:p w14:paraId="3BDEBA7F">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1600ug/m</w:t>
                  </w:r>
                  <w:r>
                    <w:rPr>
                      <w:rFonts w:hint="default" w:ascii="Times New Roman" w:hAnsi="Times New Roman" w:cs="Times New Roman"/>
                      <w:szCs w:val="21"/>
                      <w:highlight w:val="none"/>
                      <w:vertAlign w:val="superscript"/>
                    </w:rPr>
                    <w:t>3</w:t>
                  </w:r>
                </w:p>
              </w:tc>
              <w:tc>
                <w:tcPr>
                  <w:tcW w:w="1309" w:type="dxa"/>
                  <w:tcBorders>
                    <w:tl2br w:val="nil"/>
                    <w:tr2bl w:val="nil"/>
                  </w:tcBorders>
                  <w:vAlign w:val="center"/>
                </w:tcPr>
                <w:p w14:paraId="6AA5685C">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160ug/m</w:t>
                  </w:r>
                  <w:r>
                    <w:rPr>
                      <w:rFonts w:hint="default" w:ascii="Times New Roman" w:hAnsi="Times New Roman" w:cs="Times New Roman"/>
                      <w:szCs w:val="21"/>
                      <w:highlight w:val="none"/>
                      <w:vertAlign w:val="superscript"/>
                    </w:rPr>
                    <w:t>3</w:t>
                  </w:r>
                </w:p>
              </w:tc>
              <w:tc>
                <w:tcPr>
                  <w:tcW w:w="1290" w:type="dxa"/>
                  <w:tcBorders>
                    <w:tl2br w:val="nil"/>
                    <w:tr2bl w:val="nil"/>
                  </w:tcBorders>
                  <w:vAlign w:val="center"/>
                </w:tcPr>
                <w:p w14:paraId="66A18389">
                  <w:pPr>
                    <w:autoSpaceDE w:val="0"/>
                    <w:autoSpaceDN w:val="0"/>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不达标</w:t>
                  </w:r>
                </w:p>
              </w:tc>
            </w:tr>
          </w:tbl>
          <w:p w14:paraId="7DDD400D">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由上表可知，临淄区2024年度PM</w:t>
            </w:r>
            <w:r>
              <w:rPr>
                <w:rFonts w:hint="default" w:ascii="Times New Roman" w:hAnsi="Times New Roman" w:cs="Times New Roman"/>
                <w:sz w:val="24"/>
                <w:highlight w:val="none"/>
                <w:vertAlign w:val="subscript"/>
              </w:rPr>
              <w:t>10</w:t>
            </w:r>
            <w:r>
              <w:rPr>
                <w:rFonts w:hint="default" w:ascii="Times New Roman" w:hAnsi="Times New Roman" w:cs="Times New Roman"/>
                <w:sz w:val="24"/>
                <w:highlight w:val="none"/>
              </w:rPr>
              <w:t>、PM</w:t>
            </w:r>
            <w:r>
              <w:rPr>
                <w:rFonts w:hint="default" w:ascii="Times New Roman" w:hAnsi="Times New Roman" w:cs="Times New Roman"/>
                <w:sz w:val="24"/>
                <w:highlight w:val="none"/>
                <w:vertAlign w:val="subscript"/>
              </w:rPr>
              <w:t>2.5</w:t>
            </w:r>
            <w:r>
              <w:rPr>
                <w:rFonts w:hint="default" w:ascii="Times New Roman" w:hAnsi="Times New Roman" w:cs="Times New Roman"/>
                <w:sz w:val="24"/>
                <w:highlight w:val="none"/>
              </w:rPr>
              <w:t>及O</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不能满足《环境空气质量标准》（GB3095-2012）及其修改单中二级标准要求。因此本项目所在区域环境空气质量属于不达标区。</w:t>
            </w:r>
          </w:p>
          <w:p w14:paraId="2BEF2D9B">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为切实做好大气污染防治工作，全面完成空气质量改善目标任务，山东省生态环境主管部门相继出台了《关于加强“两高”项目管理的通知》、《山东省深入打好蓝天保卫战行动计划（2021—2025年）》等政策文件，淄博市人民政府及淄博市生态环境主管部门相继出台了《淄博市“三线一单”生态环境准入清单》、《淄博市人民政府关于印发淄博市“三线一单”生态环境分区管控方案的通知》等文件，全方位整治工业炉窑大气污染物、挥发性有机物及工业企业扬尘，上述大气污染治理措施落实后，区域环境空气质量将得以改善。根据临淄区人民政府《关于印发临淄区国民经济和社会发展第十四个五年规划和2035年远景目标纲要的通知》（临政发〔2021〕3号），要求实施大气污染综合治理工程。深度治理二氧化硫、氮氧化物、颗粒物、挥发性有机物等污染物排放。加强机动车尾气检测与治理，加强城市道路扬尘、施工扬尘、堆场扬尘综合整治。临淄区通过开展一系列大气污染治理工程改善区域环境，区域环境空气质量将持续改善。</w:t>
            </w:r>
          </w:p>
          <w:p w14:paraId="11B568F4">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2、地表水环境</w:t>
            </w:r>
          </w:p>
          <w:p w14:paraId="778823B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淄博市人民政府关于同意淄博市水功能区划的批复》（淄政字[2012]10号），该项目周围地表水体为淄河，根据2026年1月30日淄博市生态环境局网站发布的《2025年1-12月全市地表水环境质量状况》可知，全市地表水监测断面均满足《地表水环境质量标准》（GB3838-2002）Ⅴ类标准要求。</w:t>
            </w:r>
          </w:p>
          <w:p w14:paraId="3CCF23D5">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3、声环境</w:t>
            </w:r>
          </w:p>
          <w:p w14:paraId="719E820F">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本项目厂界外周边50m范围内为道路、企业，不存在声环境保护目标，无需开展声环境现状调查评价。本项目所在区域执行《声环境质量标准》（GB3096-2008）</w:t>
            </w:r>
            <w:r>
              <w:rPr>
                <w:rFonts w:hint="eastAsia" w:cs="Times New Roman"/>
                <w:sz w:val="24"/>
                <w:highlight w:val="none"/>
                <w:lang w:val="en-US" w:eastAsia="zh-CN"/>
              </w:rPr>
              <w:t>3</w:t>
            </w:r>
            <w:r>
              <w:rPr>
                <w:rFonts w:hint="default" w:ascii="Times New Roman" w:hAnsi="Times New Roman" w:cs="Times New Roman"/>
                <w:sz w:val="24"/>
                <w:highlight w:val="none"/>
              </w:rPr>
              <w:t>类标准。</w:t>
            </w:r>
          </w:p>
          <w:p w14:paraId="68F077ED">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4、生态环境</w:t>
            </w:r>
          </w:p>
          <w:p w14:paraId="6C35B050">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本项目在现有厂区内进行建设，不新增用地指标，用地范围内不含生态环境保护目标，无需开展生态环境现状调查。</w:t>
            </w:r>
          </w:p>
          <w:p w14:paraId="62B9D882">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5、地下水、土壤环境</w:t>
            </w:r>
          </w:p>
          <w:p w14:paraId="0EB3DF5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本项目废气、废水、固体废物均得到妥善处置，正常工况下不存在地下水、土壤环境污染途径，无需开展地下水和土壤现状调查。</w:t>
            </w:r>
          </w:p>
          <w:p w14:paraId="258C374B">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6、电磁辐射环境现状</w:t>
            </w:r>
          </w:p>
          <w:p w14:paraId="0F32098C">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项目不属于新建或改建、扩建广播电台、差转台、电视塔台、卫星地球上行站、雷达等电磁辐射类项目，无需对电磁辐射现状开展监测与评价。</w:t>
            </w:r>
          </w:p>
        </w:tc>
      </w:tr>
      <w:tr w14:paraId="7D49B4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8" w:hRule="atLeast"/>
          <w:jc w:val="center"/>
        </w:trPr>
        <w:tc>
          <w:tcPr>
            <w:tcW w:w="257" w:type="pct"/>
            <w:vAlign w:val="center"/>
          </w:tcPr>
          <w:p w14:paraId="0C8DD69D">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环境</w:t>
            </w:r>
          </w:p>
          <w:p w14:paraId="386F0EEA">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保护</w:t>
            </w:r>
          </w:p>
          <w:p w14:paraId="179C0499">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目标</w:t>
            </w:r>
          </w:p>
        </w:tc>
        <w:tc>
          <w:tcPr>
            <w:tcW w:w="4742" w:type="pct"/>
            <w:vAlign w:val="center"/>
          </w:tcPr>
          <w:p w14:paraId="5769100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根据调查，项目所在地周围无自然保护区、风景名胜区等敏感目标，项目周围主要环境保护目标及保护级别见下表。</w:t>
            </w:r>
          </w:p>
          <w:p w14:paraId="74991AC8">
            <w:pPr>
              <w:pStyle w:val="155"/>
              <w:rPr>
                <w:rFonts w:hint="default" w:ascii="Times New Roman" w:hAnsi="Times New Roman" w:eastAsia="宋体" w:cs="Times New Roman"/>
                <w:b/>
                <w:bCs/>
                <w:highlight w:val="none"/>
              </w:rPr>
            </w:pPr>
            <w:r>
              <w:rPr>
                <w:rFonts w:hint="default" w:ascii="Times New Roman" w:hAnsi="Times New Roman" w:eastAsia="宋体" w:cs="Times New Roman"/>
                <w:b/>
                <w:bCs/>
                <w:highlight w:val="none"/>
              </w:rPr>
              <w:t>表3-2  主要环境保护目标分布一览表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8"/>
              <w:gridCol w:w="2886"/>
              <w:gridCol w:w="1332"/>
              <w:gridCol w:w="1877"/>
              <w:gridCol w:w="1878"/>
            </w:tblGrid>
            <w:tr w14:paraId="49B5F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Align w:val="center"/>
                </w:tcPr>
                <w:p w14:paraId="30A571FA">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2886" w:type="dxa"/>
                  <w:vAlign w:val="center"/>
                </w:tcPr>
                <w:p w14:paraId="56125F75">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环境保护目标</w:t>
                  </w:r>
                </w:p>
              </w:tc>
              <w:tc>
                <w:tcPr>
                  <w:tcW w:w="1332" w:type="dxa"/>
                  <w:vAlign w:val="center"/>
                </w:tcPr>
                <w:p w14:paraId="19E4EAF7">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方位</w:t>
                  </w:r>
                </w:p>
              </w:tc>
              <w:tc>
                <w:tcPr>
                  <w:tcW w:w="1877" w:type="dxa"/>
                  <w:vAlign w:val="center"/>
                </w:tcPr>
                <w:p w14:paraId="7E16C8F0">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距离（m）</w:t>
                  </w:r>
                </w:p>
              </w:tc>
              <w:tc>
                <w:tcPr>
                  <w:tcW w:w="1878" w:type="dxa"/>
                  <w:vAlign w:val="center"/>
                </w:tcPr>
                <w:p w14:paraId="4B279CC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人口（人）</w:t>
                  </w:r>
                </w:p>
              </w:tc>
            </w:tr>
            <w:tr w14:paraId="313B8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Merge w:val="restart"/>
                  <w:vAlign w:val="center"/>
                </w:tcPr>
                <w:p w14:paraId="64990C37">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大气环境</w:t>
                  </w:r>
                </w:p>
              </w:tc>
              <w:tc>
                <w:tcPr>
                  <w:tcW w:w="2886" w:type="dxa"/>
                  <w:shd w:val="clear" w:color="auto" w:fill="auto"/>
                  <w:vAlign w:val="center"/>
                </w:tcPr>
                <w:p w14:paraId="5E76817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韩家村</w:t>
                  </w:r>
                </w:p>
              </w:tc>
              <w:tc>
                <w:tcPr>
                  <w:tcW w:w="1332" w:type="dxa"/>
                  <w:shd w:val="clear" w:color="auto" w:fill="auto"/>
                  <w:vAlign w:val="center"/>
                </w:tcPr>
                <w:p w14:paraId="0351396D">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E</w:t>
                  </w:r>
                </w:p>
              </w:tc>
              <w:tc>
                <w:tcPr>
                  <w:tcW w:w="1877" w:type="dxa"/>
                  <w:shd w:val="clear" w:color="auto" w:fill="auto"/>
                  <w:vAlign w:val="center"/>
                </w:tcPr>
                <w:p w14:paraId="5E14CEDB">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140</w:t>
                  </w:r>
                </w:p>
              </w:tc>
              <w:tc>
                <w:tcPr>
                  <w:tcW w:w="1878" w:type="dxa"/>
                  <w:shd w:val="clear" w:color="auto" w:fill="auto"/>
                  <w:vAlign w:val="center"/>
                </w:tcPr>
                <w:p w14:paraId="5F50939B">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550</w:t>
                  </w:r>
                </w:p>
              </w:tc>
            </w:tr>
            <w:tr w14:paraId="663CD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Merge w:val="continue"/>
                  <w:vAlign w:val="center"/>
                </w:tcPr>
                <w:p w14:paraId="54F56FB0">
                  <w:pPr>
                    <w:adjustRightInd w:val="0"/>
                    <w:jc w:val="center"/>
                    <w:rPr>
                      <w:rFonts w:hint="default" w:ascii="Times New Roman" w:hAnsi="Times New Roman" w:cs="Times New Roman"/>
                      <w:szCs w:val="21"/>
                      <w:highlight w:val="none"/>
                    </w:rPr>
                  </w:pPr>
                </w:p>
              </w:tc>
              <w:tc>
                <w:tcPr>
                  <w:tcW w:w="2886" w:type="dxa"/>
                  <w:shd w:val="clear" w:color="auto" w:fill="auto"/>
                  <w:vAlign w:val="center"/>
                </w:tcPr>
                <w:p w14:paraId="66CA904C">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冯家村</w:t>
                  </w:r>
                </w:p>
              </w:tc>
              <w:tc>
                <w:tcPr>
                  <w:tcW w:w="1332" w:type="dxa"/>
                  <w:shd w:val="clear" w:color="auto" w:fill="auto"/>
                  <w:vAlign w:val="center"/>
                </w:tcPr>
                <w:p w14:paraId="040E99E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E</w:t>
                  </w:r>
                </w:p>
              </w:tc>
              <w:tc>
                <w:tcPr>
                  <w:tcW w:w="1877" w:type="dxa"/>
                  <w:shd w:val="clear" w:color="auto" w:fill="auto"/>
                  <w:vAlign w:val="center"/>
                </w:tcPr>
                <w:p w14:paraId="3F3270FB">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400</w:t>
                  </w:r>
                </w:p>
              </w:tc>
              <w:tc>
                <w:tcPr>
                  <w:tcW w:w="1878" w:type="dxa"/>
                  <w:shd w:val="clear" w:color="auto" w:fill="auto"/>
                  <w:vAlign w:val="center"/>
                </w:tcPr>
                <w:p w14:paraId="0D252D05">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1270</w:t>
                  </w:r>
                </w:p>
              </w:tc>
            </w:tr>
            <w:tr w14:paraId="545FE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Align w:val="center"/>
                </w:tcPr>
                <w:p w14:paraId="474AB5D6">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声环境</w:t>
                  </w:r>
                </w:p>
              </w:tc>
              <w:tc>
                <w:tcPr>
                  <w:tcW w:w="7973" w:type="dxa"/>
                  <w:gridSpan w:val="4"/>
                  <w:vAlign w:val="center"/>
                </w:tcPr>
                <w:p w14:paraId="182EBEF1">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项目周围50m范围内无敏感点</w:t>
                  </w:r>
                </w:p>
              </w:tc>
            </w:tr>
            <w:tr w14:paraId="3DD31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Align w:val="center"/>
                </w:tcPr>
                <w:p w14:paraId="7D726612">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地表水</w:t>
                  </w:r>
                </w:p>
              </w:tc>
              <w:tc>
                <w:tcPr>
                  <w:tcW w:w="2886" w:type="dxa"/>
                  <w:vAlign w:val="center"/>
                </w:tcPr>
                <w:p w14:paraId="28C2C431">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淄河</w:t>
                  </w:r>
                </w:p>
              </w:tc>
              <w:tc>
                <w:tcPr>
                  <w:tcW w:w="1332" w:type="dxa"/>
                  <w:vAlign w:val="center"/>
                </w:tcPr>
                <w:p w14:paraId="52ED44D2">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E</w:t>
                  </w:r>
                </w:p>
              </w:tc>
              <w:tc>
                <w:tcPr>
                  <w:tcW w:w="1877" w:type="dxa"/>
                  <w:vAlign w:val="center"/>
                </w:tcPr>
                <w:p w14:paraId="73760EE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5510</w:t>
                  </w:r>
                </w:p>
              </w:tc>
              <w:tc>
                <w:tcPr>
                  <w:tcW w:w="1878" w:type="dxa"/>
                  <w:vAlign w:val="center"/>
                </w:tcPr>
                <w:p w14:paraId="13264288">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5E733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8" w:type="dxa"/>
                  <w:vAlign w:val="center"/>
                </w:tcPr>
                <w:p w14:paraId="675BA9D6">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地下水</w:t>
                  </w:r>
                </w:p>
              </w:tc>
              <w:tc>
                <w:tcPr>
                  <w:tcW w:w="2886" w:type="dxa"/>
                  <w:vAlign w:val="center"/>
                </w:tcPr>
                <w:p w14:paraId="428F6EB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大武地下水</w:t>
                  </w:r>
                </w:p>
              </w:tc>
              <w:tc>
                <w:tcPr>
                  <w:tcW w:w="1332" w:type="dxa"/>
                  <w:vAlign w:val="center"/>
                </w:tcPr>
                <w:p w14:paraId="1396C1D1">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877" w:type="dxa"/>
                  <w:vAlign w:val="center"/>
                </w:tcPr>
                <w:p w14:paraId="19961AE9">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项目区地下</w:t>
                  </w:r>
                </w:p>
              </w:tc>
              <w:tc>
                <w:tcPr>
                  <w:tcW w:w="1878" w:type="dxa"/>
                  <w:vAlign w:val="center"/>
                </w:tcPr>
                <w:p w14:paraId="2E932806">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bl>
          <w:p w14:paraId="06120B57">
            <w:pPr>
              <w:spacing w:line="360" w:lineRule="auto"/>
              <w:rPr>
                <w:rFonts w:hint="default" w:ascii="Times New Roman" w:hAnsi="Times New Roman" w:eastAsia="黑体" w:cs="Times New Roman"/>
                <w:szCs w:val="21"/>
                <w:highlight w:val="none"/>
              </w:rPr>
            </w:pPr>
          </w:p>
        </w:tc>
      </w:tr>
      <w:tr w14:paraId="4CB824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257" w:type="pct"/>
            <w:tcMar>
              <w:left w:w="28" w:type="dxa"/>
              <w:right w:w="28" w:type="dxa"/>
            </w:tcMar>
            <w:vAlign w:val="center"/>
          </w:tcPr>
          <w:p w14:paraId="0FAD4FB8">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污染</w:t>
            </w:r>
          </w:p>
          <w:p w14:paraId="06D80503">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物排</w:t>
            </w:r>
          </w:p>
          <w:p w14:paraId="2844FC4A">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放控</w:t>
            </w:r>
          </w:p>
          <w:p w14:paraId="798F5F32">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制标</w:t>
            </w:r>
          </w:p>
          <w:p w14:paraId="0C4409D6">
            <w:pPr>
              <w:adjustRightInd w:val="0"/>
              <w:snapToGrid w:val="0"/>
              <w:jc w:val="center"/>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准</w:t>
            </w:r>
          </w:p>
        </w:tc>
        <w:tc>
          <w:tcPr>
            <w:tcW w:w="4742" w:type="pct"/>
            <w:vAlign w:val="center"/>
          </w:tcPr>
          <w:p w14:paraId="293A1635">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1、废气</w:t>
            </w:r>
          </w:p>
          <w:p w14:paraId="3472C353">
            <w:pPr>
              <w:tabs>
                <w:tab w:val="left" w:pos="1680"/>
              </w:tabs>
              <w:spacing w:line="360" w:lineRule="auto"/>
              <w:jc w:val="center"/>
              <w:rPr>
                <w:rFonts w:hint="default" w:ascii="Times New Roman" w:hAnsi="Times New Roman" w:cs="Times New Roman"/>
                <w:b/>
                <w:sz w:val="24"/>
                <w:highlight w:val="none"/>
              </w:rPr>
            </w:pPr>
            <w:r>
              <w:rPr>
                <w:rFonts w:hint="default" w:ascii="Times New Roman" w:hAnsi="Times New Roman" w:cs="Times New Roman"/>
                <w:b/>
                <w:bCs/>
                <w:sz w:val="24"/>
                <w:highlight w:val="none"/>
              </w:rPr>
              <w:t xml:space="preserve">表3-3  </w:t>
            </w:r>
            <w:r>
              <w:rPr>
                <w:rFonts w:hint="default" w:ascii="Times New Roman" w:hAnsi="Times New Roman" w:cs="Times New Roman"/>
                <w:b/>
                <w:sz w:val="24"/>
                <w:highlight w:val="none"/>
              </w:rPr>
              <w:t>大气污染物有组织排放标准</w:t>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0"/>
              <w:gridCol w:w="960"/>
              <w:gridCol w:w="975"/>
              <w:gridCol w:w="1109"/>
              <w:gridCol w:w="5092"/>
            </w:tblGrid>
            <w:tr w14:paraId="63B21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0" w:type="dxa"/>
                  <w:tcMar>
                    <w:left w:w="28" w:type="dxa"/>
                    <w:right w:w="28" w:type="dxa"/>
                  </w:tcMar>
                  <w:vAlign w:val="center"/>
                </w:tcPr>
                <w:p w14:paraId="31BC195A">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排放源</w:t>
                  </w:r>
                </w:p>
              </w:tc>
              <w:tc>
                <w:tcPr>
                  <w:tcW w:w="960" w:type="dxa"/>
                  <w:tcMar>
                    <w:left w:w="28" w:type="dxa"/>
                    <w:right w:w="28" w:type="dxa"/>
                  </w:tcMar>
                  <w:vAlign w:val="center"/>
                </w:tcPr>
                <w:p w14:paraId="18254F2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污染因子</w:t>
                  </w:r>
                </w:p>
              </w:tc>
              <w:tc>
                <w:tcPr>
                  <w:tcW w:w="975" w:type="dxa"/>
                  <w:tcMar>
                    <w:left w:w="28" w:type="dxa"/>
                    <w:right w:w="28" w:type="dxa"/>
                  </w:tcMar>
                  <w:vAlign w:val="center"/>
                </w:tcPr>
                <w:p w14:paraId="6A59C97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浓度限值</w:t>
                  </w:r>
                </w:p>
                <w:p w14:paraId="11925BE2">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（mg/m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w:t>
                  </w:r>
                </w:p>
              </w:tc>
              <w:tc>
                <w:tcPr>
                  <w:tcW w:w="1109" w:type="dxa"/>
                  <w:vAlign w:val="center"/>
                </w:tcPr>
                <w:p w14:paraId="36DBA06E">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速率限值（kg/h）</w:t>
                  </w:r>
                </w:p>
              </w:tc>
              <w:tc>
                <w:tcPr>
                  <w:tcW w:w="5092" w:type="dxa"/>
                  <w:tcMar>
                    <w:left w:w="28" w:type="dxa"/>
                    <w:right w:w="28" w:type="dxa"/>
                  </w:tcMar>
                  <w:vAlign w:val="center"/>
                </w:tcPr>
                <w:p w14:paraId="22A65FB3">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执行标准</w:t>
                  </w:r>
                </w:p>
              </w:tc>
            </w:tr>
            <w:tr w14:paraId="4C61D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0" w:type="dxa"/>
                  <w:vMerge w:val="restart"/>
                  <w:tcMar>
                    <w:left w:w="28" w:type="dxa"/>
                    <w:right w:w="28" w:type="dxa"/>
                  </w:tcMar>
                  <w:vAlign w:val="center"/>
                </w:tcPr>
                <w:p w14:paraId="414E5E16">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P1</w:t>
                  </w:r>
                </w:p>
              </w:tc>
              <w:tc>
                <w:tcPr>
                  <w:tcW w:w="960" w:type="dxa"/>
                  <w:tcMar>
                    <w:left w:w="28" w:type="dxa"/>
                    <w:right w:w="28" w:type="dxa"/>
                  </w:tcMar>
                  <w:vAlign w:val="center"/>
                </w:tcPr>
                <w:p w14:paraId="767C44C9">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975" w:type="dxa"/>
                  <w:tcMar>
                    <w:left w:w="28" w:type="dxa"/>
                    <w:right w:w="28" w:type="dxa"/>
                  </w:tcMar>
                  <w:vAlign w:val="center"/>
                </w:tcPr>
                <w:p w14:paraId="1867C836">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60</w:t>
                  </w:r>
                </w:p>
              </w:tc>
              <w:tc>
                <w:tcPr>
                  <w:tcW w:w="1109" w:type="dxa"/>
                  <w:vAlign w:val="center"/>
                </w:tcPr>
                <w:p w14:paraId="60787663">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3.0</w:t>
                  </w:r>
                </w:p>
              </w:tc>
              <w:tc>
                <w:tcPr>
                  <w:tcW w:w="5092" w:type="dxa"/>
                  <w:tcMar>
                    <w:left w:w="28" w:type="dxa"/>
                    <w:right w:w="28" w:type="dxa"/>
                  </w:tcMar>
                  <w:vAlign w:val="center"/>
                </w:tcPr>
                <w:p w14:paraId="0862ABB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《挥发性有机物排放标准 第6部分：有机化工行业》（DB37/2801.6—2018）表1其他行业Ⅱ时段排放限值</w:t>
                  </w:r>
                </w:p>
              </w:tc>
            </w:tr>
            <w:tr w14:paraId="5636E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0" w:type="dxa"/>
                  <w:vMerge w:val="continue"/>
                  <w:shd w:val="clear" w:color="auto" w:fill="auto"/>
                  <w:tcMar>
                    <w:left w:w="28" w:type="dxa"/>
                    <w:right w:w="28" w:type="dxa"/>
                  </w:tcMar>
                  <w:vAlign w:val="center"/>
                </w:tcPr>
                <w:p w14:paraId="605803FD">
                  <w:pPr>
                    <w:adjustRightInd w:val="0"/>
                    <w:jc w:val="center"/>
                    <w:rPr>
                      <w:rFonts w:hint="default" w:ascii="Times New Roman" w:hAnsi="Times New Roman" w:cs="Times New Roman"/>
                      <w:szCs w:val="21"/>
                      <w:highlight w:val="none"/>
                    </w:rPr>
                  </w:pPr>
                </w:p>
              </w:tc>
              <w:tc>
                <w:tcPr>
                  <w:tcW w:w="960" w:type="dxa"/>
                  <w:shd w:val="clear" w:color="auto" w:fill="auto"/>
                  <w:tcMar>
                    <w:left w:w="28" w:type="dxa"/>
                    <w:right w:w="28" w:type="dxa"/>
                  </w:tcMar>
                  <w:vAlign w:val="center"/>
                </w:tcPr>
                <w:p w14:paraId="2B9DF187">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甲醇</w:t>
                  </w:r>
                </w:p>
              </w:tc>
              <w:tc>
                <w:tcPr>
                  <w:tcW w:w="975" w:type="dxa"/>
                  <w:tcMar>
                    <w:left w:w="28" w:type="dxa"/>
                    <w:right w:w="28" w:type="dxa"/>
                  </w:tcMar>
                  <w:vAlign w:val="center"/>
                </w:tcPr>
                <w:p w14:paraId="6547A21B">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50</w:t>
                  </w:r>
                </w:p>
              </w:tc>
              <w:tc>
                <w:tcPr>
                  <w:tcW w:w="1109" w:type="dxa"/>
                  <w:vAlign w:val="center"/>
                </w:tcPr>
                <w:p w14:paraId="0822CC64">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092" w:type="dxa"/>
                  <w:vMerge w:val="restart"/>
                  <w:tcMar>
                    <w:left w:w="28" w:type="dxa"/>
                    <w:right w:w="28" w:type="dxa"/>
                  </w:tcMar>
                  <w:vAlign w:val="center"/>
                </w:tcPr>
                <w:p w14:paraId="3A07BEFE">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《挥发性有机物排放标准 第6部分：有机化工行业》（DB37/2801.6—2018）表2排放限值</w:t>
                  </w:r>
                </w:p>
              </w:tc>
            </w:tr>
            <w:tr w14:paraId="45FFF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0" w:type="dxa"/>
                  <w:vMerge w:val="continue"/>
                </w:tcPr>
                <w:p w14:paraId="1313EC51">
                  <w:pPr>
                    <w:adjustRightInd w:val="0"/>
                    <w:jc w:val="center"/>
                    <w:rPr>
                      <w:rFonts w:hint="default" w:ascii="Times New Roman" w:hAnsi="Times New Roman" w:cs="Times New Roman"/>
                      <w:szCs w:val="21"/>
                      <w:highlight w:val="none"/>
                    </w:rPr>
                  </w:pPr>
                </w:p>
              </w:tc>
              <w:tc>
                <w:tcPr>
                  <w:tcW w:w="960" w:type="dxa"/>
                  <w:shd w:val="clear" w:color="auto" w:fill="auto"/>
                  <w:vAlign w:val="center"/>
                </w:tcPr>
                <w:p w14:paraId="7E5D93F2">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正己烷</w:t>
                  </w:r>
                </w:p>
              </w:tc>
              <w:tc>
                <w:tcPr>
                  <w:tcW w:w="975" w:type="dxa"/>
                </w:tcPr>
                <w:p w14:paraId="6701B7C7">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50</w:t>
                  </w:r>
                </w:p>
              </w:tc>
              <w:tc>
                <w:tcPr>
                  <w:tcW w:w="1109" w:type="dxa"/>
                  <w:vAlign w:val="center"/>
                </w:tcPr>
                <w:p w14:paraId="47F439B7">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092" w:type="dxa"/>
                  <w:vMerge w:val="continue"/>
                </w:tcPr>
                <w:p w14:paraId="7F56F4F2">
                  <w:pPr>
                    <w:adjustRightInd w:val="0"/>
                    <w:jc w:val="center"/>
                    <w:rPr>
                      <w:rFonts w:hint="default" w:ascii="Times New Roman" w:hAnsi="Times New Roman" w:cs="Times New Roman"/>
                      <w:szCs w:val="21"/>
                      <w:highlight w:val="none"/>
                    </w:rPr>
                  </w:pPr>
                </w:p>
              </w:tc>
            </w:tr>
          </w:tbl>
          <w:p w14:paraId="077841A1">
            <w:pPr>
              <w:spacing w:before="120" w:beforeLines="50"/>
              <w:ind w:firstLine="482"/>
              <w:jc w:val="center"/>
              <w:rPr>
                <w:rFonts w:hint="default" w:ascii="Times New Roman" w:hAnsi="Times New Roman" w:cs="Times New Roman"/>
                <w:b/>
                <w:sz w:val="24"/>
                <w:highlight w:val="none"/>
              </w:rPr>
            </w:pPr>
            <w:r>
              <w:rPr>
                <w:rFonts w:hint="default" w:ascii="Times New Roman" w:hAnsi="Times New Roman" w:cs="Times New Roman"/>
                <w:b/>
                <w:sz w:val="24"/>
                <w:highlight w:val="none"/>
              </w:rPr>
              <w:t>表3-4  大气污染物无组织排放标准</w:t>
            </w:r>
          </w:p>
          <w:tbl>
            <w:tblPr>
              <w:tblStyle w:val="46"/>
              <w:tblW w:w="49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1390"/>
              <w:gridCol w:w="2115"/>
              <w:gridCol w:w="4660"/>
            </w:tblGrid>
            <w:tr w14:paraId="4AD2F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dxa"/>
                  <w:vAlign w:val="center"/>
                </w:tcPr>
                <w:p w14:paraId="2B7A72D7">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序号</w:t>
                  </w:r>
                </w:p>
              </w:tc>
              <w:tc>
                <w:tcPr>
                  <w:tcW w:w="1390" w:type="dxa"/>
                  <w:vAlign w:val="center"/>
                </w:tcPr>
                <w:p w14:paraId="1394622C">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污染物项目</w:t>
                  </w:r>
                </w:p>
              </w:tc>
              <w:tc>
                <w:tcPr>
                  <w:tcW w:w="2115" w:type="dxa"/>
                  <w:vAlign w:val="center"/>
                </w:tcPr>
                <w:p w14:paraId="3E86F113">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边界限值（mg/m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w:t>
                  </w:r>
                </w:p>
              </w:tc>
              <w:tc>
                <w:tcPr>
                  <w:tcW w:w="4661" w:type="dxa"/>
                  <w:vAlign w:val="center"/>
                </w:tcPr>
                <w:p w14:paraId="59DB3D7E">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标准来源</w:t>
                  </w:r>
                </w:p>
              </w:tc>
            </w:tr>
            <w:tr w14:paraId="2F50F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dxa"/>
                  <w:vAlign w:val="center"/>
                </w:tcPr>
                <w:p w14:paraId="198A7656">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1390" w:type="dxa"/>
                  <w:vAlign w:val="center"/>
                </w:tcPr>
                <w:p w14:paraId="6FEA843A">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2115" w:type="dxa"/>
                  <w:vAlign w:val="center"/>
                </w:tcPr>
                <w:p w14:paraId="12DF8DC0">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2.0</w:t>
                  </w:r>
                </w:p>
              </w:tc>
              <w:tc>
                <w:tcPr>
                  <w:tcW w:w="4661" w:type="dxa"/>
                  <w:vAlign w:val="center"/>
                </w:tcPr>
                <w:p w14:paraId="254DA8C9">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《挥发性有机物排放标准 第6部分：有机化工行业》（DB37/2801.6—2018）表3厂界监控点浓度限值</w:t>
                  </w:r>
                </w:p>
              </w:tc>
            </w:tr>
            <w:tr w14:paraId="2D23F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9" w:type="dxa"/>
                  <w:vAlign w:val="center"/>
                </w:tcPr>
                <w:p w14:paraId="51083030">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w:t>
                  </w:r>
                </w:p>
              </w:tc>
              <w:tc>
                <w:tcPr>
                  <w:tcW w:w="1390" w:type="dxa"/>
                  <w:vAlign w:val="center"/>
                </w:tcPr>
                <w:p w14:paraId="422D8D2F">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甲醇</w:t>
                  </w:r>
                </w:p>
              </w:tc>
              <w:tc>
                <w:tcPr>
                  <w:tcW w:w="2115" w:type="dxa"/>
                  <w:vAlign w:val="center"/>
                </w:tcPr>
                <w:p w14:paraId="688E258E">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12</w:t>
                  </w:r>
                </w:p>
              </w:tc>
              <w:tc>
                <w:tcPr>
                  <w:tcW w:w="4661" w:type="dxa"/>
                  <w:vAlign w:val="center"/>
                </w:tcPr>
                <w:p w14:paraId="30439E7D">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《大气污染物综合排放标准》（GB16297-1996）表2无组织排放浓度监控限值</w:t>
                  </w:r>
                </w:p>
              </w:tc>
            </w:tr>
          </w:tbl>
          <w:p w14:paraId="589895DA">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2、废水</w:t>
            </w:r>
          </w:p>
          <w:p w14:paraId="70B9B05F">
            <w:pPr>
              <w:spacing w:line="360" w:lineRule="auto"/>
              <w:ind w:firstLine="464" w:firstLineChars="200"/>
              <w:rPr>
                <w:rFonts w:hint="default" w:ascii="Times New Roman" w:hAnsi="Times New Roman" w:cs="Times New Roman"/>
                <w:kern w:val="0"/>
                <w:sz w:val="24"/>
                <w:highlight w:val="none"/>
              </w:rPr>
            </w:pPr>
            <w:r>
              <w:rPr>
                <w:rFonts w:hint="default" w:ascii="Times New Roman" w:hAnsi="Times New Roman" w:cs="Times New Roman"/>
                <w:spacing w:val="-4"/>
                <w:sz w:val="24"/>
                <w:highlight w:val="none"/>
              </w:rPr>
              <w:t>项目喷淋废水属于危险废物，委托有资质单位处理</w:t>
            </w:r>
            <w:r>
              <w:rPr>
                <w:rFonts w:hint="default" w:ascii="Times New Roman" w:hAnsi="Times New Roman" w:cs="Times New Roman"/>
                <w:sz w:val="24"/>
                <w:highlight w:val="none"/>
              </w:rPr>
              <w:t>。</w:t>
            </w:r>
          </w:p>
          <w:p w14:paraId="1EB02719">
            <w:pPr>
              <w:spacing w:line="26" w:lineRule="auto"/>
              <w:rPr>
                <w:rFonts w:hint="default" w:ascii="Times New Roman" w:hAnsi="Times New Roman" w:cs="Times New Roman"/>
                <w:sz w:val="2"/>
                <w:highlight w:val="none"/>
              </w:rPr>
            </w:pPr>
          </w:p>
          <w:p w14:paraId="66D8A3DA">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3、噪声</w:t>
            </w:r>
          </w:p>
          <w:p w14:paraId="2012BDC3">
            <w:pPr>
              <w:tabs>
                <w:tab w:val="left" w:pos="1680"/>
              </w:tabs>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bCs/>
                <w:sz w:val="24"/>
                <w:highlight w:val="none"/>
              </w:rPr>
              <w:t>项目施工期厂界噪声执行《建筑施工噪声排放标准》（GB12523-2025）（昼间≤70dB(A)、夜间≤55dB(A)）；运营期厂界噪声执行《工业企业厂界环境噪声排放标准》（GB12348-2008）中3类声功能区标准（昼间≤65dB（A））。</w:t>
            </w:r>
          </w:p>
          <w:p w14:paraId="0A0693F8">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4、固体废物</w:t>
            </w:r>
          </w:p>
          <w:p w14:paraId="3967586D">
            <w:pPr>
              <w:pStyle w:val="108"/>
              <w:spacing w:before="120" w:beforeLines="50" w:line="360" w:lineRule="auto"/>
              <w:ind w:firstLine="480"/>
              <w:jc w:val="left"/>
              <w:rPr>
                <w:rFonts w:hint="default" w:ascii="Times New Roman" w:hAnsi="Times New Roman" w:cs="Times New Roman"/>
                <w:bCs/>
                <w:sz w:val="24"/>
                <w:highlight w:val="none"/>
              </w:rPr>
            </w:pPr>
            <w:r>
              <w:rPr>
                <w:rFonts w:hint="default" w:ascii="Times New Roman" w:hAnsi="Times New Roman" w:cs="Times New Roman"/>
                <w:sz w:val="24"/>
                <w:szCs w:val="24"/>
                <w:highlight w:val="none"/>
              </w:rPr>
              <w:t>固体废物严格执行《中华人民共和国固体废物污染环境防治法（2020年修订）》中固体废物相关环保要求。一般固体废物按照《一般工业固体废物贮存和填埋污染控制标准》（GB18599-2020）中相关要求规范建设和维护厂区内一般固体废物临时堆放场所，并做好防雨、防风、防渗、防漏等措施，制定好转移运输中污染防治；危险废物收集、贮存执行《危险废物贮存污染控制标准》（GB18597-2023），转移按照《危险废物转移管理办法》（2022年1月1日）执行，按照《危险废物管理计划和管理台账制定技术导则》制定管理计划、规范台账记录，按照《危险废物识别标志设置技术规范》（HJ1276-2022）规范危险废物标识。</w:t>
            </w:r>
          </w:p>
        </w:tc>
      </w:tr>
      <w:tr w14:paraId="550D3E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257" w:type="pct"/>
            <w:vAlign w:val="center"/>
          </w:tcPr>
          <w:p w14:paraId="4F5ACA88">
            <w:pPr>
              <w:adjustRightInd w:val="0"/>
              <w:snapToGrid w:val="0"/>
              <w:jc w:val="center"/>
              <w:rPr>
                <w:rFonts w:hint="default" w:ascii="Times New Roman" w:hAnsi="Times New Roman" w:eastAsia="黑体" w:cs="Times New Roman"/>
                <w:kern w:val="0"/>
                <w:sz w:val="24"/>
                <w:highlight w:val="none"/>
              </w:rPr>
            </w:pPr>
            <w:r>
              <w:rPr>
                <w:rFonts w:hint="default" w:ascii="Times New Roman" w:hAnsi="Times New Roman" w:eastAsia="黑体" w:cs="Times New Roman"/>
                <w:kern w:val="0"/>
                <w:sz w:val="24"/>
                <w:highlight w:val="none"/>
              </w:rPr>
              <w:t>总量</w:t>
            </w:r>
          </w:p>
          <w:p w14:paraId="6918A82F">
            <w:pPr>
              <w:adjustRightInd w:val="0"/>
              <w:snapToGrid w:val="0"/>
              <w:jc w:val="center"/>
              <w:rPr>
                <w:rFonts w:hint="default" w:ascii="Times New Roman" w:hAnsi="Times New Roman" w:eastAsia="黑体" w:cs="Times New Roman"/>
                <w:kern w:val="0"/>
                <w:sz w:val="24"/>
                <w:highlight w:val="none"/>
              </w:rPr>
            </w:pPr>
            <w:r>
              <w:rPr>
                <w:rFonts w:hint="default" w:ascii="Times New Roman" w:hAnsi="Times New Roman" w:eastAsia="黑体" w:cs="Times New Roman"/>
                <w:kern w:val="0"/>
                <w:sz w:val="24"/>
                <w:highlight w:val="none"/>
              </w:rPr>
              <w:t>控制</w:t>
            </w:r>
          </w:p>
          <w:p w14:paraId="71F8F8AD">
            <w:pPr>
              <w:adjustRightInd w:val="0"/>
              <w:snapToGrid w:val="0"/>
              <w:jc w:val="center"/>
              <w:rPr>
                <w:rFonts w:hint="default" w:ascii="Times New Roman" w:hAnsi="Times New Roman" w:cs="Times New Roman"/>
                <w:kern w:val="0"/>
                <w:szCs w:val="21"/>
                <w:highlight w:val="none"/>
              </w:rPr>
            </w:pPr>
            <w:r>
              <w:rPr>
                <w:rFonts w:hint="default" w:ascii="Times New Roman" w:hAnsi="Times New Roman" w:eastAsia="黑体" w:cs="Times New Roman"/>
                <w:kern w:val="0"/>
                <w:sz w:val="24"/>
                <w:highlight w:val="none"/>
              </w:rPr>
              <w:t>指标</w:t>
            </w:r>
          </w:p>
        </w:tc>
        <w:tc>
          <w:tcPr>
            <w:tcW w:w="4742" w:type="pct"/>
            <w:vAlign w:val="center"/>
          </w:tcPr>
          <w:p w14:paraId="7768EA5F">
            <w:pPr>
              <w:pStyle w:val="267"/>
              <w:spacing w:before="78" w:line="360" w:lineRule="auto"/>
              <w:ind w:left="124" w:right="103" w:firstLine="464"/>
              <w:rPr>
                <w:rFonts w:hint="default" w:ascii="Times New Roman" w:hAnsi="Times New Roman" w:cs="Times New Roman"/>
                <w:spacing w:val="2"/>
                <w:sz w:val="24"/>
                <w:szCs w:val="24"/>
                <w:highlight w:val="none"/>
                <w:lang w:eastAsia="zh-CN"/>
              </w:rPr>
            </w:pPr>
            <w:r>
              <w:rPr>
                <w:rFonts w:hint="default" w:ascii="Times New Roman" w:hAnsi="Times New Roman" w:cs="Times New Roman"/>
                <w:spacing w:val="2"/>
                <w:sz w:val="24"/>
                <w:szCs w:val="24"/>
                <w:highlight w:val="none"/>
                <w:lang w:eastAsia="zh-CN"/>
              </w:rPr>
              <w:t>根据《山东省建设项目主要大气污染物排放总量替代指标核算及管理办法的通知》及《关于统筹使用“十四五”建设项目主要大气污染物总量指标的通知》（淄环函〔2021〕55号），淄博市二氧化硫、氮氧化物、颗粒物、挥发性有机物四项污染物排放总量指标按照2倍进行削减替代。</w:t>
            </w:r>
          </w:p>
          <w:p w14:paraId="0EF44383">
            <w:pPr>
              <w:pStyle w:val="267"/>
              <w:spacing w:before="78" w:line="360" w:lineRule="auto"/>
              <w:ind w:left="124" w:right="103" w:firstLine="464"/>
              <w:rPr>
                <w:rFonts w:hint="default" w:ascii="Times New Roman" w:hAnsi="Times New Roman" w:cs="Times New Roman"/>
                <w:spacing w:val="2"/>
                <w:sz w:val="24"/>
                <w:szCs w:val="24"/>
                <w:highlight w:val="none"/>
                <w:lang w:eastAsia="zh-CN"/>
              </w:rPr>
            </w:pPr>
            <w:r>
              <w:rPr>
                <w:rFonts w:hint="default" w:ascii="Times New Roman" w:hAnsi="Times New Roman" w:cs="Times New Roman"/>
                <w:spacing w:val="2"/>
                <w:sz w:val="24"/>
                <w:szCs w:val="24"/>
                <w:highlight w:val="none"/>
                <w:lang w:eastAsia="zh-CN"/>
              </w:rPr>
              <w:t>废水：项目喷淋废水属于危险废物，委托有资质单位处理。</w:t>
            </w:r>
          </w:p>
          <w:p w14:paraId="4BCEBBF3">
            <w:pPr>
              <w:pStyle w:val="267"/>
              <w:spacing w:before="78" w:line="360" w:lineRule="auto"/>
              <w:ind w:left="124" w:right="103" w:firstLine="464"/>
              <w:rPr>
                <w:rFonts w:hint="default" w:ascii="Times New Roman" w:hAnsi="Times New Roman" w:cs="Times New Roman"/>
                <w:spacing w:val="2"/>
                <w:sz w:val="24"/>
                <w:szCs w:val="24"/>
                <w:highlight w:val="none"/>
                <w:lang w:eastAsia="zh-CN"/>
              </w:rPr>
            </w:pPr>
            <w:r>
              <w:rPr>
                <w:rFonts w:hint="default" w:ascii="Times New Roman" w:hAnsi="Times New Roman" w:cs="Times New Roman"/>
                <w:spacing w:val="2"/>
                <w:sz w:val="24"/>
                <w:szCs w:val="24"/>
                <w:highlight w:val="none"/>
                <w:lang w:eastAsia="zh-CN"/>
              </w:rPr>
              <w:t>废气：本项目建成后污染物排放量：VOCs：0.159t/a。考虑倍量替代后，替代量为VOCs：0.318t/a。</w:t>
            </w:r>
          </w:p>
        </w:tc>
      </w:tr>
    </w:tbl>
    <w:p w14:paraId="7820E40A">
      <w:pPr>
        <w:pStyle w:val="42"/>
        <w:tabs>
          <w:tab w:val="left" w:pos="630"/>
          <w:tab w:val="center" w:pos="4873"/>
        </w:tabs>
        <w:spacing w:before="0" w:beforeAutospacing="0" w:after="0" w:afterAutospacing="0" w:line="360" w:lineRule="auto"/>
        <w:outlineLvl w:val="0"/>
        <w:rPr>
          <w:rFonts w:hint="default" w:ascii="Times New Roman" w:hAnsi="Times New Roman" w:eastAsia="黑体" w:cs="Times New Roman"/>
          <w:snapToGrid w:val="0"/>
          <w:sz w:val="36"/>
          <w:szCs w:val="36"/>
          <w:highlight w:val="none"/>
        </w:rPr>
        <w:sectPr>
          <w:type w:val="continuous"/>
          <w:pgSz w:w="11907" w:h="16840"/>
          <w:pgMar w:top="1440" w:right="1080" w:bottom="1440" w:left="1080" w:header="851" w:footer="851" w:gutter="0"/>
          <w:cols w:space="720" w:num="1"/>
          <w:docGrid w:linePitch="312" w:charSpace="0"/>
        </w:sectPr>
      </w:pPr>
    </w:p>
    <w:p w14:paraId="20D94AEC">
      <w:pPr>
        <w:pStyle w:val="42"/>
        <w:spacing w:before="0" w:beforeAutospacing="0" w:after="0" w:afterAutospacing="0" w:line="360" w:lineRule="auto"/>
        <w:jc w:val="center"/>
        <w:outlineLvl w:val="0"/>
        <w:rPr>
          <w:rFonts w:hint="default" w:ascii="Times New Roman" w:hAnsi="Times New Roman" w:eastAsia="黑体" w:cs="Times New Roman"/>
          <w:b/>
          <w:bCs/>
          <w:snapToGrid w:val="0"/>
          <w:sz w:val="30"/>
          <w:szCs w:val="30"/>
          <w:highlight w:val="none"/>
        </w:rPr>
      </w:pPr>
      <w:r>
        <w:rPr>
          <w:rFonts w:hint="default" w:ascii="Times New Roman" w:hAnsi="Times New Roman" w:eastAsia="黑体" w:cs="Times New Roman"/>
          <w:b/>
          <w:bCs/>
          <w:snapToGrid w:val="0"/>
          <w:sz w:val="30"/>
          <w:szCs w:val="30"/>
          <w:highlight w:val="none"/>
        </w:rPr>
        <w:t>四、主要环境影响和保护措施</w:t>
      </w:r>
    </w:p>
    <w:tbl>
      <w:tblPr>
        <w:tblStyle w:val="46"/>
        <w:tblW w:w="505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8"/>
        <w:gridCol w:w="9576"/>
      </w:tblGrid>
      <w:tr w14:paraId="59BA41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37" w:hRule="atLeast"/>
          <w:jc w:val="center"/>
        </w:trPr>
        <w:tc>
          <w:tcPr>
            <w:tcW w:w="209" w:type="pct"/>
            <w:tcMar>
              <w:left w:w="28" w:type="dxa"/>
              <w:right w:w="28" w:type="dxa"/>
            </w:tcMar>
            <w:vAlign w:val="center"/>
          </w:tcPr>
          <w:p w14:paraId="4B1BF9CE">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施工</w:t>
            </w:r>
          </w:p>
          <w:p w14:paraId="0B4B24E9">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期环</w:t>
            </w:r>
          </w:p>
          <w:p w14:paraId="5CD3C6A6">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境保</w:t>
            </w:r>
          </w:p>
          <w:p w14:paraId="4378BD80">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护措</w:t>
            </w:r>
          </w:p>
          <w:p w14:paraId="0A0AA042">
            <w:pPr>
              <w:spacing w:line="360" w:lineRule="auto"/>
              <w:jc w:val="center"/>
              <w:rPr>
                <w:rFonts w:hint="default" w:ascii="Times New Roman" w:hAnsi="Times New Roman" w:cs="Times New Roman"/>
                <w:bCs/>
                <w:szCs w:val="21"/>
                <w:highlight w:val="none"/>
              </w:rPr>
            </w:pPr>
            <w:r>
              <w:rPr>
                <w:rFonts w:hint="default" w:ascii="Times New Roman" w:hAnsi="Times New Roman" w:cs="Times New Roman"/>
                <w:bCs/>
                <w:sz w:val="24"/>
                <w:highlight w:val="none"/>
              </w:rPr>
              <w:t>施</w:t>
            </w:r>
          </w:p>
        </w:tc>
        <w:tc>
          <w:tcPr>
            <w:tcW w:w="4790" w:type="pct"/>
            <w:tcBorders>
              <w:bottom w:val="single" w:color="auto" w:sz="4" w:space="0"/>
            </w:tcBorders>
          </w:tcPr>
          <w:p w14:paraId="54B2C5C3">
            <w:pPr>
              <w:adjustRightInd w:val="0"/>
              <w:snapToGrid w:val="0"/>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1、大气环境影响分析</w:t>
            </w:r>
          </w:p>
          <w:p w14:paraId="6959B61C">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施工期废气主要为挖掘地基、土方运输和土地平整等环节产生的扬尘，车辆运输及设备运行过程中排放的尾气。</w:t>
            </w:r>
          </w:p>
          <w:p w14:paraId="31AC3C12">
            <w:pPr>
              <w:adjustRightInd w:val="0"/>
              <w:snapToGrid w:val="0"/>
              <w:spacing w:line="360" w:lineRule="auto"/>
              <w:ind w:firstLine="480" w:firstLineChars="200"/>
              <w:rPr>
                <w:rFonts w:hint="default" w:ascii="Times New Roman" w:hAnsi="Times New Roman" w:cs="Times New Roman"/>
                <w:b/>
                <w:sz w:val="24"/>
                <w:highlight w:val="none"/>
              </w:rPr>
            </w:pPr>
            <w:r>
              <w:rPr>
                <w:rFonts w:hint="default" w:ascii="Times New Roman" w:hAnsi="Times New Roman" w:cs="Times New Roman"/>
                <w:sz w:val="24"/>
                <w:highlight w:val="none"/>
                <w:lang w:bidi="ar"/>
              </w:rPr>
              <w:t>本项目土建阶段现场施工机械主要以电力为能源，</w:t>
            </w:r>
            <w:r>
              <w:rPr>
                <w:rFonts w:hint="default" w:ascii="Times New Roman" w:hAnsi="Times New Roman" w:cs="Times New Roman"/>
                <w:sz w:val="24"/>
                <w:highlight w:val="none"/>
              </w:rPr>
              <w:t>废气产生量较小</w:t>
            </w:r>
            <w:r>
              <w:rPr>
                <w:rFonts w:hint="default" w:ascii="Times New Roman" w:hAnsi="Times New Roman" w:cs="Times New Roman"/>
                <w:sz w:val="24"/>
                <w:highlight w:val="none"/>
                <w:lang w:bidi="ar"/>
              </w:rPr>
              <w:t>，只有运输车辆以汽、柴油为燃料，有尾气的排放，但使用期短，尾气排放量也较小，再加上周围地形开阔，风速不大，对区域大气环境影响较小。</w:t>
            </w:r>
          </w:p>
          <w:p w14:paraId="37894798">
            <w:pPr>
              <w:adjustRightInd w:val="0"/>
              <w:snapToGrid w:val="0"/>
              <w:spacing w:line="360" w:lineRule="auto"/>
              <w:ind w:firstLine="480" w:firstLineChars="200"/>
              <w:rPr>
                <w:rFonts w:hint="default" w:ascii="Times New Roman" w:hAnsi="Times New Roman" w:cs="Times New Roman"/>
                <w:sz w:val="24"/>
                <w:highlight w:val="none"/>
                <w:lang w:bidi="ar"/>
              </w:rPr>
            </w:pPr>
            <w:r>
              <w:rPr>
                <w:rFonts w:hint="default" w:ascii="Times New Roman" w:hAnsi="Times New Roman" w:cs="Times New Roman"/>
                <w:sz w:val="24"/>
                <w:highlight w:val="none"/>
                <w:lang w:bidi="ar"/>
              </w:rPr>
              <w:t>施工期的大气污染物主要是扬尘，对整个施工期而言，施工产生的扬尘主要集中在施工阶段，按起尘的原因可分为风力起尘和动力起尘，其中风力起尘主要是由于露天堆放的建材（如黄沙、水泥等）及裸露的施工区表层浮尘因天气干燥及大风，产生风尘扬尘；而动力扬尘主要是在建材的装卸、搅拌过程中，由于外力而产生的尘粒再悬浮而造成。</w:t>
            </w:r>
          </w:p>
          <w:p w14:paraId="288C6FE2">
            <w:pPr>
              <w:adjustRightInd w:val="0"/>
              <w:snapToGrid w:val="0"/>
              <w:spacing w:line="360" w:lineRule="auto"/>
              <w:ind w:firstLine="480" w:firstLineChars="200"/>
              <w:rPr>
                <w:rFonts w:hint="default" w:ascii="Times New Roman" w:hAnsi="Times New Roman" w:cs="Times New Roman"/>
                <w:sz w:val="24"/>
                <w:highlight w:val="none"/>
                <w:lang w:bidi="ar"/>
              </w:rPr>
            </w:pPr>
            <w:r>
              <w:rPr>
                <w:rFonts w:hint="default" w:ascii="Times New Roman" w:hAnsi="Times New Roman" w:cs="Times New Roman"/>
                <w:sz w:val="24"/>
                <w:highlight w:val="none"/>
                <w:lang w:bidi="ar"/>
              </w:rPr>
              <w:t>根据北京市劳动卫生环保科研所等单位在市政施工现场的监测资料，一般气象条件下，平均风速为2.5m/s，建筑施工扬尘的影响范围可达下风向150m，距施工场地20米处的TPS的浓度增加值为1.603mg/m</w:t>
            </w:r>
            <w:r>
              <w:rPr>
                <w:rFonts w:hint="default" w:ascii="Times New Roman" w:hAnsi="Times New Roman" w:cs="Times New Roman"/>
                <w:sz w:val="24"/>
                <w:highlight w:val="none"/>
                <w:vertAlign w:val="superscript"/>
                <w:lang w:bidi="ar"/>
              </w:rPr>
              <w:t>3</w:t>
            </w:r>
            <w:r>
              <w:rPr>
                <w:rFonts w:hint="default" w:ascii="Times New Roman" w:hAnsi="Times New Roman" w:cs="Times New Roman"/>
                <w:sz w:val="24"/>
                <w:highlight w:val="none"/>
                <w:lang w:bidi="ar"/>
              </w:rPr>
              <w:t>，距50米处的TPS浓度增加值为0.261mg/m</w:t>
            </w:r>
            <w:r>
              <w:rPr>
                <w:rFonts w:hint="default" w:ascii="Times New Roman" w:hAnsi="Times New Roman" w:cs="Times New Roman"/>
                <w:sz w:val="24"/>
                <w:highlight w:val="none"/>
                <w:vertAlign w:val="superscript"/>
                <w:lang w:bidi="ar"/>
              </w:rPr>
              <w:t>3</w:t>
            </w:r>
            <w:r>
              <w:rPr>
                <w:rFonts w:hint="default" w:ascii="Times New Roman" w:hAnsi="Times New Roman" w:cs="Times New Roman"/>
                <w:sz w:val="24"/>
                <w:highlight w:val="none"/>
                <w:lang w:bidi="ar"/>
              </w:rPr>
              <w:t>，影响范围内TPS的浓度均值可达0.49mg/m</w:t>
            </w:r>
            <w:r>
              <w:rPr>
                <w:rFonts w:hint="default" w:ascii="Times New Roman" w:hAnsi="Times New Roman" w:cs="Times New Roman"/>
                <w:sz w:val="24"/>
                <w:highlight w:val="none"/>
                <w:vertAlign w:val="superscript"/>
                <w:lang w:bidi="ar"/>
              </w:rPr>
              <w:t>3</w:t>
            </w:r>
            <w:r>
              <w:rPr>
                <w:rFonts w:hint="default" w:ascii="Times New Roman" w:hAnsi="Times New Roman" w:cs="Times New Roman"/>
                <w:sz w:val="24"/>
                <w:highlight w:val="none"/>
                <w:lang w:bidi="ar"/>
              </w:rPr>
              <w:t>，为其上风向的2-2.5倍，相当于空气质量标准的1.6倍。在同等条件下，当有围栏时，其影响距离可缩短40%。</w:t>
            </w:r>
          </w:p>
          <w:p w14:paraId="2EACE687">
            <w:pPr>
              <w:pStyle w:val="19"/>
              <w:adjustRightInd w:val="0"/>
              <w:snapToGrid w:val="0"/>
              <w:spacing w:line="360" w:lineRule="auto"/>
              <w:ind w:firstLine="480" w:firstLineChars="200"/>
              <w:rPr>
                <w:rFonts w:hint="default" w:ascii="Times New Roman" w:hAnsi="Times New Roman" w:cs="Times New Roman"/>
                <w:kern w:val="2"/>
                <w:szCs w:val="24"/>
                <w:highlight w:val="none"/>
                <w:lang w:bidi="ar"/>
              </w:rPr>
            </w:pPr>
            <w:r>
              <w:rPr>
                <w:rFonts w:hint="default" w:ascii="Times New Roman" w:hAnsi="Times New Roman" w:cs="Times New Roman"/>
                <w:kern w:val="2"/>
                <w:szCs w:val="24"/>
                <w:highlight w:val="none"/>
                <w:lang w:bidi="ar"/>
              </w:rPr>
              <w:t>为减少施工扬尘，需做到以下几点：一是施工车辆在进入施工场地后，需减速行驶，建议行驶车速不大于5km/h，此时的扬尘量可减少为一般行驶速度情况下的1/3；二是应避免在大风天气进行水泥、黄沙等的装卸作业，对水泥类物资尽可能不要露天堆放，即使必须露天堆放，也要注意加盖防雨布，减少大风造成的施工扬尘；三是必须在有风干燥天气实施洒水抑尘作业，洒水次数和洒水量视具体情况而定。</w:t>
            </w:r>
          </w:p>
          <w:p w14:paraId="3A149013">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lang w:bidi="ar"/>
              </w:rPr>
              <w:t>在采取上述抑尘措施后，施工扬尘对大气环境影响较小，可满足</w:t>
            </w:r>
            <w:r>
              <w:rPr>
                <w:rFonts w:hint="default" w:ascii="Times New Roman" w:hAnsi="Times New Roman" w:cs="Times New Roman"/>
                <w:sz w:val="24"/>
                <w:highlight w:val="none"/>
              </w:rPr>
              <w:t>《大气污染物综合排放标准》（GB16297-1996）表2新污染源大气污染物中其他颗粒物无组织排放监控浓度限值1.0mg/m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w:t>
            </w:r>
          </w:p>
          <w:p w14:paraId="41E80A3C">
            <w:pPr>
              <w:pStyle w:val="19"/>
              <w:adjustRightInd w:val="0"/>
              <w:snapToGrid w:val="0"/>
              <w:spacing w:line="360" w:lineRule="auto"/>
              <w:ind w:firstLine="480" w:firstLineChars="200"/>
              <w:rPr>
                <w:rFonts w:hint="default" w:ascii="Times New Roman" w:hAnsi="Times New Roman" w:cs="Times New Roman"/>
                <w:b/>
                <w:szCs w:val="24"/>
                <w:highlight w:val="none"/>
              </w:rPr>
            </w:pPr>
            <w:r>
              <w:rPr>
                <w:rFonts w:hint="default" w:ascii="Times New Roman" w:hAnsi="Times New Roman" w:cs="Times New Roman"/>
                <w:szCs w:val="24"/>
                <w:highlight w:val="none"/>
              </w:rPr>
              <w:t>本项目施工结束后，场区内将被设施完善的厂房所代替，扬尘污染将随施工结束而消失。</w:t>
            </w:r>
          </w:p>
          <w:p w14:paraId="7DDD77C2">
            <w:pPr>
              <w:adjustRightInd w:val="0"/>
              <w:snapToGrid w:val="0"/>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2.水环境影响分析</w:t>
            </w:r>
          </w:p>
          <w:p w14:paraId="3448571F">
            <w:pPr>
              <w:pStyle w:val="285"/>
              <w:widowControl w:val="0"/>
              <w:adjustRightInd w:val="0"/>
              <w:snapToGrid w:val="0"/>
              <w:spacing w:before="0" w:beforeAutospacing="0" w:after="0" w:afterAutospacing="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施工期废水主要是施工现场工人生活区产生的生活污水、施工活动中产生的施工废水等。生活污水主要污染物是SS、COD</w:t>
            </w:r>
            <w:r>
              <w:rPr>
                <w:rFonts w:hint="default" w:ascii="Times New Roman" w:hAnsi="Times New Roman" w:cs="Times New Roman"/>
                <w:highlight w:val="none"/>
                <w:vertAlign w:val="subscript"/>
              </w:rPr>
              <w:t>cr</w:t>
            </w:r>
            <w:r>
              <w:rPr>
                <w:rFonts w:hint="default" w:ascii="Times New Roman" w:hAnsi="Times New Roman" w:cs="Times New Roman"/>
                <w:highlight w:val="none"/>
              </w:rPr>
              <w:t>、BOD</w:t>
            </w:r>
            <w:r>
              <w:rPr>
                <w:rFonts w:hint="default" w:ascii="Times New Roman" w:hAnsi="Times New Roman" w:cs="Times New Roman"/>
                <w:highlight w:val="none"/>
                <w:vertAlign w:val="subscript"/>
              </w:rPr>
              <w:t>5</w:t>
            </w:r>
            <w:r>
              <w:rPr>
                <w:rFonts w:hint="default" w:ascii="Times New Roman" w:hAnsi="Times New Roman" w:cs="Times New Roman"/>
                <w:highlight w:val="none"/>
              </w:rPr>
              <w:t>等；施工废水主要为设备清洗废水、车辆冲洗废水等，成分相对比较简单，污染物浓度低，水量较少，属于瞬时排放。建设施工期产生的施工废水沉淀后回用，不外排；本项目施工人员为10人，施工人员生活用水量按35L/人·d计，消耗新鲜水0.35m</w:t>
            </w:r>
            <w:r>
              <w:rPr>
                <w:rFonts w:hint="default" w:ascii="Times New Roman" w:hAnsi="Times New Roman" w:cs="Times New Roman"/>
                <w:highlight w:val="none"/>
                <w:vertAlign w:val="superscript"/>
              </w:rPr>
              <w:t>3</w:t>
            </w:r>
            <w:r>
              <w:rPr>
                <w:rFonts w:hint="default" w:ascii="Times New Roman" w:hAnsi="Times New Roman" w:cs="Times New Roman"/>
                <w:highlight w:val="none"/>
              </w:rPr>
              <w:t>/d，产污系数按0.8计，则施工场地产生的生活污水为0.28m</w:t>
            </w:r>
            <w:r>
              <w:rPr>
                <w:rFonts w:hint="default" w:ascii="Times New Roman" w:hAnsi="Times New Roman" w:cs="Times New Roman"/>
                <w:highlight w:val="none"/>
                <w:vertAlign w:val="superscript"/>
              </w:rPr>
              <w:t>3</w:t>
            </w:r>
            <w:r>
              <w:rPr>
                <w:rFonts w:hint="default" w:ascii="Times New Roman" w:hAnsi="Times New Roman" w:cs="Times New Roman"/>
                <w:highlight w:val="none"/>
              </w:rPr>
              <w:t>/d。施工人员产生的</w:t>
            </w:r>
            <w:r>
              <w:rPr>
                <w:rFonts w:hint="default" w:ascii="Times New Roman" w:hAnsi="Times New Roman" w:cs="Times New Roman"/>
                <w:spacing w:val="-2"/>
                <w:highlight w:val="none"/>
              </w:rPr>
              <w:t>生活污水经旱厕暂存后，定期清运用作农肥</w:t>
            </w:r>
            <w:r>
              <w:rPr>
                <w:rFonts w:hint="default" w:ascii="Times New Roman" w:hAnsi="Times New Roman" w:cs="Times New Roman"/>
                <w:highlight w:val="none"/>
              </w:rPr>
              <w:t>。</w:t>
            </w:r>
          </w:p>
          <w:p w14:paraId="56430DA9">
            <w:pPr>
              <w:adjustRightInd w:val="0"/>
              <w:snapToGrid w:val="0"/>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3.噪声环境影响分析</w:t>
            </w:r>
          </w:p>
          <w:p w14:paraId="656FFE95">
            <w:pPr>
              <w:adjustRightInd w:val="0"/>
              <w:snapToGrid w:val="0"/>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（1）噪声源强</w:t>
            </w:r>
          </w:p>
          <w:p w14:paraId="14869371">
            <w:pPr>
              <w:adjustRightInd w:val="0"/>
              <w:snapToGrid w:val="0"/>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施工噪声主要由施工机械和运输车辆产生，项目在不同施工阶段、不同场地、不同作业类型所产生的噪声强度有所不同。施工期参与施工的机械类型较多，由于施工阶段一般为露天作业，无隔声消减措施，故传播较远。施工期各类大型施工机械声级强度见下表。</w:t>
            </w:r>
          </w:p>
          <w:p w14:paraId="09D30C74">
            <w:pPr>
              <w:adjustRightInd w:val="0"/>
              <w:snapToGrid w:val="0"/>
              <w:jc w:val="center"/>
              <w:rPr>
                <w:rFonts w:hint="default" w:ascii="Times New Roman" w:hAnsi="Times New Roman" w:cs="Times New Roman"/>
                <w:b/>
                <w:sz w:val="24"/>
                <w:highlight w:val="none"/>
              </w:rPr>
            </w:pPr>
            <w:r>
              <w:rPr>
                <w:rFonts w:hint="default" w:ascii="Times New Roman" w:hAnsi="Times New Roman" w:cs="Times New Roman"/>
                <w:b/>
                <w:sz w:val="24"/>
                <w:highlight w:val="none"/>
              </w:rPr>
              <w:t>表4-1主要噪声设备声级强度表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4037"/>
              <w:gridCol w:w="4037"/>
            </w:tblGrid>
            <w:tr w14:paraId="2D554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2" w:type="pct"/>
                  <w:tcBorders>
                    <w:tl2br w:val="nil"/>
                    <w:tr2bl w:val="nil"/>
                  </w:tcBorders>
                  <w:vAlign w:val="center"/>
                </w:tcPr>
                <w:p w14:paraId="00916CA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序号</w:t>
                  </w:r>
                </w:p>
              </w:tc>
              <w:tc>
                <w:tcPr>
                  <w:tcW w:w="2159" w:type="pct"/>
                  <w:tcBorders>
                    <w:tl2br w:val="nil"/>
                    <w:tr2bl w:val="nil"/>
                  </w:tcBorders>
                  <w:vAlign w:val="center"/>
                </w:tcPr>
                <w:p w14:paraId="6602D49B">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设备名称</w:t>
                  </w:r>
                </w:p>
              </w:tc>
              <w:tc>
                <w:tcPr>
                  <w:tcW w:w="2160" w:type="pct"/>
                  <w:tcBorders>
                    <w:tl2br w:val="nil"/>
                    <w:tr2bl w:val="nil"/>
                  </w:tcBorders>
                  <w:vAlign w:val="center"/>
                </w:tcPr>
                <w:p w14:paraId="15A31B2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噪声强度dB（A）</w:t>
                  </w:r>
                </w:p>
              </w:tc>
            </w:tr>
            <w:tr w14:paraId="01046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2" w:type="pct"/>
                  <w:tcBorders>
                    <w:tl2br w:val="nil"/>
                    <w:tr2bl w:val="nil"/>
                  </w:tcBorders>
                  <w:vAlign w:val="center"/>
                </w:tcPr>
                <w:p w14:paraId="3AC8E88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w:t>
                  </w:r>
                </w:p>
              </w:tc>
              <w:tc>
                <w:tcPr>
                  <w:tcW w:w="2159" w:type="pct"/>
                  <w:tcBorders>
                    <w:tl2br w:val="nil"/>
                    <w:tr2bl w:val="nil"/>
                  </w:tcBorders>
                  <w:vAlign w:val="center"/>
                </w:tcPr>
                <w:p w14:paraId="488E35B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挖掘机</w:t>
                  </w:r>
                </w:p>
              </w:tc>
              <w:tc>
                <w:tcPr>
                  <w:tcW w:w="2160" w:type="pct"/>
                  <w:tcBorders>
                    <w:tl2br w:val="nil"/>
                    <w:tr2bl w:val="nil"/>
                  </w:tcBorders>
                  <w:vAlign w:val="center"/>
                </w:tcPr>
                <w:p w14:paraId="12AFE582">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100</w:t>
                  </w:r>
                </w:p>
              </w:tc>
            </w:tr>
            <w:tr w14:paraId="5CD03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2" w:type="pct"/>
                  <w:tcBorders>
                    <w:tl2br w:val="nil"/>
                    <w:tr2bl w:val="nil"/>
                  </w:tcBorders>
                  <w:vAlign w:val="center"/>
                </w:tcPr>
                <w:p w14:paraId="207946D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w:t>
                  </w:r>
                </w:p>
              </w:tc>
              <w:tc>
                <w:tcPr>
                  <w:tcW w:w="2159" w:type="pct"/>
                  <w:tcBorders>
                    <w:tl2br w:val="nil"/>
                    <w:tr2bl w:val="nil"/>
                  </w:tcBorders>
                  <w:vAlign w:val="center"/>
                </w:tcPr>
                <w:p w14:paraId="679EBF14">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推土机</w:t>
                  </w:r>
                </w:p>
              </w:tc>
              <w:tc>
                <w:tcPr>
                  <w:tcW w:w="2160" w:type="pct"/>
                  <w:tcBorders>
                    <w:tl2br w:val="nil"/>
                    <w:tr2bl w:val="nil"/>
                  </w:tcBorders>
                  <w:vAlign w:val="center"/>
                </w:tcPr>
                <w:p w14:paraId="501550F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100</w:t>
                  </w:r>
                </w:p>
              </w:tc>
            </w:tr>
            <w:tr w14:paraId="0E71C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2" w:type="pct"/>
                  <w:tcBorders>
                    <w:tl2br w:val="nil"/>
                    <w:tr2bl w:val="nil"/>
                  </w:tcBorders>
                  <w:vAlign w:val="center"/>
                </w:tcPr>
                <w:p w14:paraId="3A9E6FB0">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w:t>
                  </w:r>
                </w:p>
              </w:tc>
              <w:tc>
                <w:tcPr>
                  <w:tcW w:w="2159" w:type="pct"/>
                  <w:tcBorders>
                    <w:tl2br w:val="nil"/>
                    <w:tr2bl w:val="nil"/>
                  </w:tcBorders>
                  <w:vAlign w:val="center"/>
                </w:tcPr>
                <w:p w14:paraId="6B2F8BA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自卸卡车</w:t>
                  </w:r>
                </w:p>
              </w:tc>
              <w:tc>
                <w:tcPr>
                  <w:tcW w:w="2160" w:type="pct"/>
                  <w:tcBorders>
                    <w:tl2br w:val="nil"/>
                    <w:tr2bl w:val="nil"/>
                  </w:tcBorders>
                  <w:vAlign w:val="center"/>
                </w:tcPr>
                <w:p w14:paraId="1A0D61E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90</w:t>
                  </w:r>
                </w:p>
              </w:tc>
            </w:tr>
            <w:tr w14:paraId="4DA60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2" w:type="pct"/>
                  <w:tcBorders>
                    <w:tl2br w:val="nil"/>
                    <w:tr2bl w:val="nil"/>
                  </w:tcBorders>
                  <w:vAlign w:val="center"/>
                </w:tcPr>
                <w:p w14:paraId="3EA5A05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w:t>
                  </w:r>
                </w:p>
              </w:tc>
              <w:tc>
                <w:tcPr>
                  <w:tcW w:w="2159" w:type="pct"/>
                  <w:tcBorders>
                    <w:tl2br w:val="nil"/>
                    <w:tr2bl w:val="nil"/>
                  </w:tcBorders>
                  <w:vAlign w:val="center"/>
                </w:tcPr>
                <w:p w14:paraId="73041984">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装载机</w:t>
                  </w:r>
                </w:p>
              </w:tc>
              <w:tc>
                <w:tcPr>
                  <w:tcW w:w="2160" w:type="pct"/>
                  <w:tcBorders>
                    <w:tl2br w:val="nil"/>
                    <w:tr2bl w:val="nil"/>
                  </w:tcBorders>
                  <w:vAlign w:val="center"/>
                </w:tcPr>
                <w:p w14:paraId="7F53D1D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90</w:t>
                  </w:r>
                </w:p>
              </w:tc>
            </w:tr>
            <w:tr w14:paraId="1C99A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2" w:type="pct"/>
                  <w:tcBorders>
                    <w:tl2br w:val="nil"/>
                    <w:tr2bl w:val="nil"/>
                  </w:tcBorders>
                  <w:vAlign w:val="center"/>
                </w:tcPr>
                <w:p w14:paraId="764343D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w:t>
                  </w:r>
                </w:p>
              </w:tc>
              <w:tc>
                <w:tcPr>
                  <w:tcW w:w="2159" w:type="pct"/>
                  <w:tcBorders>
                    <w:tl2br w:val="nil"/>
                    <w:tr2bl w:val="nil"/>
                  </w:tcBorders>
                  <w:vAlign w:val="center"/>
                </w:tcPr>
                <w:p w14:paraId="0D8F5EA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砼振捣机</w:t>
                  </w:r>
                </w:p>
              </w:tc>
              <w:tc>
                <w:tcPr>
                  <w:tcW w:w="2160" w:type="pct"/>
                  <w:tcBorders>
                    <w:tl2br w:val="nil"/>
                    <w:tr2bl w:val="nil"/>
                  </w:tcBorders>
                  <w:vAlign w:val="center"/>
                </w:tcPr>
                <w:p w14:paraId="502E55A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105</w:t>
                  </w:r>
                </w:p>
              </w:tc>
            </w:tr>
            <w:tr w14:paraId="214FA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2" w:type="pct"/>
                  <w:tcBorders>
                    <w:tl2br w:val="nil"/>
                    <w:tr2bl w:val="nil"/>
                  </w:tcBorders>
                  <w:vAlign w:val="center"/>
                </w:tcPr>
                <w:p w14:paraId="4E6C74FB">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w:t>
                  </w:r>
                </w:p>
              </w:tc>
              <w:tc>
                <w:tcPr>
                  <w:tcW w:w="2159" w:type="pct"/>
                  <w:tcBorders>
                    <w:tl2br w:val="nil"/>
                    <w:tr2bl w:val="nil"/>
                  </w:tcBorders>
                  <w:vAlign w:val="center"/>
                </w:tcPr>
                <w:p w14:paraId="31D08D9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砼搅拌机</w:t>
                  </w:r>
                </w:p>
              </w:tc>
              <w:tc>
                <w:tcPr>
                  <w:tcW w:w="2160" w:type="pct"/>
                  <w:tcBorders>
                    <w:tl2br w:val="nil"/>
                    <w:tr2bl w:val="nil"/>
                  </w:tcBorders>
                  <w:vAlign w:val="center"/>
                </w:tcPr>
                <w:p w14:paraId="28D57E0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88</w:t>
                  </w:r>
                </w:p>
              </w:tc>
            </w:tr>
          </w:tbl>
          <w:p w14:paraId="07F2DE6D">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由上表可知，这些设备运行及生产活动产生的噪声级都比较高，噪声声级一般在88dB（A）～105dB（A）之间，在多台机械设备同时作业时，它们的噪声将产生叠加。根据类比调查，叠加后的噪声增值约3～8dB（A）。</w:t>
            </w:r>
          </w:p>
          <w:p w14:paraId="0B4BB18D">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（2）声环境影响预测</w:t>
            </w:r>
          </w:p>
          <w:p w14:paraId="71E7194E">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fldChar w:fldCharType="begin"/>
            </w:r>
            <w:r>
              <w:rPr>
                <w:rFonts w:hint="default" w:ascii="Times New Roman" w:hAnsi="Times New Roman" w:cs="Times New Roman"/>
                <w:bCs/>
                <w:sz w:val="24"/>
                <w:highlight w:val="none"/>
              </w:rPr>
              <w:instrText xml:space="preserve"> = 1 \* GB3 \* MERGEFORMAT </w:instrText>
            </w:r>
            <w:r>
              <w:rPr>
                <w:rFonts w:hint="default" w:ascii="Times New Roman" w:hAnsi="Times New Roman" w:cs="Times New Roman"/>
                <w:bCs/>
                <w:sz w:val="24"/>
                <w:highlight w:val="none"/>
              </w:rPr>
              <w:fldChar w:fldCharType="separate"/>
            </w:r>
            <w:r>
              <w:rPr>
                <w:rFonts w:hint="default" w:ascii="Times New Roman" w:hAnsi="Times New Roman" w:cs="Times New Roman"/>
                <w:bCs/>
                <w:sz w:val="24"/>
                <w:highlight w:val="none"/>
              </w:rPr>
              <w:t>①</w:t>
            </w:r>
            <w:r>
              <w:rPr>
                <w:rFonts w:hint="default" w:ascii="Times New Roman" w:hAnsi="Times New Roman" w:cs="Times New Roman"/>
                <w:bCs/>
                <w:sz w:val="24"/>
                <w:highlight w:val="none"/>
              </w:rPr>
              <w:fldChar w:fldCharType="end"/>
            </w:r>
            <w:r>
              <w:rPr>
                <w:rFonts w:hint="default" w:ascii="Times New Roman" w:hAnsi="Times New Roman" w:cs="Times New Roman"/>
                <w:bCs/>
                <w:sz w:val="24"/>
                <w:highlight w:val="none"/>
              </w:rPr>
              <w:t>预测模式</w:t>
            </w:r>
          </w:p>
          <w:p w14:paraId="49C2B02F">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各种施工机械声源场主要是在地面产生，可近似作为点声源处理，根据点声源噪声传播衰减模式，可估算施工期间离噪声声源不同距离处的噪声值，从而可就施工机械噪声对评价范围的影响做出分析评价，预测模式如下：</w:t>
            </w:r>
          </w:p>
          <w:p w14:paraId="4CEDD5D0">
            <w:pPr>
              <w:adjustRightInd w:val="0"/>
              <w:snapToGrid w:val="0"/>
              <w:spacing w:line="360" w:lineRule="auto"/>
              <w:ind w:firstLine="482"/>
              <w:jc w:val="center"/>
              <w:rPr>
                <w:rFonts w:hint="default" w:ascii="Times New Roman" w:hAnsi="Times New Roman" w:cs="Times New Roman"/>
                <w:sz w:val="24"/>
                <w:highlight w:val="none"/>
              </w:rPr>
            </w:pPr>
            <w:r>
              <w:rPr>
                <w:rFonts w:hint="default" w:ascii="Times New Roman" w:hAnsi="Times New Roman" w:cs="Times New Roman"/>
                <w:i/>
                <w:sz w:val="24"/>
                <w:highlight w:val="none"/>
              </w:rPr>
              <w:t>L</w:t>
            </w:r>
            <w:r>
              <w:rPr>
                <w:rFonts w:hint="default" w:ascii="Times New Roman" w:hAnsi="Times New Roman" w:cs="Times New Roman"/>
                <w:i/>
                <w:sz w:val="24"/>
                <w:highlight w:val="none"/>
                <w:vertAlign w:val="subscript"/>
              </w:rPr>
              <w:t>P</w:t>
            </w:r>
            <w:r>
              <w:rPr>
                <w:rFonts w:hint="default" w:ascii="Times New Roman" w:hAnsi="Times New Roman" w:cs="Times New Roman"/>
                <w:sz w:val="24"/>
                <w:highlight w:val="none"/>
              </w:rPr>
              <w:t>®=</w:t>
            </w:r>
            <w:r>
              <w:rPr>
                <w:rFonts w:hint="default" w:ascii="Times New Roman" w:hAnsi="Times New Roman" w:cs="Times New Roman"/>
                <w:i/>
                <w:sz w:val="24"/>
                <w:highlight w:val="none"/>
              </w:rPr>
              <w:t>L</w:t>
            </w:r>
            <w:r>
              <w:rPr>
                <w:rFonts w:hint="default" w:ascii="Times New Roman" w:hAnsi="Times New Roman" w:cs="Times New Roman"/>
                <w:i/>
                <w:sz w:val="24"/>
                <w:highlight w:val="none"/>
                <w:vertAlign w:val="subscript"/>
              </w:rPr>
              <w:t>P</w:t>
            </w:r>
            <w:r>
              <w:rPr>
                <w:rFonts w:hint="default" w:ascii="Times New Roman" w:hAnsi="Times New Roman" w:cs="Times New Roman"/>
                <w:sz w:val="24"/>
                <w:highlight w:val="none"/>
              </w:rPr>
              <w:t>(r</w:t>
            </w:r>
            <w:r>
              <w:rPr>
                <w:rFonts w:hint="default" w:ascii="Times New Roman" w:hAnsi="Times New Roman" w:cs="Times New Roman"/>
                <w:sz w:val="24"/>
                <w:highlight w:val="none"/>
                <w:vertAlign w:val="subscript"/>
              </w:rPr>
              <w:t>0</w:t>
            </w:r>
            <w:r>
              <w:rPr>
                <w:rFonts w:hint="default" w:ascii="Times New Roman" w:hAnsi="Times New Roman" w:cs="Times New Roman"/>
                <w:sz w:val="24"/>
                <w:highlight w:val="none"/>
              </w:rPr>
              <w:t>)-20lg（r/r</w:t>
            </w:r>
            <w:r>
              <w:rPr>
                <w:rFonts w:hint="default" w:ascii="Times New Roman" w:hAnsi="Times New Roman" w:cs="Times New Roman"/>
                <w:sz w:val="24"/>
                <w:highlight w:val="none"/>
                <w:vertAlign w:val="subscript"/>
              </w:rPr>
              <w:t>0</w:t>
            </w:r>
            <w:r>
              <w:rPr>
                <w:rFonts w:hint="default" w:ascii="Times New Roman" w:hAnsi="Times New Roman" w:cs="Times New Roman"/>
                <w:sz w:val="24"/>
                <w:highlight w:val="none"/>
              </w:rPr>
              <w:t>）</w:t>
            </w:r>
          </w:p>
          <w:p w14:paraId="5B306520">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式中：</w:t>
            </w:r>
            <w:r>
              <w:rPr>
                <w:rFonts w:hint="default" w:ascii="Times New Roman" w:hAnsi="Times New Roman" w:cs="Times New Roman"/>
                <w:i/>
                <w:sz w:val="24"/>
                <w:highlight w:val="none"/>
              </w:rPr>
              <w:t>L</w:t>
            </w:r>
            <w:r>
              <w:rPr>
                <w:rFonts w:hint="default" w:ascii="Times New Roman" w:hAnsi="Times New Roman" w:cs="Times New Roman"/>
                <w:i/>
                <w:sz w:val="24"/>
                <w:highlight w:val="none"/>
                <w:vertAlign w:val="subscript"/>
              </w:rPr>
              <w:t>P</w:t>
            </w:r>
            <w:r>
              <w:rPr>
                <w:rFonts w:hint="default" w:ascii="Times New Roman" w:hAnsi="Times New Roman" w:cs="Times New Roman"/>
                <w:sz w:val="24"/>
                <w:highlight w:val="none"/>
              </w:rPr>
              <w:t>®——距声源r米处的声压级，dB（A）；</w:t>
            </w:r>
          </w:p>
          <w:p w14:paraId="6AA47149">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i/>
                <w:sz w:val="24"/>
                <w:highlight w:val="none"/>
              </w:rPr>
              <w:t>L</w:t>
            </w:r>
            <w:r>
              <w:rPr>
                <w:rFonts w:hint="default" w:ascii="Times New Roman" w:hAnsi="Times New Roman" w:cs="Times New Roman"/>
                <w:i/>
                <w:sz w:val="24"/>
                <w:highlight w:val="none"/>
                <w:vertAlign w:val="subscript"/>
              </w:rPr>
              <w:t>P</w:t>
            </w:r>
            <w:r>
              <w:rPr>
                <w:rFonts w:hint="default" w:ascii="Times New Roman" w:hAnsi="Times New Roman" w:cs="Times New Roman"/>
                <w:sz w:val="24"/>
                <w:highlight w:val="none"/>
              </w:rPr>
              <w:t>(r</w:t>
            </w:r>
            <w:r>
              <w:rPr>
                <w:rFonts w:hint="default" w:ascii="Times New Roman" w:hAnsi="Times New Roman" w:cs="Times New Roman"/>
                <w:sz w:val="24"/>
                <w:highlight w:val="none"/>
                <w:vertAlign w:val="subscript"/>
              </w:rPr>
              <w:t>0</w:t>
            </w:r>
            <w:r>
              <w:rPr>
                <w:rFonts w:hint="default" w:ascii="Times New Roman" w:hAnsi="Times New Roman" w:cs="Times New Roman"/>
                <w:sz w:val="24"/>
                <w:highlight w:val="none"/>
              </w:rPr>
              <w:t>)——距声源参考距离r</w:t>
            </w:r>
            <w:r>
              <w:rPr>
                <w:rFonts w:hint="default" w:ascii="Times New Roman" w:hAnsi="Times New Roman" w:cs="Times New Roman"/>
                <w:sz w:val="24"/>
                <w:highlight w:val="none"/>
                <w:vertAlign w:val="subscript"/>
              </w:rPr>
              <w:t>0</w:t>
            </w:r>
            <w:r>
              <w:rPr>
                <w:rFonts w:hint="default" w:ascii="Times New Roman" w:hAnsi="Times New Roman" w:cs="Times New Roman"/>
                <w:sz w:val="24"/>
                <w:highlight w:val="none"/>
              </w:rPr>
              <w:t>米处的参考声压级，dB（A）；</w:t>
            </w:r>
          </w:p>
          <w:p w14:paraId="419AF69B">
            <w:pPr>
              <w:pStyle w:val="13"/>
              <w:adjustRightInd w:val="0"/>
              <w:spacing w:line="360" w:lineRule="auto"/>
              <w:ind w:firstLine="480"/>
              <w:rPr>
                <w:rFonts w:hint="default" w:ascii="Times New Roman" w:hAnsi="Times New Roman" w:cs="Times New Roman"/>
                <w:sz w:val="24"/>
                <w:szCs w:val="24"/>
                <w:highlight w:val="none"/>
              </w:rPr>
            </w:pPr>
            <w:r>
              <w:rPr>
                <w:rFonts w:hint="default" w:ascii="Times New Roman" w:hAnsi="Times New Roman" w:cs="Times New Roman"/>
                <w:iCs/>
                <w:sz w:val="24"/>
                <w:szCs w:val="24"/>
                <w:highlight w:val="none"/>
              </w:rPr>
              <w:t>r</w:t>
            </w:r>
            <w:r>
              <w:rPr>
                <w:rFonts w:hint="default" w:ascii="Times New Roman" w:hAnsi="Times New Roman" w:cs="Times New Roman"/>
                <w:sz w:val="24"/>
                <w:szCs w:val="24"/>
                <w:highlight w:val="none"/>
              </w:rPr>
              <w:t>——测点与声源的距离，单位：m。</w:t>
            </w:r>
          </w:p>
          <w:p w14:paraId="70F3602A">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fldChar w:fldCharType="begin"/>
            </w:r>
            <w:r>
              <w:rPr>
                <w:rFonts w:hint="default" w:ascii="Times New Roman" w:hAnsi="Times New Roman" w:cs="Times New Roman"/>
                <w:bCs/>
                <w:sz w:val="24"/>
                <w:highlight w:val="none"/>
              </w:rPr>
              <w:instrText xml:space="preserve"> = 2 \* GB3 \* MERGEFORMAT </w:instrText>
            </w:r>
            <w:r>
              <w:rPr>
                <w:rFonts w:hint="default" w:ascii="Times New Roman" w:hAnsi="Times New Roman" w:cs="Times New Roman"/>
                <w:bCs/>
                <w:sz w:val="24"/>
                <w:highlight w:val="none"/>
              </w:rPr>
              <w:fldChar w:fldCharType="separate"/>
            </w:r>
            <w:r>
              <w:rPr>
                <w:rFonts w:hint="default" w:ascii="Times New Roman" w:hAnsi="Times New Roman" w:cs="Times New Roman"/>
                <w:bCs/>
                <w:sz w:val="24"/>
                <w:highlight w:val="none"/>
              </w:rPr>
              <w:t>②</w:t>
            </w:r>
            <w:r>
              <w:rPr>
                <w:rFonts w:hint="default" w:ascii="Times New Roman" w:hAnsi="Times New Roman" w:cs="Times New Roman"/>
                <w:bCs/>
                <w:sz w:val="24"/>
                <w:highlight w:val="none"/>
              </w:rPr>
              <w:fldChar w:fldCharType="end"/>
            </w:r>
            <w:r>
              <w:rPr>
                <w:rFonts w:hint="default" w:ascii="Times New Roman" w:hAnsi="Times New Roman" w:cs="Times New Roman"/>
                <w:bCs/>
                <w:sz w:val="24"/>
                <w:highlight w:val="none"/>
              </w:rPr>
              <w:t>预测结果</w:t>
            </w:r>
          </w:p>
          <w:p w14:paraId="43BD0C84">
            <w:pPr>
              <w:adjustRightInd w:val="0"/>
              <w:snapToGrid w:val="0"/>
              <w:spacing w:line="360" w:lineRule="auto"/>
              <w:ind w:firstLine="480" w:firstLineChars="200"/>
              <w:rPr>
                <w:rFonts w:hint="default" w:ascii="Times New Roman" w:hAnsi="Times New Roman" w:cs="Times New Roman"/>
                <w:b/>
                <w:sz w:val="24"/>
                <w:highlight w:val="none"/>
              </w:rPr>
            </w:pPr>
            <w:r>
              <w:rPr>
                <w:rFonts w:hint="default" w:ascii="Times New Roman" w:hAnsi="Times New Roman" w:cs="Times New Roman"/>
                <w:bCs/>
                <w:sz w:val="24"/>
                <w:highlight w:val="none"/>
              </w:rPr>
              <w:t>采用如上模式计算施工期距施工机械不同距离处的噪声值和各种施工机械的达标距离，见下表。</w:t>
            </w:r>
          </w:p>
          <w:p w14:paraId="4695F51A">
            <w:pPr>
              <w:adjustRightInd w:val="0"/>
              <w:snapToGrid w:val="0"/>
              <w:jc w:val="center"/>
              <w:rPr>
                <w:rFonts w:hint="default" w:ascii="Times New Roman" w:hAnsi="Times New Roman" w:cs="Times New Roman"/>
                <w:b/>
                <w:sz w:val="24"/>
                <w:highlight w:val="none"/>
              </w:rPr>
            </w:pPr>
            <w:r>
              <w:rPr>
                <w:rFonts w:hint="default" w:ascii="Times New Roman" w:hAnsi="Times New Roman" w:cs="Times New Roman"/>
                <w:b/>
                <w:sz w:val="24"/>
                <w:highlight w:val="none"/>
              </w:rPr>
              <w:t>表4-2距施工机械不同距离处的噪声值dB(A)</w:t>
            </w:r>
          </w:p>
          <w:tbl>
            <w:tblPr>
              <w:tblStyle w:val="46"/>
              <w:tblW w:w="50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1"/>
              <w:gridCol w:w="1383"/>
              <w:gridCol w:w="704"/>
              <w:gridCol w:w="663"/>
              <w:gridCol w:w="663"/>
              <w:gridCol w:w="662"/>
              <w:gridCol w:w="662"/>
              <w:gridCol w:w="778"/>
              <w:gridCol w:w="778"/>
              <w:gridCol w:w="778"/>
              <w:gridCol w:w="778"/>
              <w:gridCol w:w="802"/>
            </w:tblGrid>
            <w:tr w14:paraId="1CAF2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restart"/>
                  <w:tcBorders>
                    <w:tl2br w:val="nil"/>
                    <w:tr2bl w:val="nil"/>
                  </w:tcBorders>
                  <w:vAlign w:val="center"/>
                </w:tcPr>
                <w:p w14:paraId="01E8B56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序号</w:t>
                  </w:r>
                </w:p>
              </w:tc>
              <w:tc>
                <w:tcPr>
                  <w:tcW w:w="739" w:type="pct"/>
                  <w:vMerge w:val="restart"/>
                  <w:tcBorders>
                    <w:tl2br w:val="nil"/>
                    <w:tr2bl w:val="nil"/>
                  </w:tcBorders>
                  <w:vAlign w:val="center"/>
                </w:tcPr>
                <w:p w14:paraId="5784B4F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机械名称</w:t>
                  </w:r>
                </w:p>
              </w:tc>
              <w:tc>
                <w:tcPr>
                  <w:tcW w:w="376" w:type="pct"/>
                  <w:vMerge w:val="restart"/>
                  <w:tcBorders>
                    <w:tl2br w:val="nil"/>
                    <w:tr2bl w:val="nil"/>
                  </w:tcBorders>
                  <w:vAlign w:val="center"/>
                </w:tcPr>
                <w:p w14:paraId="191E710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源强</w:t>
                  </w:r>
                </w:p>
              </w:tc>
              <w:tc>
                <w:tcPr>
                  <w:tcW w:w="3509" w:type="pct"/>
                  <w:gridSpan w:val="9"/>
                  <w:tcBorders>
                    <w:tl2br w:val="nil"/>
                    <w:tr2bl w:val="nil"/>
                  </w:tcBorders>
                  <w:vAlign w:val="center"/>
                </w:tcPr>
                <w:p w14:paraId="3FE3AEA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不同距离处的噪声预测值</w:t>
                  </w:r>
                </w:p>
              </w:tc>
            </w:tr>
            <w:tr w14:paraId="7924B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vMerge w:val="continue"/>
                  <w:tcBorders>
                    <w:tl2br w:val="nil"/>
                    <w:tr2bl w:val="nil"/>
                  </w:tcBorders>
                  <w:vAlign w:val="center"/>
                </w:tcPr>
                <w:p w14:paraId="062EAB97">
                  <w:pPr>
                    <w:adjustRightInd w:val="0"/>
                    <w:snapToGrid w:val="0"/>
                    <w:jc w:val="center"/>
                    <w:rPr>
                      <w:rFonts w:hint="default" w:ascii="Times New Roman" w:hAnsi="Times New Roman" w:cs="Times New Roman"/>
                      <w:bCs/>
                      <w:szCs w:val="21"/>
                      <w:highlight w:val="none"/>
                    </w:rPr>
                  </w:pPr>
                </w:p>
              </w:tc>
              <w:tc>
                <w:tcPr>
                  <w:tcW w:w="739" w:type="pct"/>
                  <w:vMerge w:val="continue"/>
                  <w:tcBorders>
                    <w:tl2br w:val="nil"/>
                    <w:tr2bl w:val="nil"/>
                  </w:tcBorders>
                  <w:vAlign w:val="center"/>
                </w:tcPr>
                <w:p w14:paraId="4779773A">
                  <w:pPr>
                    <w:adjustRightInd w:val="0"/>
                    <w:snapToGrid w:val="0"/>
                    <w:jc w:val="center"/>
                    <w:rPr>
                      <w:rFonts w:hint="default" w:ascii="Times New Roman" w:hAnsi="Times New Roman" w:cs="Times New Roman"/>
                      <w:bCs/>
                      <w:szCs w:val="21"/>
                      <w:highlight w:val="none"/>
                    </w:rPr>
                  </w:pPr>
                </w:p>
              </w:tc>
              <w:tc>
                <w:tcPr>
                  <w:tcW w:w="376" w:type="pct"/>
                  <w:vMerge w:val="continue"/>
                  <w:tcBorders>
                    <w:tl2br w:val="nil"/>
                    <w:tr2bl w:val="nil"/>
                  </w:tcBorders>
                  <w:vAlign w:val="center"/>
                </w:tcPr>
                <w:p w14:paraId="19DFCED4">
                  <w:pPr>
                    <w:adjustRightInd w:val="0"/>
                    <w:snapToGrid w:val="0"/>
                    <w:jc w:val="center"/>
                    <w:rPr>
                      <w:rFonts w:hint="default" w:ascii="Times New Roman" w:hAnsi="Times New Roman" w:cs="Times New Roman"/>
                      <w:bCs/>
                      <w:szCs w:val="21"/>
                      <w:highlight w:val="none"/>
                    </w:rPr>
                  </w:pPr>
                </w:p>
              </w:tc>
              <w:tc>
                <w:tcPr>
                  <w:tcW w:w="354" w:type="pct"/>
                  <w:tcBorders>
                    <w:tl2br w:val="nil"/>
                    <w:tr2bl w:val="nil"/>
                  </w:tcBorders>
                  <w:vAlign w:val="center"/>
                </w:tcPr>
                <w:p w14:paraId="3A0E5DE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20m</w:t>
                  </w:r>
                </w:p>
              </w:tc>
              <w:tc>
                <w:tcPr>
                  <w:tcW w:w="354" w:type="pct"/>
                  <w:tcBorders>
                    <w:tl2br w:val="nil"/>
                    <w:tr2bl w:val="nil"/>
                  </w:tcBorders>
                  <w:vAlign w:val="center"/>
                </w:tcPr>
                <w:p w14:paraId="54362EC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40m</w:t>
                  </w:r>
                </w:p>
              </w:tc>
              <w:tc>
                <w:tcPr>
                  <w:tcW w:w="354" w:type="pct"/>
                  <w:tcBorders>
                    <w:tl2br w:val="nil"/>
                    <w:tr2bl w:val="nil"/>
                  </w:tcBorders>
                  <w:vAlign w:val="center"/>
                </w:tcPr>
                <w:p w14:paraId="3DAE694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60m</w:t>
                  </w:r>
                </w:p>
              </w:tc>
              <w:tc>
                <w:tcPr>
                  <w:tcW w:w="354" w:type="pct"/>
                  <w:tcBorders>
                    <w:tl2br w:val="nil"/>
                    <w:tr2bl w:val="nil"/>
                  </w:tcBorders>
                  <w:vAlign w:val="center"/>
                </w:tcPr>
                <w:p w14:paraId="6709BDD4">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80m</w:t>
                  </w:r>
                </w:p>
              </w:tc>
              <w:tc>
                <w:tcPr>
                  <w:tcW w:w="416" w:type="pct"/>
                  <w:tcBorders>
                    <w:tl2br w:val="nil"/>
                    <w:tr2bl w:val="nil"/>
                  </w:tcBorders>
                  <w:vAlign w:val="center"/>
                </w:tcPr>
                <w:p w14:paraId="7BC4639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100m</w:t>
                  </w:r>
                </w:p>
              </w:tc>
              <w:tc>
                <w:tcPr>
                  <w:tcW w:w="416" w:type="pct"/>
                  <w:tcBorders>
                    <w:tl2br w:val="nil"/>
                    <w:tr2bl w:val="nil"/>
                  </w:tcBorders>
                  <w:vAlign w:val="center"/>
                </w:tcPr>
                <w:p w14:paraId="382CFE6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200m</w:t>
                  </w:r>
                </w:p>
              </w:tc>
              <w:tc>
                <w:tcPr>
                  <w:tcW w:w="416" w:type="pct"/>
                  <w:tcBorders>
                    <w:tl2br w:val="nil"/>
                    <w:tr2bl w:val="nil"/>
                  </w:tcBorders>
                  <w:vAlign w:val="center"/>
                </w:tcPr>
                <w:p w14:paraId="3127B25F">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300m</w:t>
                  </w:r>
                </w:p>
              </w:tc>
              <w:tc>
                <w:tcPr>
                  <w:tcW w:w="416" w:type="pct"/>
                  <w:tcBorders>
                    <w:tl2br w:val="nil"/>
                    <w:tr2bl w:val="nil"/>
                  </w:tcBorders>
                  <w:vAlign w:val="center"/>
                </w:tcPr>
                <w:p w14:paraId="5AF2A5E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400m</w:t>
                  </w:r>
                </w:p>
              </w:tc>
              <w:tc>
                <w:tcPr>
                  <w:tcW w:w="428" w:type="pct"/>
                  <w:tcBorders>
                    <w:tl2br w:val="nil"/>
                    <w:tr2bl w:val="nil"/>
                  </w:tcBorders>
                  <w:vAlign w:val="center"/>
                </w:tcPr>
                <w:p w14:paraId="29D35C05">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500</w:t>
                  </w:r>
                </w:p>
                <w:p w14:paraId="2C7E022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m</w:t>
                  </w:r>
                </w:p>
              </w:tc>
            </w:tr>
            <w:tr w14:paraId="3186D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tcBorders>
                    <w:tl2br w:val="nil"/>
                    <w:tr2bl w:val="nil"/>
                  </w:tcBorders>
                  <w:vAlign w:val="center"/>
                </w:tcPr>
                <w:p w14:paraId="105E94EC">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w:t>
                  </w:r>
                </w:p>
              </w:tc>
              <w:tc>
                <w:tcPr>
                  <w:tcW w:w="739" w:type="pct"/>
                  <w:tcBorders>
                    <w:tl2br w:val="nil"/>
                    <w:tr2bl w:val="nil"/>
                  </w:tcBorders>
                  <w:vAlign w:val="center"/>
                </w:tcPr>
                <w:p w14:paraId="1783DE8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挖掘机</w:t>
                  </w:r>
                </w:p>
              </w:tc>
              <w:tc>
                <w:tcPr>
                  <w:tcW w:w="376" w:type="pct"/>
                  <w:tcBorders>
                    <w:tl2br w:val="nil"/>
                    <w:tr2bl w:val="nil"/>
                  </w:tcBorders>
                  <w:vAlign w:val="center"/>
                </w:tcPr>
                <w:p w14:paraId="38FBBA4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100</w:t>
                  </w:r>
                </w:p>
              </w:tc>
              <w:tc>
                <w:tcPr>
                  <w:tcW w:w="354" w:type="pct"/>
                  <w:tcBorders>
                    <w:tl2br w:val="nil"/>
                    <w:tr2bl w:val="nil"/>
                  </w:tcBorders>
                  <w:vAlign w:val="center"/>
                </w:tcPr>
                <w:p w14:paraId="2C251CB7">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74</w:t>
                  </w:r>
                </w:p>
              </w:tc>
              <w:tc>
                <w:tcPr>
                  <w:tcW w:w="354" w:type="pct"/>
                  <w:tcBorders>
                    <w:tl2br w:val="nil"/>
                    <w:tr2bl w:val="nil"/>
                  </w:tcBorders>
                  <w:vAlign w:val="center"/>
                </w:tcPr>
                <w:p w14:paraId="26CB6EC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68</w:t>
                  </w:r>
                </w:p>
              </w:tc>
              <w:tc>
                <w:tcPr>
                  <w:tcW w:w="354" w:type="pct"/>
                  <w:tcBorders>
                    <w:tl2br w:val="nil"/>
                    <w:tr2bl w:val="nil"/>
                  </w:tcBorders>
                  <w:vAlign w:val="center"/>
                </w:tcPr>
                <w:p w14:paraId="65666B8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64</w:t>
                  </w:r>
                </w:p>
              </w:tc>
              <w:tc>
                <w:tcPr>
                  <w:tcW w:w="354" w:type="pct"/>
                  <w:tcBorders>
                    <w:tl2br w:val="nil"/>
                    <w:tr2bl w:val="nil"/>
                  </w:tcBorders>
                  <w:vAlign w:val="center"/>
                </w:tcPr>
                <w:p w14:paraId="2538686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62</w:t>
                  </w:r>
                </w:p>
              </w:tc>
              <w:tc>
                <w:tcPr>
                  <w:tcW w:w="416" w:type="pct"/>
                  <w:tcBorders>
                    <w:tl2br w:val="nil"/>
                    <w:tr2bl w:val="nil"/>
                  </w:tcBorders>
                  <w:vAlign w:val="center"/>
                </w:tcPr>
                <w:p w14:paraId="0009CDA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60</w:t>
                  </w:r>
                </w:p>
              </w:tc>
              <w:tc>
                <w:tcPr>
                  <w:tcW w:w="416" w:type="pct"/>
                  <w:tcBorders>
                    <w:tl2br w:val="nil"/>
                    <w:tr2bl w:val="nil"/>
                  </w:tcBorders>
                  <w:vAlign w:val="center"/>
                </w:tcPr>
                <w:p w14:paraId="1324174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54</w:t>
                  </w:r>
                </w:p>
              </w:tc>
              <w:tc>
                <w:tcPr>
                  <w:tcW w:w="416" w:type="pct"/>
                  <w:tcBorders>
                    <w:tl2br w:val="nil"/>
                    <w:tr2bl w:val="nil"/>
                  </w:tcBorders>
                  <w:vAlign w:val="center"/>
                </w:tcPr>
                <w:p w14:paraId="6A9EBA5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50</w:t>
                  </w:r>
                </w:p>
              </w:tc>
              <w:tc>
                <w:tcPr>
                  <w:tcW w:w="416" w:type="pct"/>
                  <w:tcBorders>
                    <w:tl2br w:val="nil"/>
                    <w:tr2bl w:val="nil"/>
                  </w:tcBorders>
                  <w:vAlign w:val="center"/>
                </w:tcPr>
                <w:p w14:paraId="665E98A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48</w:t>
                  </w:r>
                </w:p>
              </w:tc>
              <w:tc>
                <w:tcPr>
                  <w:tcW w:w="428" w:type="pct"/>
                  <w:tcBorders>
                    <w:tl2br w:val="nil"/>
                    <w:tr2bl w:val="nil"/>
                  </w:tcBorders>
                  <w:vAlign w:val="center"/>
                </w:tcPr>
                <w:p w14:paraId="5612FD2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46</w:t>
                  </w:r>
                </w:p>
              </w:tc>
            </w:tr>
            <w:tr w14:paraId="01CFA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tcBorders>
                    <w:tl2br w:val="nil"/>
                    <w:tr2bl w:val="nil"/>
                  </w:tcBorders>
                  <w:vAlign w:val="center"/>
                </w:tcPr>
                <w:p w14:paraId="1C83CADB">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w:t>
                  </w:r>
                </w:p>
              </w:tc>
              <w:tc>
                <w:tcPr>
                  <w:tcW w:w="739" w:type="pct"/>
                  <w:tcBorders>
                    <w:tl2br w:val="nil"/>
                    <w:tr2bl w:val="nil"/>
                  </w:tcBorders>
                  <w:vAlign w:val="center"/>
                </w:tcPr>
                <w:p w14:paraId="0709EC22">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推土机</w:t>
                  </w:r>
                </w:p>
              </w:tc>
              <w:tc>
                <w:tcPr>
                  <w:tcW w:w="376" w:type="pct"/>
                  <w:tcBorders>
                    <w:tl2br w:val="nil"/>
                    <w:tr2bl w:val="nil"/>
                  </w:tcBorders>
                  <w:vAlign w:val="center"/>
                </w:tcPr>
                <w:p w14:paraId="22B48D2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100</w:t>
                  </w:r>
                </w:p>
              </w:tc>
              <w:tc>
                <w:tcPr>
                  <w:tcW w:w="354" w:type="pct"/>
                  <w:tcBorders>
                    <w:tl2br w:val="nil"/>
                    <w:tr2bl w:val="nil"/>
                  </w:tcBorders>
                  <w:vAlign w:val="center"/>
                </w:tcPr>
                <w:p w14:paraId="0397B882">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74</w:t>
                  </w:r>
                </w:p>
              </w:tc>
              <w:tc>
                <w:tcPr>
                  <w:tcW w:w="354" w:type="pct"/>
                  <w:tcBorders>
                    <w:tl2br w:val="nil"/>
                    <w:tr2bl w:val="nil"/>
                  </w:tcBorders>
                  <w:vAlign w:val="center"/>
                </w:tcPr>
                <w:p w14:paraId="6E8E1490">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68</w:t>
                  </w:r>
                </w:p>
              </w:tc>
              <w:tc>
                <w:tcPr>
                  <w:tcW w:w="354" w:type="pct"/>
                  <w:tcBorders>
                    <w:tl2br w:val="nil"/>
                    <w:tr2bl w:val="nil"/>
                  </w:tcBorders>
                  <w:vAlign w:val="center"/>
                </w:tcPr>
                <w:p w14:paraId="5BB7C12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64</w:t>
                  </w:r>
                </w:p>
              </w:tc>
              <w:tc>
                <w:tcPr>
                  <w:tcW w:w="354" w:type="pct"/>
                  <w:tcBorders>
                    <w:tl2br w:val="nil"/>
                    <w:tr2bl w:val="nil"/>
                  </w:tcBorders>
                  <w:vAlign w:val="center"/>
                </w:tcPr>
                <w:p w14:paraId="33793A0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62</w:t>
                  </w:r>
                </w:p>
              </w:tc>
              <w:tc>
                <w:tcPr>
                  <w:tcW w:w="416" w:type="pct"/>
                  <w:tcBorders>
                    <w:tl2br w:val="nil"/>
                    <w:tr2bl w:val="nil"/>
                  </w:tcBorders>
                  <w:vAlign w:val="center"/>
                </w:tcPr>
                <w:p w14:paraId="4CB4D27F">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60</w:t>
                  </w:r>
                </w:p>
              </w:tc>
              <w:tc>
                <w:tcPr>
                  <w:tcW w:w="416" w:type="pct"/>
                  <w:tcBorders>
                    <w:tl2br w:val="nil"/>
                    <w:tr2bl w:val="nil"/>
                  </w:tcBorders>
                  <w:vAlign w:val="center"/>
                </w:tcPr>
                <w:p w14:paraId="4FFC40C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54</w:t>
                  </w:r>
                </w:p>
              </w:tc>
              <w:tc>
                <w:tcPr>
                  <w:tcW w:w="416" w:type="pct"/>
                  <w:tcBorders>
                    <w:tl2br w:val="nil"/>
                    <w:tr2bl w:val="nil"/>
                  </w:tcBorders>
                  <w:vAlign w:val="center"/>
                </w:tcPr>
                <w:p w14:paraId="1B4F038B">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50</w:t>
                  </w:r>
                </w:p>
              </w:tc>
              <w:tc>
                <w:tcPr>
                  <w:tcW w:w="416" w:type="pct"/>
                  <w:tcBorders>
                    <w:tl2br w:val="nil"/>
                    <w:tr2bl w:val="nil"/>
                  </w:tcBorders>
                  <w:vAlign w:val="center"/>
                </w:tcPr>
                <w:p w14:paraId="4147A3C4">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48</w:t>
                  </w:r>
                </w:p>
              </w:tc>
              <w:tc>
                <w:tcPr>
                  <w:tcW w:w="428" w:type="pct"/>
                  <w:tcBorders>
                    <w:tl2br w:val="nil"/>
                    <w:tr2bl w:val="nil"/>
                  </w:tcBorders>
                  <w:vAlign w:val="center"/>
                </w:tcPr>
                <w:p w14:paraId="74627FD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46</w:t>
                  </w:r>
                </w:p>
              </w:tc>
            </w:tr>
            <w:tr w14:paraId="0D24E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tcBorders>
                    <w:tl2br w:val="nil"/>
                    <w:tr2bl w:val="nil"/>
                  </w:tcBorders>
                  <w:vAlign w:val="center"/>
                </w:tcPr>
                <w:p w14:paraId="1714EB85">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w:t>
                  </w:r>
                </w:p>
              </w:tc>
              <w:tc>
                <w:tcPr>
                  <w:tcW w:w="739" w:type="pct"/>
                  <w:tcBorders>
                    <w:tl2br w:val="nil"/>
                    <w:tr2bl w:val="nil"/>
                  </w:tcBorders>
                  <w:vAlign w:val="center"/>
                </w:tcPr>
                <w:p w14:paraId="189BFE7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自卸卡车</w:t>
                  </w:r>
                </w:p>
              </w:tc>
              <w:tc>
                <w:tcPr>
                  <w:tcW w:w="376" w:type="pct"/>
                  <w:tcBorders>
                    <w:tl2br w:val="nil"/>
                    <w:tr2bl w:val="nil"/>
                  </w:tcBorders>
                  <w:vAlign w:val="center"/>
                </w:tcPr>
                <w:p w14:paraId="337E386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90</w:t>
                  </w:r>
                </w:p>
              </w:tc>
              <w:tc>
                <w:tcPr>
                  <w:tcW w:w="354" w:type="pct"/>
                  <w:tcBorders>
                    <w:tl2br w:val="nil"/>
                    <w:tr2bl w:val="nil"/>
                  </w:tcBorders>
                  <w:vAlign w:val="center"/>
                </w:tcPr>
                <w:p w14:paraId="0C47B0F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64</w:t>
                  </w:r>
                </w:p>
              </w:tc>
              <w:tc>
                <w:tcPr>
                  <w:tcW w:w="354" w:type="pct"/>
                  <w:tcBorders>
                    <w:tl2br w:val="nil"/>
                    <w:tr2bl w:val="nil"/>
                  </w:tcBorders>
                  <w:vAlign w:val="center"/>
                </w:tcPr>
                <w:p w14:paraId="355C1DB7">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58</w:t>
                  </w:r>
                </w:p>
              </w:tc>
              <w:tc>
                <w:tcPr>
                  <w:tcW w:w="354" w:type="pct"/>
                  <w:tcBorders>
                    <w:tl2br w:val="nil"/>
                    <w:tr2bl w:val="nil"/>
                  </w:tcBorders>
                  <w:vAlign w:val="center"/>
                </w:tcPr>
                <w:p w14:paraId="29ECBB3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54</w:t>
                  </w:r>
                </w:p>
              </w:tc>
              <w:tc>
                <w:tcPr>
                  <w:tcW w:w="354" w:type="pct"/>
                  <w:tcBorders>
                    <w:tl2br w:val="nil"/>
                    <w:tr2bl w:val="nil"/>
                  </w:tcBorders>
                  <w:vAlign w:val="center"/>
                </w:tcPr>
                <w:p w14:paraId="79D7F11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52</w:t>
                  </w:r>
                </w:p>
              </w:tc>
              <w:tc>
                <w:tcPr>
                  <w:tcW w:w="416" w:type="pct"/>
                  <w:tcBorders>
                    <w:tl2br w:val="nil"/>
                    <w:tr2bl w:val="nil"/>
                  </w:tcBorders>
                  <w:vAlign w:val="center"/>
                </w:tcPr>
                <w:p w14:paraId="6C4A038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50</w:t>
                  </w:r>
                </w:p>
              </w:tc>
              <w:tc>
                <w:tcPr>
                  <w:tcW w:w="416" w:type="pct"/>
                  <w:tcBorders>
                    <w:tl2br w:val="nil"/>
                    <w:tr2bl w:val="nil"/>
                  </w:tcBorders>
                  <w:vAlign w:val="center"/>
                </w:tcPr>
                <w:p w14:paraId="6E7761EF">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44</w:t>
                  </w:r>
                </w:p>
              </w:tc>
              <w:tc>
                <w:tcPr>
                  <w:tcW w:w="416" w:type="pct"/>
                  <w:tcBorders>
                    <w:tl2br w:val="nil"/>
                    <w:tr2bl w:val="nil"/>
                  </w:tcBorders>
                  <w:vAlign w:val="center"/>
                </w:tcPr>
                <w:p w14:paraId="74F4F7B2">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40</w:t>
                  </w:r>
                </w:p>
              </w:tc>
              <w:tc>
                <w:tcPr>
                  <w:tcW w:w="416" w:type="pct"/>
                  <w:tcBorders>
                    <w:tl2br w:val="nil"/>
                    <w:tr2bl w:val="nil"/>
                  </w:tcBorders>
                  <w:vAlign w:val="center"/>
                </w:tcPr>
                <w:p w14:paraId="74CF5AD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38</w:t>
                  </w:r>
                </w:p>
              </w:tc>
              <w:tc>
                <w:tcPr>
                  <w:tcW w:w="428" w:type="pct"/>
                  <w:tcBorders>
                    <w:tl2br w:val="nil"/>
                    <w:tr2bl w:val="nil"/>
                  </w:tcBorders>
                  <w:vAlign w:val="center"/>
                </w:tcPr>
                <w:p w14:paraId="51DC57E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36</w:t>
                  </w:r>
                </w:p>
              </w:tc>
            </w:tr>
            <w:tr w14:paraId="660C1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tcBorders>
                    <w:tl2br w:val="nil"/>
                    <w:tr2bl w:val="nil"/>
                  </w:tcBorders>
                  <w:vAlign w:val="center"/>
                </w:tcPr>
                <w:p w14:paraId="5BC4796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w:t>
                  </w:r>
                </w:p>
              </w:tc>
              <w:tc>
                <w:tcPr>
                  <w:tcW w:w="739" w:type="pct"/>
                  <w:tcBorders>
                    <w:tl2br w:val="nil"/>
                    <w:tr2bl w:val="nil"/>
                  </w:tcBorders>
                  <w:vAlign w:val="center"/>
                </w:tcPr>
                <w:p w14:paraId="1B72C4D5">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装载机</w:t>
                  </w:r>
                </w:p>
              </w:tc>
              <w:tc>
                <w:tcPr>
                  <w:tcW w:w="376" w:type="pct"/>
                  <w:tcBorders>
                    <w:tl2br w:val="nil"/>
                    <w:tr2bl w:val="nil"/>
                  </w:tcBorders>
                  <w:vAlign w:val="center"/>
                </w:tcPr>
                <w:p w14:paraId="1CF5D362">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90</w:t>
                  </w:r>
                </w:p>
              </w:tc>
              <w:tc>
                <w:tcPr>
                  <w:tcW w:w="354" w:type="pct"/>
                  <w:tcBorders>
                    <w:tl2br w:val="nil"/>
                    <w:tr2bl w:val="nil"/>
                  </w:tcBorders>
                  <w:vAlign w:val="center"/>
                </w:tcPr>
                <w:p w14:paraId="1DBB0C54">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64</w:t>
                  </w:r>
                </w:p>
              </w:tc>
              <w:tc>
                <w:tcPr>
                  <w:tcW w:w="354" w:type="pct"/>
                  <w:tcBorders>
                    <w:tl2br w:val="nil"/>
                    <w:tr2bl w:val="nil"/>
                  </w:tcBorders>
                  <w:vAlign w:val="center"/>
                </w:tcPr>
                <w:p w14:paraId="2BD4AF0F">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58</w:t>
                  </w:r>
                </w:p>
              </w:tc>
              <w:tc>
                <w:tcPr>
                  <w:tcW w:w="354" w:type="pct"/>
                  <w:tcBorders>
                    <w:tl2br w:val="nil"/>
                    <w:tr2bl w:val="nil"/>
                  </w:tcBorders>
                  <w:vAlign w:val="center"/>
                </w:tcPr>
                <w:p w14:paraId="194CA34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54</w:t>
                  </w:r>
                </w:p>
              </w:tc>
              <w:tc>
                <w:tcPr>
                  <w:tcW w:w="354" w:type="pct"/>
                  <w:tcBorders>
                    <w:tl2br w:val="nil"/>
                    <w:tr2bl w:val="nil"/>
                  </w:tcBorders>
                  <w:vAlign w:val="center"/>
                </w:tcPr>
                <w:p w14:paraId="2C21741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52</w:t>
                  </w:r>
                </w:p>
              </w:tc>
              <w:tc>
                <w:tcPr>
                  <w:tcW w:w="416" w:type="pct"/>
                  <w:tcBorders>
                    <w:tl2br w:val="nil"/>
                    <w:tr2bl w:val="nil"/>
                  </w:tcBorders>
                  <w:vAlign w:val="center"/>
                </w:tcPr>
                <w:p w14:paraId="1A6ED21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50</w:t>
                  </w:r>
                </w:p>
              </w:tc>
              <w:tc>
                <w:tcPr>
                  <w:tcW w:w="416" w:type="pct"/>
                  <w:tcBorders>
                    <w:tl2br w:val="nil"/>
                    <w:tr2bl w:val="nil"/>
                  </w:tcBorders>
                  <w:vAlign w:val="center"/>
                </w:tcPr>
                <w:p w14:paraId="287ED0B7">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44</w:t>
                  </w:r>
                </w:p>
              </w:tc>
              <w:tc>
                <w:tcPr>
                  <w:tcW w:w="416" w:type="pct"/>
                  <w:tcBorders>
                    <w:tl2br w:val="nil"/>
                    <w:tr2bl w:val="nil"/>
                  </w:tcBorders>
                  <w:vAlign w:val="center"/>
                </w:tcPr>
                <w:p w14:paraId="2419C8D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40</w:t>
                  </w:r>
                </w:p>
              </w:tc>
              <w:tc>
                <w:tcPr>
                  <w:tcW w:w="416" w:type="pct"/>
                  <w:tcBorders>
                    <w:tl2br w:val="nil"/>
                    <w:tr2bl w:val="nil"/>
                  </w:tcBorders>
                  <w:vAlign w:val="center"/>
                </w:tcPr>
                <w:p w14:paraId="0C3A70B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38</w:t>
                  </w:r>
                </w:p>
              </w:tc>
              <w:tc>
                <w:tcPr>
                  <w:tcW w:w="428" w:type="pct"/>
                  <w:tcBorders>
                    <w:tl2br w:val="nil"/>
                    <w:tr2bl w:val="nil"/>
                  </w:tcBorders>
                  <w:vAlign w:val="center"/>
                </w:tcPr>
                <w:p w14:paraId="3903E8F0">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36</w:t>
                  </w:r>
                </w:p>
              </w:tc>
            </w:tr>
            <w:tr w14:paraId="35AA6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tcBorders>
                    <w:tl2br w:val="nil"/>
                    <w:tr2bl w:val="nil"/>
                  </w:tcBorders>
                  <w:vAlign w:val="center"/>
                </w:tcPr>
                <w:p w14:paraId="78CFD73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w:t>
                  </w:r>
                </w:p>
              </w:tc>
              <w:tc>
                <w:tcPr>
                  <w:tcW w:w="739" w:type="pct"/>
                  <w:tcBorders>
                    <w:tl2br w:val="nil"/>
                    <w:tr2bl w:val="nil"/>
                  </w:tcBorders>
                  <w:vAlign w:val="center"/>
                </w:tcPr>
                <w:p w14:paraId="58808BC2">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砼振捣机</w:t>
                  </w:r>
                </w:p>
              </w:tc>
              <w:tc>
                <w:tcPr>
                  <w:tcW w:w="376" w:type="pct"/>
                  <w:tcBorders>
                    <w:tl2br w:val="nil"/>
                    <w:tr2bl w:val="nil"/>
                  </w:tcBorders>
                  <w:vAlign w:val="center"/>
                </w:tcPr>
                <w:p w14:paraId="567E7A9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105</w:t>
                  </w:r>
                </w:p>
              </w:tc>
              <w:tc>
                <w:tcPr>
                  <w:tcW w:w="354" w:type="pct"/>
                  <w:tcBorders>
                    <w:tl2br w:val="nil"/>
                    <w:tr2bl w:val="nil"/>
                  </w:tcBorders>
                  <w:vAlign w:val="center"/>
                </w:tcPr>
                <w:p w14:paraId="4D3239B7">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80</w:t>
                  </w:r>
                </w:p>
              </w:tc>
              <w:tc>
                <w:tcPr>
                  <w:tcW w:w="354" w:type="pct"/>
                  <w:tcBorders>
                    <w:tl2br w:val="nil"/>
                    <w:tr2bl w:val="nil"/>
                  </w:tcBorders>
                  <w:vAlign w:val="center"/>
                </w:tcPr>
                <w:p w14:paraId="1ADCFE2B">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73</w:t>
                  </w:r>
                </w:p>
              </w:tc>
              <w:tc>
                <w:tcPr>
                  <w:tcW w:w="354" w:type="pct"/>
                  <w:tcBorders>
                    <w:tl2br w:val="nil"/>
                    <w:tr2bl w:val="nil"/>
                  </w:tcBorders>
                  <w:vAlign w:val="center"/>
                </w:tcPr>
                <w:p w14:paraId="2B0F858C">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69</w:t>
                  </w:r>
                </w:p>
              </w:tc>
              <w:tc>
                <w:tcPr>
                  <w:tcW w:w="354" w:type="pct"/>
                  <w:tcBorders>
                    <w:tl2br w:val="nil"/>
                    <w:tr2bl w:val="nil"/>
                  </w:tcBorders>
                  <w:vAlign w:val="center"/>
                </w:tcPr>
                <w:p w14:paraId="0D83221B">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67</w:t>
                  </w:r>
                </w:p>
              </w:tc>
              <w:tc>
                <w:tcPr>
                  <w:tcW w:w="416" w:type="pct"/>
                  <w:tcBorders>
                    <w:tl2br w:val="nil"/>
                    <w:tr2bl w:val="nil"/>
                  </w:tcBorders>
                  <w:vAlign w:val="center"/>
                </w:tcPr>
                <w:p w14:paraId="7AC01BE7">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65</w:t>
                  </w:r>
                </w:p>
              </w:tc>
              <w:tc>
                <w:tcPr>
                  <w:tcW w:w="416" w:type="pct"/>
                  <w:tcBorders>
                    <w:tl2br w:val="nil"/>
                    <w:tr2bl w:val="nil"/>
                  </w:tcBorders>
                  <w:vAlign w:val="center"/>
                </w:tcPr>
                <w:p w14:paraId="36FB72A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59</w:t>
                  </w:r>
                </w:p>
              </w:tc>
              <w:tc>
                <w:tcPr>
                  <w:tcW w:w="416" w:type="pct"/>
                  <w:tcBorders>
                    <w:tl2br w:val="nil"/>
                    <w:tr2bl w:val="nil"/>
                  </w:tcBorders>
                  <w:vAlign w:val="center"/>
                </w:tcPr>
                <w:p w14:paraId="676AC670">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55</w:t>
                  </w:r>
                </w:p>
              </w:tc>
              <w:tc>
                <w:tcPr>
                  <w:tcW w:w="416" w:type="pct"/>
                  <w:tcBorders>
                    <w:tl2br w:val="nil"/>
                    <w:tr2bl w:val="nil"/>
                  </w:tcBorders>
                  <w:vAlign w:val="center"/>
                </w:tcPr>
                <w:p w14:paraId="064B98FF">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53</w:t>
                  </w:r>
                </w:p>
              </w:tc>
              <w:tc>
                <w:tcPr>
                  <w:tcW w:w="428" w:type="pct"/>
                  <w:tcBorders>
                    <w:tl2br w:val="nil"/>
                    <w:tr2bl w:val="nil"/>
                  </w:tcBorders>
                  <w:vAlign w:val="center"/>
                </w:tcPr>
                <w:p w14:paraId="1D392E1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51</w:t>
                  </w:r>
                </w:p>
              </w:tc>
            </w:tr>
            <w:tr w14:paraId="57AF5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4" w:type="pct"/>
                  <w:tcBorders>
                    <w:tl2br w:val="nil"/>
                    <w:tr2bl w:val="nil"/>
                  </w:tcBorders>
                  <w:vAlign w:val="center"/>
                </w:tcPr>
                <w:p w14:paraId="6684ED2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w:t>
                  </w:r>
                </w:p>
              </w:tc>
              <w:tc>
                <w:tcPr>
                  <w:tcW w:w="739" w:type="pct"/>
                  <w:tcBorders>
                    <w:tl2br w:val="nil"/>
                    <w:tr2bl w:val="nil"/>
                  </w:tcBorders>
                  <w:vAlign w:val="center"/>
                </w:tcPr>
                <w:p w14:paraId="148AAE9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砼搅拌机</w:t>
                  </w:r>
                </w:p>
              </w:tc>
              <w:tc>
                <w:tcPr>
                  <w:tcW w:w="376" w:type="pct"/>
                  <w:tcBorders>
                    <w:tl2br w:val="nil"/>
                    <w:tr2bl w:val="nil"/>
                  </w:tcBorders>
                  <w:vAlign w:val="center"/>
                </w:tcPr>
                <w:p w14:paraId="27596E6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88</w:t>
                  </w:r>
                </w:p>
              </w:tc>
              <w:tc>
                <w:tcPr>
                  <w:tcW w:w="354" w:type="pct"/>
                  <w:tcBorders>
                    <w:tl2br w:val="nil"/>
                    <w:tr2bl w:val="nil"/>
                  </w:tcBorders>
                  <w:vAlign w:val="center"/>
                </w:tcPr>
                <w:p w14:paraId="2CEDA6E2">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62</w:t>
                  </w:r>
                </w:p>
              </w:tc>
              <w:tc>
                <w:tcPr>
                  <w:tcW w:w="354" w:type="pct"/>
                  <w:tcBorders>
                    <w:tl2br w:val="nil"/>
                    <w:tr2bl w:val="nil"/>
                  </w:tcBorders>
                  <w:vAlign w:val="center"/>
                </w:tcPr>
                <w:p w14:paraId="342805CB">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56</w:t>
                  </w:r>
                </w:p>
              </w:tc>
              <w:tc>
                <w:tcPr>
                  <w:tcW w:w="354" w:type="pct"/>
                  <w:tcBorders>
                    <w:tl2br w:val="nil"/>
                    <w:tr2bl w:val="nil"/>
                  </w:tcBorders>
                  <w:vAlign w:val="center"/>
                </w:tcPr>
                <w:p w14:paraId="7E73007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52</w:t>
                  </w:r>
                </w:p>
              </w:tc>
              <w:tc>
                <w:tcPr>
                  <w:tcW w:w="354" w:type="pct"/>
                  <w:tcBorders>
                    <w:tl2br w:val="nil"/>
                    <w:tr2bl w:val="nil"/>
                  </w:tcBorders>
                  <w:vAlign w:val="center"/>
                </w:tcPr>
                <w:p w14:paraId="1CE6505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50</w:t>
                  </w:r>
                </w:p>
              </w:tc>
              <w:tc>
                <w:tcPr>
                  <w:tcW w:w="416" w:type="pct"/>
                  <w:tcBorders>
                    <w:tl2br w:val="nil"/>
                    <w:tr2bl w:val="nil"/>
                  </w:tcBorders>
                  <w:vAlign w:val="center"/>
                </w:tcPr>
                <w:p w14:paraId="4AA400F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48</w:t>
                  </w:r>
                </w:p>
              </w:tc>
              <w:tc>
                <w:tcPr>
                  <w:tcW w:w="416" w:type="pct"/>
                  <w:tcBorders>
                    <w:tl2br w:val="nil"/>
                    <w:tr2bl w:val="nil"/>
                  </w:tcBorders>
                  <w:vAlign w:val="center"/>
                </w:tcPr>
                <w:p w14:paraId="10C6509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42</w:t>
                  </w:r>
                </w:p>
              </w:tc>
              <w:tc>
                <w:tcPr>
                  <w:tcW w:w="416" w:type="pct"/>
                  <w:tcBorders>
                    <w:tl2br w:val="nil"/>
                    <w:tr2bl w:val="nil"/>
                  </w:tcBorders>
                  <w:vAlign w:val="center"/>
                </w:tcPr>
                <w:p w14:paraId="230E553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38</w:t>
                  </w:r>
                </w:p>
              </w:tc>
              <w:tc>
                <w:tcPr>
                  <w:tcW w:w="416" w:type="pct"/>
                  <w:tcBorders>
                    <w:tl2br w:val="nil"/>
                    <w:tr2bl w:val="nil"/>
                  </w:tcBorders>
                  <w:vAlign w:val="center"/>
                </w:tcPr>
                <w:p w14:paraId="77E73CAC">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36</w:t>
                  </w:r>
                </w:p>
              </w:tc>
              <w:tc>
                <w:tcPr>
                  <w:tcW w:w="428" w:type="pct"/>
                  <w:tcBorders>
                    <w:tl2br w:val="nil"/>
                    <w:tr2bl w:val="nil"/>
                  </w:tcBorders>
                  <w:vAlign w:val="center"/>
                </w:tcPr>
                <w:p w14:paraId="7D0F86B2">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34</w:t>
                  </w:r>
                </w:p>
              </w:tc>
            </w:tr>
          </w:tbl>
          <w:p w14:paraId="7BAB5A7F">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根据噪声预测结果：如果不采取任何噪声控制措施，昼间由于施工机械噪声的影响，在距施工场地60m以外方可达到《建筑施工噪声排放标准》（GB12523-2025）要求，夜间在300m处方可达到标准值。不同施工机械的噪声达标距离见下表。</w:t>
            </w:r>
          </w:p>
          <w:p w14:paraId="77BBC25A">
            <w:pPr>
              <w:adjustRightInd w:val="0"/>
              <w:snapToGrid w:val="0"/>
              <w:jc w:val="center"/>
              <w:rPr>
                <w:rFonts w:hint="default" w:ascii="Times New Roman" w:hAnsi="Times New Roman" w:cs="Times New Roman"/>
                <w:b/>
                <w:sz w:val="24"/>
                <w:highlight w:val="none"/>
              </w:rPr>
            </w:pPr>
            <w:r>
              <w:rPr>
                <w:rFonts w:hint="default" w:ascii="Times New Roman" w:hAnsi="Times New Roman" w:cs="Times New Roman"/>
                <w:b/>
                <w:sz w:val="24"/>
                <w:highlight w:val="none"/>
              </w:rPr>
              <w:t>表4-3不同施工机械的噪声达标距离</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6"/>
              <w:gridCol w:w="1791"/>
              <w:gridCol w:w="2366"/>
              <w:gridCol w:w="2223"/>
              <w:gridCol w:w="2214"/>
            </w:tblGrid>
            <w:tr w14:paraId="1427E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pct"/>
                  <w:tcBorders>
                    <w:tl2br w:val="nil"/>
                    <w:tr2bl w:val="nil"/>
                  </w:tcBorders>
                  <w:vAlign w:val="center"/>
                </w:tcPr>
                <w:p w14:paraId="791BFF9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序号</w:t>
                  </w:r>
                </w:p>
              </w:tc>
              <w:tc>
                <w:tcPr>
                  <w:tcW w:w="957" w:type="pct"/>
                  <w:tcBorders>
                    <w:tl2br w:val="nil"/>
                    <w:tr2bl w:val="nil"/>
                  </w:tcBorders>
                  <w:vAlign w:val="center"/>
                </w:tcPr>
                <w:p w14:paraId="4229184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机械名称</w:t>
                  </w:r>
                </w:p>
              </w:tc>
              <w:tc>
                <w:tcPr>
                  <w:tcW w:w="1264" w:type="pct"/>
                  <w:tcBorders>
                    <w:tl2br w:val="nil"/>
                    <w:tr2bl w:val="nil"/>
                  </w:tcBorders>
                  <w:vAlign w:val="center"/>
                </w:tcPr>
                <w:p w14:paraId="3D9610B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昼间达标距离（m）</w:t>
                  </w:r>
                </w:p>
              </w:tc>
              <w:tc>
                <w:tcPr>
                  <w:tcW w:w="1188" w:type="pct"/>
                  <w:tcBorders>
                    <w:tl2br w:val="nil"/>
                    <w:tr2bl w:val="nil"/>
                  </w:tcBorders>
                  <w:vAlign w:val="center"/>
                </w:tcPr>
                <w:p w14:paraId="410C5F60">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夜间达标距离（m）</w:t>
                  </w:r>
                </w:p>
              </w:tc>
              <w:tc>
                <w:tcPr>
                  <w:tcW w:w="1183" w:type="pct"/>
                  <w:tcBorders>
                    <w:tl2br w:val="nil"/>
                    <w:tr2bl w:val="nil"/>
                  </w:tcBorders>
                  <w:vAlign w:val="center"/>
                </w:tcPr>
                <w:p w14:paraId="12B3BB5F">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最近居民</w:t>
                  </w:r>
                </w:p>
              </w:tc>
            </w:tr>
            <w:tr w14:paraId="72119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pct"/>
                  <w:tcBorders>
                    <w:tl2br w:val="nil"/>
                    <w:tr2bl w:val="nil"/>
                  </w:tcBorders>
                  <w:vAlign w:val="center"/>
                </w:tcPr>
                <w:p w14:paraId="5A1530E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w:t>
                  </w:r>
                </w:p>
              </w:tc>
              <w:tc>
                <w:tcPr>
                  <w:tcW w:w="957" w:type="pct"/>
                  <w:tcBorders>
                    <w:tl2br w:val="nil"/>
                    <w:tr2bl w:val="nil"/>
                  </w:tcBorders>
                  <w:vAlign w:val="center"/>
                </w:tcPr>
                <w:p w14:paraId="7A01C66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挖掘机</w:t>
                  </w:r>
                </w:p>
              </w:tc>
              <w:tc>
                <w:tcPr>
                  <w:tcW w:w="1264" w:type="pct"/>
                  <w:tcBorders>
                    <w:tl2br w:val="nil"/>
                    <w:tr2bl w:val="nil"/>
                  </w:tcBorders>
                  <w:vAlign w:val="center"/>
                </w:tcPr>
                <w:p w14:paraId="3125A8B3">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40</w:t>
                  </w:r>
                </w:p>
              </w:tc>
              <w:tc>
                <w:tcPr>
                  <w:tcW w:w="1188" w:type="pct"/>
                  <w:tcBorders>
                    <w:tl2br w:val="nil"/>
                    <w:tr2bl w:val="nil"/>
                  </w:tcBorders>
                  <w:vAlign w:val="center"/>
                </w:tcPr>
                <w:p w14:paraId="0CC5ACED">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200</w:t>
                  </w:r>
                </w:p>
              </w:tc>
              <w:tc>
                <w:tcPr>
                  <w:tcW w:w="1183" w:type="pct"/>
                  <w:vMerge w:val="restart"/>
                  <w:tcBorders>
                    <w:tl2br w:val="nil"/>
                    <w:tr2bl w:val="nil"/>
                  </w:tcBorders>
                  <w:vAlign w:val="center"/>
                </w:tcPr>
                <w:p w14:paraId="1687C80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最近居民区为厂区南侧155m的凤凰泉村，施工时加上围墙隔挡，噪声可减少20dB（A），昼间可达标、夜间不施工；</w:t>
                  </w:r>
                  <w:r>
                    <w:rPr>
                      <w:rFonts w:hint="default" w:ascii="Times New Roman" w:hAnsi="Times New Roman" w:cs="Times New Roman"/>
                      <w:bCs/>
                      <w:highlight w:val="none"/>
                    </w:rPr>
                    <w:t>采取措施后可以达标。</w:t>
                  </w:r>
                </w:p>
              </w:tc>
            </w:tr>
            <w:tr w14:paraId="00F55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pct"/>
                  <w:tcBorders>
                    <w:tl2br w:val="nil"/>
                    <w:tr2bl w:val="nil"/>
                  </w:tcBorders>
                  <w:vAlign w:val="center"/>
                </w:tcPr>
                <w:p w14:paraId="28B7FE72">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w:t>
                  </w:r>
                </w:p>
              </w:tc>
              <w:tc>
                <w:tcPr>
                  <w:tcW w:w="957" w:type="pct"/>
                  <w:tcBorders>
                    <w:tl2br w:val="nil"/>
                    <w:tr2bl w:val="nil"/>
                  </w:tcBorders>
                  <w:vAlign w:val="center"/>
                </w:tcPr>
                <w:p w14:paraId="35A91CF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推土机</w:t>
                  </w:r>
                </w:p>
              </w:tc>
              <w:tc>
                <w:tcPr>
                  <w:tcW w:w="1264" w:type="pct"/>
                  <w:tcBorders>
                    <w:tl2br w:val="nil"/>
                    <w:tr2bl w:val="nil"/>
                  </w:tcBorders>
                  <w:vAlign w:val="center"/>
                </w:tcPr>
                <w:p w14:paraId="33C97A30">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40</w:t>
                  </w:r>
                </w:p>
              </w:tc>
              <w:tc>
                <w:tcPr>
                  <w:tcW w:w="1188" w:type="pct"/>
                  <w:tcBorders>
                    <w:tl2br w:val="nil"/>
                    <w:tr2bl w:val="nil"/>
                  </w:tcBorders>
                  <w:vAlign w:val="center"/>
                </w:tcPr>
                <w:p w14:paraId="53615555">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200</w:t>
                  </w:r>
                </w:p>
              </w:tc>
              <w:tc>
                <w:tcPr>
                  <w:tcW w:w="1183" w:type="pct"/>
                  <w:vMerge w:val="continue"/>
                  <w:tcBorders>
                    <w:tl2br w:val="nil"/>
                    <w:tr2bl w:val="nil"/>
                  </w:tcBorders>
                  <w:vAlign w:val="center"/>
                </w:tcPr>
                <w:p w14:paraId="58138C2C">
                  <w:pPr>
                    <w:adjustRightInd w:val="0"/>
                    <w:snapToGrid w:val="0"/>
                    <w:jc w:val="center"/>
                    <w:rPr>
                      <w:rFonts w:hint="default" w:ascii="Times New Roman" w:hAnsi="Times New Roman" w:cs="Times New Roman"/>
                      <w:bCs/>
                      <w:szCs w:val="21"/>
                      <w:highlight w:val="none"/>
                    </w:rPr>
                  </w:pPr>
                </w:p>
              </w:tc>
            </w:tr>
            <w:tr w14:paraId="6DCE3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pct"/>
                  <w:tcBorders>
                    <w:tl2br w:val="nil"/>
                    <w:tr2bl w:val="nil"/>
                  </w:tcBorders>
                  <w:vAlign w:val="center"/>
                </w:tcPr>
                <w:p w14:paraId="5FDF507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w:t>
                  </w:r>
                </w:p>
              </w:tc>
              <w:tc>
                <w:tcPr>
                  <w:tcW w:w="957" w:type="pct"/>
                  <w:tcBorders>
                    <w:tl2br w:val="nil"/>
                    <w:tr2bl w:val="nil"/>
                  </w:tcBorders>
                  <w:vAlign w:val="center"/>
                </w:tcPr>
                <w:p w14:paraId="151FD98E">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自卸卡车</w:t>
                  </w:r>
                </w:p>
              </w:tc>
              <w:tc>
                <w:tcPr>
                  <w:tcW w:w="1264" w:type="pct"/>
                  <w:tcBorders>
                    <w:tl2br w:val="nil"/>
                    <w:tr2bl w:val="nil"/>
                  </w:tcBorders>
                  <w:vAlign w:val="center"/>
                </w:tcPr>
                <w:p w14:paraId="01E9CB1F">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20</w:t>
                  </w:r>
                </w:p>
              </w:tc>
              <w:tc>
                <w:tcPr>
                  <w:tcW w:w="1188" w:type="pct"/>
                  <w:tcBorders>
                    <w:tl2br w:val="nil"/>
                    <w:tr2bl w:val="nil"/>
                  </w:tcBorders>
                  <w:vAlign w:val="center"/>
                </w:tcPr>
                <w:p w14:paraId="01221006">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60</w:t>
                  </w:r>
                </w:p>
              </w:tc>
              <w:tc>
                <w:tcPr>
                  <w:tcW w:w="1183" w:type="pct"/>
                  <w:vMerge w:val="continue"/>
                  <w:tcBorders>
                    <w:tl2br w:val="nil"/>
                    <w:tr2bl w:val="nil"/>
                  </w:tcBorders>
                  <w:vAlign w:val="center"/>
                </w:tcPr>
                <w:p w14:paraId="12CD6CA8">
                  <w:pPr>
                    <w:adjustRightInd w:val="0"/>
                    <w:snapToGrid w:val="0"/>
                    <w:jc w:val="center"/>
                    <w:rPr>
                      <w:rFonts w:hint="default" w:ascii="Times New Roman" w:hAnsi="Times New Roman" w:cs="Times New Roman"/>
                      <w:bCs/>
                      <w:szCs w:val="21"/>
                      <w:highlight w:val="none"/>
                    </w:rPr>
                  </w:pPr>
                </w:p>
              </w:tc>
            </w:tr>
            <w:tr w14:paraId="5DE65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pct"/>
                  <w:tcBorders>
                    <w:tl2br w:val="nil"/>
                    <w:tr2bl w:val="nil"/>
                  </w:tcBorders>
                  <w:vAlign w:val="center"/>
                </w:tcPr>
                <w:p w14:paraId="1AE8543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4</w:t>
                  </w:r>
                </w:p>
              </w:tc>
              <w:tc>
                <w:tcPr>
                  <w:tcW w:w="957" w:type="pct"/>
                  <w:tcBorders>
                    <w:tl2br w:val="nil"/>
                    <w:tr2bl w:val="nil"/>
                  </w:tcBorders>
                  <w:vAlign w:val="center"/>
                </w:tcPr>
                <w:p w14:paraId="5DF39BAB">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装载机</w:t>
                  </w:r>
                </w:p>
              </w:tc>
              <w:tc>
                <w:tcPr>
                  <w:tcW w:w="1264" w:type="pct"/>
                  <w:tcBorders>
                    <w:tl2br w:val="nil"/>
                    <w:tr2bl w:val="nil"/>
                  </w:tcBorders>
                  <w:vAlign w:val="center"/>
                </w:tcPr>
                <w:p w14:paraId="65A7D93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20</w:t>
                  </w:r>
                </w:p>
              </w:tc>
              <w:tc>
                <w:tcPr>
                  <w:tcW w:w="1188" w:type="pct"/>
                  <w:tcBorders>
                    <w:tl2br w:val="nil"/>
                    <w:tr2bl w:val="nil"/>
                  </w:tcBorders>
                  <w:vAlign w:val="center"/>
                </w:tcPr>
                <w:p w14:paraId="73451AF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60</w:t>
                  </w:r>
                </w:p>
              </w:tc>
              <w:tc>
                <w:tcPr>
                  <w:tcW w:w="1183" w:type="pct"/>
                  <w:vMerge w:val="continue"/>
                  <w:tcBorders>
                    <w:tl2br w:val="nil"/>
                    <w:tr2bl w:val="nil"/>
                  </w:tcBorders>
                  <w:vAlign w:val="center"/>
                </w:tcPr>
                <w:p w14:paraId="3D28B64C">
                  <w:pPr>
                    <w:adjustRightInd w:val="0"/>
                    <w:snapToGrid w:val="0"/>
                    <w:jc w:val="center"/>
                    <w:rPr>
                      <w:rFonts w:hint="default" w:ascii="Times New Roman" w:hAnsi="Times New Roman" w:cs="Times New Roman"/>
                      <w:bCs/>
                      <w:szCs w:val="21"/>
                      <w:highlight w:val="none"/>
                    </w:rPr>
                  </w:pPr>
                </w:p>
              </w:tc>
            </w:tr>
            <w:tr w14:paraId="6CE95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pct"/>
                  <w:tcBorders>
                    <w:tl2br w:val="nil"/>
                    <w:tr2bl w:val="nil"/>
                  </w:tcBorders>
                  <w:vAlign w:val="center"/>
                </w:tcPr>
                <w:p w14:paraId="6846A85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5</w:t>
                  </w:r>
                </w:p>
              </w:tc>
              <w:tc>
                <w:tcPr>
                  <w:tcW w:w="957" w:type="pct"/>
                  <w:tcBorders>
                    <w:tl2br w:val="nil"/>
                    <w:tr2bl w:val="nil"/>
                  </w:tcBorders>
                  <w:vAlign w:val="center"/>
                </w:tcPr>
                <w:p w14:paraId="79B5333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砼振捣机</w:t>
                  </w:r>
                </w:p>
              </w:tc>
              <w:tc>
                <w:tcPr>
                  <w:tcW w:w="1264" w:type="pct"/>
                  <w:tcBorders>
                    <w:tl2br w:val="nil"/>
                    <w:tr2bl w:val="nil"/>
                  </w:tcBorders>
                  <w:vAlign w:val="center"/>
                </w:tcPr>
                <w:p w14:paraId="377B0A31">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60</w:t>
                  </w:r>
                </w:p>
              </w:tc>
              <w:tc>
                <w:tcPr>
                  <w:tcW w:w="1188" w:type="pct"/>
                  <w:tcBorders>
                    <w:tl2br w:val="nil"/>
                    <w:tr2bl w:val="nil"/>
                  </w:tcBorders>
                  <w:vAlign w:val="center"/>
                </w:tcPr>
                <w:p w14:paraId="0642D6A4">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300</w:t>
                  </w:r>
                </w:p>
              </w:tc>
              <w:tc>
                <w:tcPr>
                  <w:tcW w:w="1183" w:type="pct"/>
                  <w:vMerge w:val="continue"/>
                  <w:tcBorders>
                    <w:tl2br w:val="nil"/>
                    <w:tr2bl w:val="nil"/>
                  </w:tcBorders>
                  <w:vAlign w:val="center"/>
                </w:tcPr>
                <w:p w14:paraId="4D310714">
                  <w:pPr>
                    <w:adjustRightInd w:val="0"/>
                    <w:snapToGrid w:val="0"/>
                    <w:jc w:val="center"/>
                    <w:rPr>
                      <w:rFonts w:hint="default" w:ascii="Times New Roman" w:hAnsi="Times New Roman" w:cs="Times New Roman"/>
                      <w:bCs/>
                      <w:szCs w:val="21"/>
                      <w:highlight w:val="none"/>
                    </w:rPr>
                  </w:pPr>
                </w:p>
              </w:tc>
            </w:tr>
            <w:tr w14:paraId="7F2C2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5" w:type="pct"/>
                  <w:tcBorders>
                    <w:tl2br w:val="nil"/>
                    <w:tr2bl w:val="nil"/>
                  </w:tcBorders>
                  <w:vAlign w:val="center"/>
                </w:tcPr>
                <w:p w14:paraId="4EEC05EA">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w:t>
                  </w:r>
                </w:p>
              </w:tc>
              <w:tc>
                <w:tcPr>
                  <w:tcW w:w="957" w:type="pct"/>
                  <w:tcBorders>
                    <w:tl2br w:val="nil"/>
                    <w:tr2bl w:val="nil"/>
                  </w:tcBorders>
                  <w:vAlign w:val="center"/>
                </w:tcPr>
                <w:p w14:paraId="4FABBA59">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砼搅拌机</w:t>
                  </w:r>
                </w:p>
              </w:tc>
              <w:tc>
                <w:tcPr>
                  <w:tcW w:w="1264" w:type="pct"/>
                  <w:tcBorders>
                    <w:tl2br w:val="nil"/>
                    <w:tr2bl w:val="nil"/>
                  </w:tcBorders>
                  <w:vAlign w:val="center"/>
                </w:tcPr>
                <w:p w14:paraId="0A18C818">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20</w:t>
                  </w:r>
                </w:p>
              </w:tc>
              <w:tc>
                <w:tcPr>
                  <w:tcW w:w="1188" w:type="pct"/>
                  <w:tcBorders>
                    <w:tl2br w:val="nil"/>
                    <w:tr2bl w:val="nil"/>
                  </w:tcBorders>
                  <w:vAlign w:val="center"/>
                </w:tcPr>
                <w:p w14:paraId="73C0F970">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60</w:t>
                  </w:r>
                </w:p>
              </w:tc>
              <w:tc>
                <w:tcPr>
                  <w:tcW w:w="1183" w:type="pct"/>
                  <w:vMerge w:val="continue"/>
                  <w:tcBorders>
                    <w:tl2br w:val="nil"/>
                    <w:tr2bl w:val="nil"/>
                  </w:tcBorders>
                  <w:vAlign w:val="center"/>
                </w:tcPr>
                <w:p w14:paraId="4D2E2AC8">
                  <w:pPr>
                    <w:adjustRightInd w:val="0"/>
                    <w:snapToGrid w:val="0"/>
                    <w:jc w:val="center"/>
                    <w:rPr>
                      <w:rFonts w:hint="default" w:ascii="Times New Roman" w:hAnsi="Times New Roman" w:cs="Times New Roman"/>
                      <w:bCs/>
                      <w:szCs w:val="21"/>
                      <w:highlight w:val="none"/>
                    </w:rPr>
                  </w:pPr>
                </w:p>
              </w:tc>
            </w:tr>
          </w:tbl>
          <w:p w14:paraId="5BCCFEC5">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（3）防治措施</w:t>
            </w:r>
          </w:p>
          <w:p w14:paraId="6256AD7F">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为最大限度地避免和减轻施工和交通噪声对施工场地的影响，本评价对施工噪声的控制提出以下要求和建议：</w:t>
            </w:r>
          </w:p>
          <w:p w14:paraId="324ACA7D">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fldChar w:fldCharType="begin"/>
            </w:r>
            <w:r>
              <w:rPr>
                <w:rFonts w:hint="default" w:ascii="Times New Roman" w:hAnsi="Times New Roman" w:cs="Times New Roman"/>
                <w:bCs/>
                <w:sz w:val="24"/>
                <w:highlight w:val="none"/>
              </w:rPr>
              <w:instrText xml:space="preserve"> = 1 \* GB3 \* MERGEFORMAT </w:instrText>
            </w:r>
            <w:r>
              <w:rPr>
                <w:rFonts w:hint="default" w:ascii="Times New Roman" w:hAnsi="Times New Roman" w:cs="Times New Roman"/>
                <w:bCs/>
                <w:sz w:val="24"/>
                <w:highlight w:val="none"/>
              </w:rPr>
              <w:fldChar w:fldCharType="separate"/>
            </w:r>
            <w:r>
              <w:rPr>
                <w:rFonts w:hint="default" w:ascii="Times New Roman" w:hAnsi="Times New Roman" w:cs="Times New Roman"/>
                <w:bCs/>
                <w:sz w:val="24"/>
                <w:highlight w:val="none"/>
              </w:rPr>
              <w:t>①</w:t>
            </w:r>
            <w:r>
              <w:rPr>
                <w:rFonts w:hint="default" w:ascii="Times New Roman" w:hAnsi="Times New Roman" w:cs="Times New Roman"/>
                <w:bCs/>
                <w:sz w:val="24"/>
                <w:highlight w:val="none"/>
              </w:rPr>
              <w:fldChar w:fldCharType="end"/>
            </w:r>
            <w:r>
              <w:rPr>
                <w:rFonts w:hint="default" w:ascii="Times New Roman" w:hAnsi="Times New Roman" w:cs="Times New Roman"/>
                <w:bCs/>
                <w:sz w:val="24"/>
                <w:highlight w:val="none"/>
              </w:rPr>
              <w:t>施工单位所使用的主要施工机械应选用低噪声机械设备，如选用液压机械取代燃油机械等，并及时维修保养，严格按操作规程使用各类机械。</w:t>
            </w:r>
          </w:p>
          <w:p w14:paraId="7A46DFB8">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fldChar w:fldCharType="begin"/>
            </w:r>
            <w:r>
              <w:rPr>
                <w:rFonts w:hint="default" w:ascii="Times New Roman" w:hAnsi="Times New Roman" w:cs="Times New Roman"/>
                <w:bCs/>
                <w:sz w:val="24"/>
                <w:highlight w:val="none"/>
              </w:rPr>
              <w:instrText xml:space="preserve"> = 2 \* GB3 \* MERGEFORMAT </w:instrText>
            </w:r>
            <w:r>
              <w:rPr>
                <w:rFonts w:hint="default" w:ascii="Times New Roman" w:hAnsi="Times New Roman" w:cs="Times New Roman"/>
                <w:bCs/>
                <w:sz w:val="24"/>
                <w:highlight w:val="none"/>
              </w:rPr>
              <w:fldChar w:fldCharType="separate"/>
            </w:r>
            <w:r>
              <w:rPr>
                <w:rFonts w:hint="default" w:ascii="Times New Roman" w:hAnsi="Times New Roman" w:cs="Times New Roman"/>
                <w:bCs/>
                <w:sz w:val="24"/>
                <w:highlight w:val="none"/>
              </w:rPr>
              <w:t>②</w:t>
            </w:r>
            <w:r>
              <w:rPr>
                <w:rFonts w:hint="default" w:ascii="Times New Roman" w:hAnsi="Times New Roman" w:cs="Times New Roman"/>
                <w:bCs/>
                <w:sz w:val="24"/>
                <w:highlight w:val="none"/>
              </w:rPr>
              <w:fldChar w:fldCharType="end"/>
            </w:r>
            <w:r>
              <w:rPr>
                <w:rFonts w:hint="default" w:ascii="Times New Roman" w:hAnsi="Times New Roman" w:cs="Times New Roman"/>
                <w:bCs/>
                <w:sz w:val="24"/>
                <w:highlight w:val="none"/>
              </w:rPr>
              <w:t>对建筑物外部采用围挡，减轻施工噪声对外环境的影响。推土机、挖掘机等设备运行噪声不可避免，因此基础开挖等作业必须在短期内完成，环评要求利用噪声衰减措施，在不影响施工的条件下，将强噪声设备分散安排，高噪声作业必须在昼间进行，并在施工场界周围设置维护设施，高噪声设备设置隔音、减噪措施。</w:t>
            </w:r>
          </w:p>
          <w:p w14:paraId="0C018C89">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fldChar w:fldCharType="begin"/>
            </w:r>
            <w:r>
              <w:rPr>
                <w:rFonts w:hint="default" w:ascii="Times New Roman" w:hAnsi="Times New Roman" w:cs="Times New Roman"/>
                <w:bCs/>
                <w:sz w:val="24"/>
                <w:highlight w:val="none"/>
              </w:rPr>
              <w:instrText xml:space="preserve"> = 3 \* GB3 \* MERGEFORMAT </w:instrText>
            </w:r>
            <w:r>
              <w:rPr>
                <w:rFonts w:hint="default" w:ascii="Times New Roman" w:hAnsi="Times New Roman" w:cs="Times New Roman"/>
                <w:bCs/>
                <w:sz w:val="24"/>
                <w:highlight w:val="none"/>
              </w:rPr>
              <w:fldChar w:fldCharType="separate"/>
            </w:r>
            <w:r>
              <w:rPr>
                <w:rFonts w:hint="default" w:ascii="Times New Roman" w:hAnsi="Times New Roman" w:cs="Times New Roman"/>
                <w:bCs/>
                <w:sz w:val="24"/>
                <w:highlight w:val="none"/>
              </w:rPr>
              <w:t>③</w:t>
            </w:r>
            <w:r>
              <w:rPr>
                <w:rFonts w:hint="default" w:ascii="Times New Roman" w:hAnsi="Times New Roman" w:cs="Times New Roman"/>
                <w:bCs/>
                <w:sz w:val="24"/>
                <w:highlight w:val="none"/>
              </w:rPr>
              <w:fldChar w:fldCharType="end"/>
            </w:r>
            <w:r>
              <w:rPr>
                <w:rFonts w:hint="default" w:ascii="Times New Roman" w:hAnsi="Times New Roman" w:cs="Times New Roman"/>
                <w:bCs/>
                <w:sz w:val="24"/>
                <w:highlight w:val="none"/>
              </w:rPr>
              <w:t>合理安排施工时间：要求施工单位严格遵守环保部门规定，合理安排施工时间，除工程必须外，严禁在12:00～14:00和夜间施工。</w:t>
            </w:r>
          </w:p>
          <w:p w14:paraId="32790C75">
            <w:pPr>
              <w:adjustRightInd w:val="0"/>
              <w:snapToGrid w:val="0"/>
              <w:spacing w:line="360" w:lineRule="auto"/>
              <w:ind w:firstLine="482" w:firstLineChars="200"/>
              <w:rPr>
                <w:rFonts w:hint="default" w:ascii="Times New Roman" w:hAnsi="Times New Roman" w:cs="Times New Roman"/>
                <w:sz w:val="24"/>
                <w:szCs w:val="20"/>
                <w:highlight w:val="none"/>
              </w:rPr>
            </w:pPr>
            <w:r>
              <w:rPr>
                <w:rFonts w:hint="default" w:ascii="Times New Roman" w:hAnsi="Times New Roman" w:cs="Times New Roman"/>
                <w:b/>
                <w:sz w:val="24"/>
                <w:highlight w:val="none"/>
              </w:rPr>
              <w:t>4.</w:t>
            </w:r>
            <w:r>
              <w:rPr>
                <w:rFonts w:hint="default" w:ascii="Times New Roman" w:hAnsi="Times New Roman" w:cs="Times New Roman"/>
                <w:b/>
                <w:bCs/>
                <w:sz w:val="24"/>
                <w:highlight w:val="none"/>
              </w:rPr>
              <w:t>固废环境影响分析</w:t>
            </w:r>
          </w:p>
          <w:p w14:paraId="68DFB02E">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固体废物主要包括施工中产生的弃土、建筑过程中产生的建筑垃圾和施工人员产生的生活垃圾。</w:t>
            </w:r>
          </w:p>
          <w:p w14:paraId="6876C015">
            <w:pPr>
              <w:adjustRightInd w:val="0"/>
              <w:snapToGrid w:val="0"/>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1.施工固体废物</w:t>
            </w:r>
          </w:p>
          <w:p w14:paraId="2EB3CAA2">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固体废物主要是施工弃土和建筑垃圾。固体废物产生在施工区，虽然比较分散，但若不妥善处置，将会对堆放地周边环境产生污染，如扬尘污染大气环境、雨淋污染地表水和地下水、有害生物大量繁殖危害周边人群环境、导致水土流失和景观环境破坏等。因此，必须采取相应的措施进行妥善处置。</w:t>
            </w:r>
          </w:p>
          <w:p w14:paraId="42717CFF">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2.施工生活垃圾</w:t>
            </w:r>
          </w:p>
          <w:p w14:paraId="16D51BCE">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本工程施工期间生活垃圾以每人每天产生0.5kg计算，施工人员为20人，则施工期间生活垃圾产生量为10kg/d。</w:t>
            </w:r>
          </w:p>
          <w:p w14:paraId="08986729">
            <w:pPr>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施工区和生活区均设置垃圾箱，并设专人定时进行卫生清理工作，对生活垃圾统一收集，收集后就近运往城镇垃圾处理厂集中处置。因此，只要采取适当的防治措施，工程产生的固体废物对环境影响较小。</w:t>
            </w:r>
          </w:p>
        </w:tc>
      </w:tr>
    </w:tbl>
    <w:p w14:paraId="59754828">
      <w:pPr>
        <w:spacing w:line="360" w:lineRule="auto"/>
        <w:jc w:val="center"/>
        <w:rPr>
          <w:rFonts w:hint="default" w:ascii="Times New Roman" w:hAnsi="Times New Roman" w:eastAsia="黑体" w:cs="Times New Roman"/>
          <w:bCs/>
          <w:sz w:val="24"/>
          <w:highlight w:val="none"/>
        </w:rPr>
        <w:sectPr>
          <w:pgSz w:w="11907" w:h="16840"/>
          <w:pgMar w:top="1440" w:right="1077" w:bottom="1440" w:left="1077" w:header="851" w:footer="851" w:gutter="0"/>
          <w:cols w:space="720" w:num="1"/>
          <w:docGrid w:linePitch="312" w:charSpace="0"/>
        </w:sectPr>
      </w:pPr>
    </w:p>
    <w:tbl>
      <w:tblPr>
        <w:tblStyle w:val="46"/>
        <w:tblW w:w="510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92"/>
        <w:gridCol w:w="14011"/>
      </w:tblGrid>
      <w:tr w14:paraId="473BA9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729" w:hRule="atLeast"/>
          <w:jc w:val="center"/>
        </w:trPr>
        <w:tc>
          <w:tcPr>
            <w:tcW w:w="136" w:type="pct"/>
            <w:tcMar>
              <w:left w:w="28" w:type="dxa"/>
              <w:right w:w="28" w:type="dxa"/>
            </w:tcMar>
            <w:vAlign w:val="center"/>
          </w:tcPr>
          <w:p w14:paraId="035E11FC">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运营</w:t>
            </w:r>
          </w:p>
          <w:p w14:paraId="4AE48FCB">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期环</w:t>
            </w:r>
          </w:p>
          <w:p w14:paraId="3D6D2EC5">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境影</w:t>
            </w:r>
          </w:p>
          <w:p w14:paraId="20A8151C">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响和</w:t>
            </w:r>
          </w:p>
          <w:p w14:paraId="6B3E88F8">
            <w:pPr>
              <w:spacing w:line="360" w:lineRule="auto"/>
              <w:jc w:val="center"/>
              <w:rPr>
                <w:rFonts w:hint="default" w:ascii="Times New Roman" w:hAnsi="Times New Roman" w:cs="Times New Roman"/>
                <w:bCs/>
                <w:sz w:val="24"/>
                <w:highlight w:val="none"/>
              </w:rPr>
            </w:pPr>
            <w:r>
              <w:rPr>
                <w:rFonts w:hint="default" w:ascii="Times New Roman" w:hAnsi="Times New Roman" w:cs="Times New Roman"/>
                <w:bCs/>
                <w:sz w:val="24"/>
                <w:highlight w:val="none"/>
              </w:rPr>
              <w:t>保护</w:t>
            </w:r>
          </w:p>
          <w:p w14:paraId="59197BF7">
            <w:pPr>
              <w:pStyle w:val="42"/>
              <w:adjustRightInd w:val="0"/>
              <w:snapToGrid w:val="0"/>
              <w:spacing w:before="0" w:beforeAutospacing="0" w:after="0" w:afterAutospacing="0"/>
              <w:jc w:val="center"/>
              <w:rPr>
                <w:rFonts w:hint="default" w:ascii="Times New Roman" w:hAnsi="Times New Roman" w:cs="Times New Roman"/>
                <w:bCs/>
                <w:highlight w:val="none"/>
              </w:rPr>
            </w:pPr>
            <w:r>
              <w:rPr>
                <w:rFonts w:hint="default" w:ascii="Times New Roman" w:hAnsi="Times New Roman" w:cs="Times New Roman"/>
                <w:bCs/>
                <w:highlight w:val="none"/>
              </w:rPr>
              <w:t>措</w:t>
            </w:r>
          </w:p>
          <w:p w14:paraId="41B5A5E5">
            <w:pPr>
              <w:pStyle w:val="42"/>
              <w:adjustRightInd w:val="0"/>
              <w:snapToGrid w:val="0"/>
              <w:spacing w:before="0" w:beforeAutospacing="0" w:after="0" w:afterAutospacing="0"/>
              <w:jc w:val="center"/>
              <w:rPr>
                <w:rFonts w:hint="default" w:ascii="Times New Roman" w:hAnsi="Times New Roman" w:cs="Times New Roman"/>
                <w:bCs/>
                <w:highlight w:val="none"/>
              </w:rPr>
            </w:pPr>
          </w:p>
          <w:p w14:paraId="70AA22FF">
            <w:pPr>
              <w:pStyle w:val="42"/>
              <w:adjustRightInd w:val="0"/>
              <w:snapToGrid w:val="0"/>
              <w:spacing w:before="0" w:beforeAutospacing="0" w:after="0" w:afterAutospacing="0"/>
              <w:jc w:val="center"/>
              <w:rPr>
                <w:rFonts w:hint="default" w:ascii="Times New Roman" w:hAnsi="Times New Roman" w:cs="Times New Roman"/>
                <w:bCs/>
                <w:highlight w:val="none"/>
              </w:rPr>
            </w:pPr>
            <w:r>
              <w:rPr>
                <w:rFonts w:hint="default" w:ascii="Times New Roman" w:hAnsi="Times New Roman" w:cs="Times New Roman"/>
                <w:bCs/>
                <w:highlight w:val="none"/>
              </w:rPr>
              <w:t>施</w:t>
            </w:r>
          </w:p>
          <w:p w14:paraId="4A0D848D">
            <w:pPr>
              <w:spacing w:line="360" w:lineRule="auto"/>
              <w:jc w:val="center"/>
              <w:rPr>
                <w:rFonts w:hint="default" w:ascii="Times New Roman" w:hAnsi="Times New Roman" w:cs="Times New Roman"/>
                <w:bCs/>
                <w:sz w:val="24"/>
                <w:highlight w:val="none"/>
              </w:rPr>
            </w:pPr>
          </w:p>
        </w:tc>
        <w:tc>
          <w:tcPr>
            <w:tcW w:w="4863" w:type="pct"/>
            <w:vAlign w:val="center"/>
          </w:tcPr>
          <w:p w14:paraId="03A2EF11">
            <w:pPr>
              <w:tabs>
                <w:tab w:val="left" w:pos="1680"/>
              </w:tabs>
              <w:spacing w:line="360" w:lineRule="auto"/>
              <w:ind w:firstLine="482" w:firstLineChars="200"/>
              <w:rPr>
                <w:rFonts w:hint="default" w:ascii="Times New Roman" w:hAnsi="Times New Roman" w:cs="Times New Roman"/>
                <w:b/>
                <w:sz w:val="24"/>
                <w:highlight w:val="none"/>
              </w:rPr>
            </w:pPr>
            <w:r>
              <w:rPr>
                <w:rFonts w:hint="default" w:ascii="Times New Roman" w:hAnsi="Times New Roman" w:cs="Times New Roman"/>
                <w:b/>
                <w:sz w:val="24"/>
                <w:highlight w:val="none"/>
              </w:rPr>
              <w:t>一、废气</w:t>
            </w:r>
          </w:p>
          <w:p w14:paraId="7A972120">
            <w:p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1、废气产生源强</w:t>
            </w:r>
          </w:p>
          <w:p w14:paraId="1CBA0A7D">
            <w:pPr>
              <w:spacing w:line="360" w:lineRule="auto"/>
              <w:ind w:firstLine="482" w:firstLineChars="200"/>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表4-4  大气污染物有组织排放情况表</w:t>
            </w:r>
          </w:p>
          <w:tbl>
            <w:tblPr>
              <w:tblStyle w:val="46"/>
              <w:tblpPr w:leftFromText="180" w:rightFromText="180" w:vertAnchor="text" w:horzAnchor="page" w:tblpXSpec="center" w:tblpY="266"/>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8"/>
              <w:gridCol w:w="605"/>
              <w:gridCol w:w="574"/>
              <w:gridCol w:w="545"/>
              <w:gridCol w:w="545"/>
              <w:gridCol w:w="545"/>
              <w:gridCol w:w="1079"/>
              <w:gridCol w:w="394"/>
              <w:gridCol w:w="530"/>
              <w:gridCol w:w="591"/>
              <w:gridCol w:w="500"/>
              <w:gridCol w:w="500"/>
              <w:gridCol w:w="394"/>
              <w:gridCol w:w="591"/>
              <w:gridCol w:w="515"/>
              <w:gridCol w:w="1074"/>
              <w:gridCol w:w="498"/>
              <w:gridCol w:w="469"/>
              <w:gridCol w:w="621"/>
              <w:gridCol w:w="543"/>
              <w:gridCol w:w="629"/>
              <w:gridCol w:w="590"/>
              <w:gridCol w:w="607"/>
              <w:gridCol w:w="378"/>
            </w:tblGrid>
            <w:tr w14:paraId="33E82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8" w:type="dxa"/>
                  <w:vMerge w:val="restart"/>
                  <w:vAlign w:val="center"/>
                </w:tcPr>
                <w:p w14:paraId="2831107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污染工序</w:t>
                  </w:r>
                </w:p>
              </w:tc>
              <w:tc>
                <w:tcPr>
                  <w:tcW w:w="605" w:type="dxa"/>
                  <w:vMerge w:val="restart"/>
                  <w:vAlign w:val="center"/>
                </w:tcPr>
                <w:p w14:paraId="7D5066E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污染物种类</w:t>
                  </w:r>
                </w:p>
              </w:tc>
              <w:tc>
                <w:tcPr>
                  <w:tcW w:w="1664" w:type="dxa"/>
                  <w:gridSpan w:val="3"/>
                  <w:vAlign w:val="center"/>
                </w:tcPr>
                <w:p w14:paraId="1088EAC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污染物产生情况</w:t>
                  </w:r>
                </w:p>
              </w:tc>
              <w:tc>
                <w:tcPr>
                  <w:tcW w:w="2548" w:type="dxa"/>
                  <w:gridSpan w:val="4"/>
                  <w:vAlign w:val="center"/>
                </w:tcPr>
                <w:p w14:paraId="6FA306E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治理设施</w:t>
                  </w:r>
                </w:p>
              </w:tc>
              <w:tc>
                <w:tcPr>
                  <w:tcW w:w="1591" w:type="dxa"/>
                  <w:gridSpan w:val="3"/>
                  <w:vAlign w:val="center"/>
                </w:tcPr>
                <w:p w14:paraId="5C4C40A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污染物排放情况</w:t>
                  </w:r>
                </w:p>
              </w:tc>
              <w:tc>
                <w:tcPr>
                  <w:tcW w:w="5334" w:type="dxa"/>
                  <w:gridSpan w:val="9"/>
                  <w:vAlign w:val="center"/>
                </w:tcPr>
                <w:p w14:paraId="745A23C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排放口</w:t>
                  </w:r>
                </w:p>
              </w:tc>
              <w:tc>
                <w:tcPr>
                  <w:tcW w:w="1197" w:type="dxa"/>
                  <w:gridSpan w:val="2"/>
                  <w:vAlign w:val="center"/>
                </w:tcPr>
                <w:p w14:paraId="411AAD6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排放标准</w:t>
                  </w:r>
                </w:p>
              </w:tc>
              <w:tc>
                <w:tcPr>
                  <w:tcW w:w="378" w:type="dxa"/>
                  <w:vMerge w:val="restart"/>
                  <w:vAlign w:val="center"/>
                </w:tcPr>
                <w:p w14:paraId="377C3AC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是否达标</w:t>
                  </w:r>
                </w:p>
              </w:tc>
            </w:tr>
            <w:tr w14:paraId="72E85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8" w:type="dxa"/>
                  <w:vMerge w:val="continue"/>
                  <w:vAlign w:val="center"/>
                </w:tcPr>
                <w:p w14:paraId="6CD7D356">
                  <w:pPr>
                    <w:adjustRightInd w:val="0"/>
                    <w:snapToGrid w:val="0"/>
                    <w:jc w:val="center"/>
                    <w:rPr>
                      <w:rFonts w:hint="default" w:ascii="Times New Roman" w:hAnsi="Times New Roman" w:cs="Times New Roman"/>
                      <w:szCs w:val="21"/>
                      <w:highlight w:val="none"/>
                    </w:rPr>
                  </w:pPr>
                </w:p>
              </w:tc>
              <w:tc>
                <w:tcPr>
                  <w:tcW w:w="605" w:type="dxa"/>
                  <w:vMerge w:val="continue"/>
                  <w:vAlign w:val="center"/>
                </w:tcPr>
                <w:p w14:paraId="2ED36E0C">
                  <w:pPr>
                    <w:adjustRightInd w:val="0"/>
                    <w:snapToGrid w:val="0"/>
                    <w:jc w:val="center"/>
                    <w:rPr>
                      <w:rFonts w:hint="default" w:ascii="Times New Roman" w:hAnsi="Times New Roman" w:cs="Times New Roman"/>
                      <w:szCs w:val="21"/>
                      <w:highlight w:val="none"/>
                    </w:rPr>
                  </w:pPr>
                </w:p>
              </w:tc>
              <w:tc>
                <w:tcPr>
                  <w:tcW w:w="574" w:type="dxa"/>
                  <w:vAlign w:val="center"/>
                </w:tcPr>
                <w:p w14:paraId="00319A1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产生浓度mg/m</w:t>
                  </w:r>
                  <w:r>
                    <w:rPr>
                      <w:rFonts w:hint="default" w:ascii="Times New Roman" w:hAnsi="Times New Roman" w:cs="Times New Roman"/>
                      <w:szCs w:val="21"/>
                      <w:highlight w:val="none"/>
                      <w:vertAlign w:val="superscript"/>
                    </w:rPr>
                    <w:t>3</w:t>
                  </w:r>
                </w:p>
              </w:tc>
              <w:tc>
                <w:tcPr>
                  <w:tcW w:w="545" w:type="dxa"/>
                  <w:vAlign w:val="center"/>
                </w:tcPr>
                <w:p w14:paraId="09F1A5D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产生速率kg/h</w:t>
                  </w:r>
                </w:p>
              </w:tc>
              <w:tc>
                <w:tcPr>
                  <w:tcW w:w="545" w:type="dxa"/>
                  <w:vAlign w:val="center"/>
                </w:tcPr>
                <w:p w14:paraId="167342F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产生量t/a</w:t>
                  </w:r>
                </w:p>
              </w:tc>
              <w:tc>
                <w:tcPr>
                  <w:tcW w:w="545" w:type="dxa"/>
                  <w:vAlign w:val="center"/>
                </w:tcPr>
                <w:p w14:paraId="5EDD694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收集效率%</w:t>
                  </w:r>
                </w:p>
              </w:tc>
              <w:tc>
                <w:tcPr>
                  <w:tcW w:w="1079" w:type="dxa"/>
                  <w:vAlign w:val="center"/>
                </w:tcPr>
                <w:p w14:paraId="6F1D563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治理设施</w:t>
                  </w:r>
                </w:p>
              </w:tc>
              <w:tc>
                <w:tcPr>
                  <w:tcW w:w="394" w:type="dxa"/>
                  <w:vAlign w:val="center"/>
                </w:tcPr>
                <w:p w14:paraId="5380AC8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处理效率%</w:t>
                  </w:r>
                </w:p>
              </w:tc>
              <w:tc>
                <w:tcPr>
                  <w:tcW w:w="530" w:type="dxa"/>
                  <w:vAlign w:val="center"/>
                </w:tcPr>
                <w:p w14:paraId="0A68AF1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是否为可行技术</w:t>
                  </w:r>
                </w:p>
              </w:tc>
              <w:tc>
                <w:tcPr>
                  <w:tcW w:w="591" w:type="dxa"/>
                  <w:vAlign w:val="center"/>
                </w:tcPr>
                <w:p w14:paraId="6D1291B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排放浓度mg/m</w:t>
                  </w:r>
                  <w:r>
                    <w:rPr>
                      <w:rFonts w:hint="default" w:ascii="Times New Roman" w:hAnsi="Times New Roman" w:cs="Times New Roman"/>
                      <w:szCs w:val="21"/>
                      <w:highlight w:val="none"/>
                      <w:vertAlign w:val="superscript"/>
                    </w:rPr>
                    <w:t>3</w:t>
                  </w:r>
                </w:p>
              </w:tc>
              <w:tc>
                <w:tcPr>
                  <w:tcW w:w="500" w:type="dxa"/>
                  <w:vAlign w:val="center"/>
                </w:tcPr>
                <w:p w14:paraId="7C6E3EA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排放速率kg/h</w:t>
                  </w:r>
                </w:p>
              </w:tc>
              <w:tc>
                <w:tcPr>
                  <w:tcW w:w="500" w:type="dxa"/>
                  <w:vAlign w:val="center"/>
                </w:tcPr>
                <w:p w14:paraId="2C6666A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排放量t/a</w:t>
                  </w:r>
                </w:p>
              </w:tc>
              <w:tc>
                <w:tcPr>
                  <w:tcW w:w="394" w:type="dxa"/>
                  <w:vAlign w:val="center"/>
                </w:tcPr>
                <w:p w14:paraId="6F7D1AB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编号</w:t>
                  </w:r>
                </w:p>
              </w:tc>
              <w:tc>
                <w:tcPr>
                  <w:tcW w:w="591" w:type="dxa"/>
                  <w:vAlign w:val="center"/>
                </w:tcPr>
                <w:p w14:paraId="2D76B69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名称</w:t>
                  </w:r>
                </w:p>
              </w:tc>
              <w:tc>
                <w:tcPr>
                  <w:tcW w:w="515" w:type="dxa"/>
                  <w:vAlign w:val="center"/>
                </w:tcPr>
                <w:p w14:paraId="3E47D67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类型</w:t>
                  </w:r>
                </w:p>
              </w:tc>
              <w:tc>
                <w:tcPr>
                  <w:tcW w:w="1074" w:type="dxa"/>
                  <w:vAlign w:val="center"/>
                </w:tcPr>
                <w:p w14:paraId="64FA4BC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地理坐标</w:t>
                  </w:r>
                </w:p>
              </w:tc>
              <w:tc>
                <w:tcPr>
                  <w:tcW w:w="498" w:type="dxa"/>
                  <w:vAlign w:val="center"/>
                </w:tcPr>
                <w:p w14:paraId="7139B08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高度m</w:t>
                  </w:r>
                </w:p>
              </w:tc>
              <w:tc>
                <w:tcPr>
                  <w:tcW w:w="469" w:type="dxa"/>
                  <w:vAlign w:val="center"/>
                </w:tcPr>
                <w:p w14:paraId="4D366E2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出口内径m</w:t>
                  </w:r>
                </w:p>
              </w:tc>
              <w:tc>
                <w:tcPr>
                  <w:tcW w:w="621" w:type="dxa"/>
                  <w:vAlign w:val="center"/>
                </w:tcPr>
                <w:p w14:paraId="3C2CCE1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风量m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/h</w:t>
                  </w:r>
                </w:p>
              </w:tc>
              <w:tc>
                <w:tcPr>
                  <w:tcW w:w="543" w:type="dxa"/>
                  <w:vAlign w:val="center"/>
                </w:tcPr>
                <w:p w14:paraId="1DEA64B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排气温度℃</w:t>
                  </w:r>
                </w:p>
              </w:tc>
              <w:tc>
                <w:tcPr>
                  <w:tcW w:w="629" w:type="dxa"/>
                  <w:vAlign w:val="center"/>
                </w:tcPr>
                <w:p w14:paraId="442610E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年排放时数/h</w:t>
                  </w:r>
                </w:p>
              </w:tc>
              <w:tc>
                <w:tcPr>
                  <w:tcW w:w="590" w:type="dxa"/>
                  <w:vAlign w:val="center"/>
                </w:tcPr>
                <w:p w14:paraId="03633AA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浓度限值mg/m</w:t>
                  </w:r>
                  <w:r>
                    <w:rPr>
                      <w:rFonts w:hint="default" w:ascii="Times New Roman" w:hAnsi="Times New Roman" w:cs="Times New Roman"/>
                      <w:szCs w:val="21"/>
                      <w:highlight w:val="none"/>
                      <w:vertAlign w:val="superscript"/>
                    </w:rPr>
                    <w:t>3</w:t>
                  </w:r>
                </w:p>
              </w:tc>
              <w:tc>
                <w:tcPr>
                  <w:tcW w:w="607" w:type="dxa"/>
                  <w:vAlign w:val="center"/>
                </w:tcPr>
                <w:p w14:paraId="10CDA5C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速率限值kg/h</w:t>
                  </w:r>
                </w:p>
              </w:tc>
              <w:tc>
                <w:tcPr>
                  <w:tcW w:w="378" w:type="dxa"/>
                  <w:vMerge w:val="continue"/>
                  <w:vAlign w:val="center"/>
                </w:tcPr>
                <w:p w14:paraId="3C5DBB54">
                  <w:pPr>
                    <w:adjustRightInd w:val="0"/>
                    <w:snapToGrid w:val="0"/>
                    <w:jc w:val="center"/>
                    <w:rPr>
                      <w:rFonts w:hint="default" w:ascii="Times New Roman" w:hAnsi="Times New Roman" w:cs="Times New Roman"/>
                      <w:szCs w:val="21"/>
                      <w:highlight w:val="none"/>
                    </w:rPr>
                  </w:pPr>
                </w:p>
              </w:tc>
            </w:tr>
            <w:tr w14:paraId="29659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restart"/>
                  <w:vAlign w:val="center"/>
                </w:tcPr>
                <w:p w14:paraId="578DB88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大小呼吸废气</w:t>
                  </w:r>
                </w:p>
              </w:tc>
              <w:tc>
                <w:tcPr>
                  <w:tcW w:w="605" w:type="dxa"/>
                  <w:shd w:val="clear" w:color="auto" w:fill="auto"/>
                  <w:vAlign w:val="center"/>
                </w:tcPr>
                <w:p w14:paraId="72EC1EFA">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VOCs</w:t>
                  </w:r>
                </w:p>
              </w:tc>
              <w:tc>
                <w:tcPr>
                  <w:tcW w:w="574" w:type="dxa"/>
                  <w:vAlign w:val="center"/>
                </w:tcPr>
                <w:p w14:paraId="676D4F29">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80.750 </w:t>
                  </w:r>
                </w:p>
              </w:tc>
              <w:tc>
                <w:tcPr>
                  <w:tcW w:w="545" w:type="dxa"/>
                  <w:vAlign w:val="center"/>
                </w:tcPr>
                <w:p w14:paraId="6782B8ED">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0.404 </w:t>
                  </w:r>
                </w:p>
              </w:tc>
              <w:tc>
                <w:tcPr>
                  <w:tcW w:w="545" w:type="dxa"/>
                  <w:shd w:val="clear" w:color="auto" w:fill="auto"/>
                  <w:vAlign w:val="center"/>
                </w:tcPr>
                <w:p w14:paraId="1CFD3E8E">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0.969</w:t>
                  </w:r>
                </w:p>
              </w:tc>
              <w:tc>
                <w:tcPr>
                  <w:tcW w:w="545" w:type="dxa"/>
                  <w:vAlign w:val="center"/>
                </w:tcPr>
                <w:p w14:paraId="3A559AFD">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100</w:t>
                  </w:r>
                </w:p>
              </w:tc>
              <w:tc>
                <w:tcPr>
                  <w:tcW w:w="1079" w:type="dxa"/>
                  <w:vMerge w:val="restart"/>
                  <w:vAlign w:val="center"/>
                </w:tcPr>
                <w:p w14:paraId="0127A7B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碱喷淋+</w:t>
                  </w:r>
                  <w:r>
                    <w:rPr>
                      <w:rFonts w:hint="eastAsia"/>
                      <w:lang w:val="en-US" w:eastAsia="zh-CN"/>
                    </w:rPr>
                    <w:t>除雾装置+</w:t>
                  </w:r>
                  <w:r>
                    <w:rPr>
                      <w:rFonts w:hint="default" w:ascii="Times New Roman" w:hAnsi="Times New Roman" w:cs="Times New Roman"/>
                      <w:color w:val="000000"/>
                      <w:highlight w:val="none"/>
                      <w:lang w:val="en-US"/>
                    </w:rPr>
                    <w:t>2级活性炭吸附</w:t>
                  </w:r>
                </w:p>
              </w:tc>
              <w:tc>
                <w:tcPr>
                  <w:tcW w:w="394" w:type="dxa"/>
                  <w:shd w:val="clear" w:color="auto" w:fill="auto"/>
                  <w:vAlign w:val="center"/>
                </w:tcPr>
                <w:p w14:paraId="695AD09B">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90</w:t>
                  </w:r>
                </w:p>
              </w:tc>
              <w:tc>
                <w:tcPr>
                  <w:tcW w:w="530" w:type="dxa"/>
                  <w:vAlign w:val="center"/>
                </w:tcPr>
                <w:p w14:paraId="5C01A712">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是</w:t>
                  </w:r>
                </w:p>
              </w:tc>
              <w:tc>
                <w:tcPr>
                  <w:tcW w:w="591" w:type="dxa"/>
                  <w:vAlign w:val="center"/>
                </w:tcPr>
                <w:p w14:paraId="46733DE6">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8.075 </w:t>
                  </w:r>
                </w:p>
              </w:tc>
              <w:tc>
                <w:tcPr>
                  <w:tcW w:w="500" w:type="dxa"/>
                  <w:vAlign w:val="center"/>
                </w:tcPr>
                <w:p w14:paraId="4E1A6AA9">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0.040 </w:t>
                  </w:r>
                </w:p>
              </w:tc>
              <w:tc>
                <w:tcPr>
                  <w:tcW w:w="500" w:type="dxa"/>
                  <w:vAlign w:val="center"/>
                </w:tcPr>
                <w:p w14:paraId="667AA185">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0.097 </w:t>
                  </w:r>
                </w:p>
              </w:tc>
              <w:tc>
                <w:tcPr>
                  <w:tcW w:w="394" w:type="dxa"/>
                  <w:vAlign w:val="center"/>
                </w:tcPr>
                <w:p w14:paraId="09935A2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1" w:type="dxa"/>
                  <w:vAlign w:val="center"/>
                </w:tcPr>
                <w:p w14:paraId="74F5BCF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15" w:type="dxa"/>
                  <w:vAlign w:val="center"/>
                </w:tcPr>
                <w:p w14:paraId="126032A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074" w:type="dxa"/>
                  <w:vAlign w:val="center"/>
                </w:tcPr>
                <w:p w14:paraId="0F848E3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98" w:type="dxa"/>
                  <w:vAlign w:val="center"/>
                </w:tcPr>
                <w:p w14:paraId="6B514B8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69" w:type="dxa"/>
                  <w:vAlign w:val="center"/>
                </w:tcPr>
                <w:p w14:paraId="28CBF2B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1" w:type="dxa"/>
                  <w:vAlign w:val="center"/>
                </w:tcPr>
                <w:p w14:paraId="332BC4A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43" w:type="dxa"/>
                  <w:vAlign w:val="center"/>
                </w:tcPr>
                <w:p w14:paraId="31250B6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9" w:type="dxa"/>
                  <w:vAlign w:val="center"/>
                </w:tcPr>
                <w:p w14:paraId="753306C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0" w:type="dxa"/>
                  <w:vAlign w:val="center"/>
                </w:tcPr>
                <w:p w14:paraId="41978EA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7" w:type="dxa"/>
                  <w:vAlign w:val="center"/>
                </w:tcPr>
                <w:p w14:paraId="6E497E4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147D63A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7E375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continue"/>
                  <w:vAlign w:val="center"/>
                </w:tcPr>
                <w:p w14:paraId="38A7A59E">
                  <w:pPr>
                    <w:adjustRightInd w:val="0"/>
                    <w:snapToGrid w:val="0"/>
                    <w:jc w:val="center"/>
                    <w:rPr>
                      <w:rFonts w:hint="default" w:ascii="Times New Roman" w:hAnsi="Times New Roman" w:cs="Times New Roman"/>
                      <w:szCs w:val="21"/>
                      <w:highlight w:val="none"/>
                    </w:rPr>
                  </w:pPr>
                </w:p>
              </w:tc>
              <w:tc>
                <w:tcPr>
                  <w:tcW w:w="605" w:type="dxa"/>
                  <w:shd w:val="clear" w:color="auto" w:fill="auto"/>
                  <w:vAlign w:val="center"/>
                </w:tcPr>
                <w:p w14:paraId="1289837B">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甲醇</w:t>
                  </w:r>
                </w:p>
              </w:tc>
              <w:tc>
                <w:tcPr>
                  <w:tcW w:w="574" w:type="dxa"/>
                  <w:vAlign w:val="center"/>
                </w:tcPr>
                <w:p w14:paraId="4085BA6F">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43.417 </w:t>
                  </w:r>
                </w:p>
              </w:tc>
              <w:tc>
                <w:tcPr>
                  <w:tcW w:w="545" w:type="dxa"/>
                  <w:vAlign w:val="center"/>
                </w:tcPr>
                <w:p w14:paraId="654E095E">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0.217 </w:t>
                  </w:r>
                </w:p>
              </w:tc>
              <w:tc>
                <w:tcPr>
                  <w:tcW w:w="545" w:type="dxa"/>
                  <w:shd w:val="clear" w:color="auto" w:fill="auto"/>
                  <w:vAlign w:val="center"/>
                </w:tcPr>
                <w:p w14:paraId="7DCA3B34">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0.521</w:t>
                  </w:r>
                </w:p>
              </w:tc>
              <w:tc>
                <w:tcPr>
                  <w:tcW w:w="545" w:type="dxa"/>
                  <w:vAlign w:val="center"/>
                </w:tcPr>
                <w:p w14:paraId="524E34D9">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100</w:t>
                  </w:r>
                </w:p>
              </w:tc>
              <w:tc>
                <w:tcPr>
                  <w:tcW w:w="1079" w:type="dxa"/>
                  <w:vMerge w:val="continue"/>
                  <w:vAlign w:val="center"/>
                </w:tcPr>
                <w:p w14:paraId="1D4E4585">
                  <w:pPr>
                    <w:pStyle w:val="283"/>
                    <w:rPr>
                      <w:rFonts w:hint="default" w:ascii="Times New Roman" w:hAnsi="Times New Roman" w:cs="Times New Roman"/>
                      <w:color w:val="000000"/>
                      <w:highlight w:val="none"/>
                      <w:lang w:val="en-US"/>
                    </w:rPr>
                  </w:pPr>
                </w:p>
              </w:tc>
              <w:tc>
                <w:tcPr>
                  <w:tcW w:w="394" w:type="dxa"/>
                  <w:shd w:val="clear" w:color="auto" w:fill="auto"/>
                  <w:vAlign w:val="center"/>
                </w:tcPr>
                <w:p w14:paraId="5ECDCD3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90</w:t>
                  </w:r>
                </w:p>
              </w:tc>
              <w:tc>
                <w:tcPr>
                  <w:tcW w:w="530" w:type="dxa"/>
                  <w:vAlign w:val="center"/>
                </w:tcPr>
                <w:p w14:paraId="184799C5">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是</w:t>
                  </w:r>
                </w:p>
              </w:tc>
              <w:tc>
                <w:tcPr>
                  <w:tcW w:w="591" w:type="dxa"/>
                  <w:vAlign w:val="center"/>
                </w:tcPr>
                <w:p w14:paraId="0DE2D0AB">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4.342 </w:t>
                  </w:r>
                </w:p>
              </w:tc>
              <w:tc>
                <w:tcPr>
                  <w:tcW w:w="500" w:type="dxa"/>
                  <w:vAlign w:val="center"/>
                </w:tcPr>
                <w:p w14:paraId="516BE924">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0.022 </w:t>
                  </w:r>
                </w:p>
              </w:tc>
              <w:tc>
                <w:tcPr>
                  <w:tcW w:w="500" w:type="dxa"/>
                  <w:vAlign w:val="center"/>
                </w:tcPr>
                <w:p w14:paraId="33DBECAF">
                  <w:pPr>
                    <w:keepNext w:val="0"/>
                    <w:keepLines w:val="0"/>
                    <w:widowControl/>
                    <w:suppressLineNumbers w:val="0"/>
                    <w:jc w:val="center"/>
                    <w:textAlignment w:val="center"/>
                    <w:rPr>
                      <w:rFonts w:hint="default" w:ascii="Times New Roman" w:hAnsi="Times New Roman" w:cs="Times New Roman"/>
                      <w:b w:val="0"/>
                      <w:bCs w:val="0"/>
                      <w:color w:val="000000"/>
                      <w:highlight w:val="none"/>
                      <w:lang w:val="en-US"/>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0.052 </w:t>
                  </w:r>
                </w:p>
              </w:tc>
              <w:tc>
                <w:tcPr>
                  <w:tcW w:w="394" w:type="dxa"/>
                  <w:vAlign w:val="center"/>
                </w:tcPr>
                <w:p w14:paraId="1713D0E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1" w:type="dxa"/>
                  <w:vAlign w:val="center"/>
                </w:tcPr>
                <w:p w14:paraId="6E42649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15" w:type="dxa"/>
                  <w:vAlign w:val="center"/>
                </w:tcPr>
                <w:p w14:paraId="0419EEE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074" w:type="dxa"/>
                  <w:vAlign w:val="center"/>
                </w:tcPr>
                <w:p w14:paraId="71EF5CC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98" w:type="dxa"/>
                  <w:vAlign w:val="center"/>
                </w:tcPr>
                <w:p w14:paraId="06C7FD7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69" w:type="dxa"/>
                  <w:vAlign w:val="center"/>
                </w:tcPr>
                <w:p w14:paraId="4154762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1" w:type="dxa"/>
                  <w:vAlign w:val="center"/>
                </w:tcPr>
                <w:p w14:paraId="6045BCE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43" w:type="dxa"/>
                  <w:vAlign w:val="center"/>
                </w:tcPr>
                <w:p w14:paraId="6E6C40E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9" w:type="dxa"/>
                  <w:vAlign w:val="center"/>
                </w:tcPr>
                <w:p w14:paraId="4A03DCF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0" w:type="dxa"/>
                  <w:vAlign w:val="center"/>
                </w:tcPr>
                <w:p w14:paraId="1140451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7" w:type="dxa"/>
                  <w:vAlign w:val="center"/>
                </w:tcPr>
                <w:p w14:paraId="69A79C5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5E264BD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65B88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continue"/>
                  <w:vAlign w:val="center"/>
                </w:tcPr>
                <w:p w14:paraId="6075E2BD">
                  <w:pPr>
                    <w:adjustRightInd w:val="0"/>
                    <w:snapToGrid w:val="0"/>
                    <w:jc w:val="center"/>
                    <w:rPr>
                      <w:rFonts w:hint="default" w:ascii="Times New Roman" w:hAnsi="Times New Roman" w:cs="Times New Roman"/>
                      <w:szCs w:val="21"/>
                      <w:highlight w:val="none"/>
                    </w:rPr>
                  </w:pPr>
                </w:p>
              </w:tc>
              <w:tc>
                <w:tcPr>
                  <w:tcW w:w="605" w:type="dxa"/>
                  <w:shd w:val="clear" w:color="auto" w:fill="auto"/>
                  <w:vAlign w:val="center"/>
                </w:tcPr>
                <w:p w14:paraId="441E25D9">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正己烷</w:t>
                  </w:r>
                </w:p>
              </w:tc>
              <w:tc>
                <w:tcPr>
                  <w:tcW w:w="574" w:type="dxa"/>
                  <w:vAlign w:val="center"/>
                </w:tcPr>
                <w:p w14:paraId="38656B30">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21"/>
                      <w:szCs w:val="21"/>
                      <w:highlight w:val="none"/>
                      <w:u w:val="none"/>
                      <w:lang w:val="en-US" w:eastAsia="zh-CN" w:bidi="ar"/>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20.750 </w:t>
                  </w:r>
                </w:p>
              </w:tc>
              <w:tc>
                <w:tcPr>
                  <w:tcW w:w="545" w:type="dxa"/>
                  <w:vAlign w:val="center"/>
                </w:tcPr>
                <w:p w14:paraId="0A56FA91">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21"/>
                      <w:szCs w:val="21"/>
                      <w:highlight w:val="none"/>
                      <w:u w:val="none"/>
                      <w:lang w:val="en-US" w:eastAsia="zh-CN" w:bidi="ar"/>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0.104 </w:t>
                  </w:r>
                </w:p>
              </w:tc>
              <w:tc>
                <w:tcPr>
                  <w:tcW w:w="545" w:type="dxa"/>
                  <w:shd w:val="clear" w:color="auto" w:fill="auto"/>
                  <w:vAlign w:val="center"/>
                </w:tcPr>
                <w:p w14:paraId="03F13760">
                  <w:pPr>
                    <w:keepNext w:val="0"/>
                    <w:keepLines w:val="0"/>
                    <w:widowControl/>
                    <w:suppressLineNumbers w:val="0"/>
                    <w:jc w:val="center"/>
                    <w:textAlignment w:val="center"/>
                    <w:rPr>
                      <w:rFonts w:hint="eastAsia"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0.249</w:t>
                  </w:r>
                </w:p>
              </w:tc>
              <w:tc>
                <w:tcPr>
                  <w:tcW w:w="545" w:type="dxa"/>
                  <w:vAlign w:val="center"/>
                </w:tcPr>
                <w:p w14:paraId="548508DD">
                  <w:pPr>
                    <w:pStyle w:val="283"/>
                    <w:rPr>
                      <w:rFonts w:hint="default"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100</w:t>
                  </w:r>
                </w:p>
              </w:tc>
              <w:tc>
                <w:tcPr>
                  <w:tcW w:w="1079" w:type="dxa"/>
                  <w:vMerge w:val="continue"/>
                  <w:vAlign w:val="center"/>
                </w:tcPr>
                <w:p w14:paraId="7F6B43E3">
                  <w:pPr>
                    <w:pStyle w:val="283"/>
                    <w:rPr>
                      <w:rFonts w:hint="default" w:ascii="Times New Roman" w:hAnsi="Times New Roman" w:cs="Times New Roman"/>
                      <w:color w:val="000000"/>
                      <w:highlight w:val="none"/>
                      <w:lang w:val="en-US"/>
                    </w:rPr>
                  </w:pPr>
                </w:p>
              </w:tc>
              <w:tc>
                <w:tcPr>
                  <w:tcW w:w="394" w:type="dxa"/>
                  <w:shd w:val="clear" w:color="auto" w:fill="auto"/>
                  <w:vAlign w:val="center"/>
                </w:tcPr>
                <w:p w14:paraId="32C6847E">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90</w:t>
                  </w:r>
                </w:p>
              </w:tc>
              <w:tc>
                <w:tcPr>
                  <w:tcW w:w="530" w:type="dxa"/>
                  <w:shd w:val="clear" w:color="auto" w:fill="auto"/>
                  <w:vAlign w:val="center"/>
                </w:tcPr>
                <w:p w14:paraId="71D514F4">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是</w:t>
                  </w:r>
                </w:p>
              </w:tc>
              <w:tc>
                <w:tcPr>
                  <w:tcW w:w="591" w:type="dxa"/>
                  <w:vAlign w:val="center"/>
                </w:tcPr>
                <w:p w14:paraId="406563FA">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21"/>
                      <w:szCs w:val="21"/>
                      <w:highlight w:val="none"/>
                      <w:u w:val="none"/>
                      <w:lang w:val="en-US" w:eastAsia="zh-CN" w:bidi="ar"/>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2.075 </w:t>
                  </w:r>
                </w:p>
              </w:tc>
              <w:tc>
                <w:tcPr>
                  <w:tcW w:w="500" w:type="dxa"/>
                  <w:vAlign w:val="center"/>
                </w:tcPr>
                <w:p w14:paraId="4C4275C8">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21"/>
                      <w:szCs w:val="21"/>
                      <w:highlight w:val="none"/>
                      <w:u w:val="none"/>
                      <w:lang w:val="en-US" w:eastAsia="zh-CN" w:bidi="ar"/>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0.010 </w:t>
                  </w:r>
                </w:p>
              </w:tc>
              <w:tc>
                <w:tcPr>
                  <w:tcW w:w="500" w:type="dxa"/>
                  <w:vAlign w:val="center"/>
                </w:tcPr>
                <w:p w14:paraId="696B79A5">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0"/>
                      <w:sz w:val="21"/>
                      <w:szCs w:val="21"/>
                      <w:highlight w:val="none"/>
                      <w:u w:val="none"/>
                      <w:lang w:val="en-US" w:eastAsia="zh-CN" w:bidi="ar"/>
                    </w:rPr>
                  </w:pPr>
                  <w:r>
                    <w:rPr>
                      <w:rFonts w:hint="default" w:ascii="Times New Roman" w:hAnsi="Times New Roman" w:eastAsia="宋体" w:cs="Times New Roman"/>
                      <w:b w:val="0"/>
                      <w:bCs w:val="0"/>
                      <w:i w:val="0"/>
                      <w:iCs w:val="0"/>
                      <w:color w:val="000000"/>
                      <w:kern w:val="0"/>
                      <w:sz w:val="21"/>
                      <w:szCs w:val="21"/>
                      <w:highlight w:val="none"/>
                      <w:u w:val="none"/>
                      <w:lang w:val="en-US" w:eastAsia="zh-CN" w:bidi="ar"/>
                    </w:rPr>
                    <w:t xml:space="preserve">0.025 </w:t>
                  </w:r>
                </w:p>
              </w:tc>
              <w:tc>
                <w:tcPr>
                  <w:tcW w:w="394" w:type="dxa"/>
                  <w:vAlign w:val="center"/>
                </w:tcPr>
                <w:p w14:paraId="5C6576A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1" w:type="dxa"/>
                  <w:vAlign w:val="center"/>
                </w:tcPr>
                <w:p w14:paraId="4255FFF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15" w:type="dxa"/>
                  <w:vAlign w:val="center"/>
                </w:tcPr>
                <w:p w14:paraId="5391E90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074" w:type="dxa"/>
                  <w:vAlign w:val="center"/>
                </w:tcPr>
                <w:p w14:paraId="32BF0B5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98" w:type="dxa"/>
                  <w:vAlign w:val="center"/>
                </w:tcPr>
                <w:p w14:paraId="318394B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69" w:type="dxa"/>
                  <w:vAlign w:val="center"/>
                </w:tcPr>
                <w:p w14:paraId="6D4299B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1" w:type="dxa"/>
                  <w:vAlign w:val="center"/>
                </w:tcPr>
                <w:p w14:paraId="0A34D10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43" w:type="dxa"/>
                  <w:vAlign w:val="center"/>
                </w:tcPr>
                <w:p w14:paraId="577171B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9" w:type="dxa"/>
                  <w:vAlign w:val="center"/>
                </w:tcPr>
                <w:p w14:paraId="4AAB372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0" w:type="dxa"/>
                  <w:vAlign w:val="center"/>
                </w:tcPr>
                <w:p w14:paraId="53893EA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7" w:type="dxa"/>
                  <w:vAlign w:val="center"/>
                </w:tcPr>
                <w:p w14:paraId="11828D9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6F46B2A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6E6F4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restart"/>
                  <w:vAlign w:val="center"/>
                </w:tcPr>
                <w:p w14:paraId="2BC3388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调配废气</w:t>
                  </w:r>
                </w:p>
              </w:tc>
              <w:tc>
                <w:tcPr>
                  <w:tcW w:w="605" w:type="dxa"/>
                  <w:shd w:val="clear" w:color="auto" w:fill="auto"/>
                  <w:vAlign w:val="center"/>
                </w:tcPr>
                <w:p w14:paraId="7B5BB6A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VOCs</w:t>
                  </w:r>
                </w:p>
              </w:tc>
              <w:tc>
                <w:tcPr>
                  <w:tcW w:w="574" w:type="dxa"/>
                  <w:vAlign w:val="center"/>
                </w:tcPr>
                <w:p w14:paraId="087B264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60.000 </w:t>
                  </w:r>
                </w:p>
              </w:tc>
              <w:tc>
                <w:tcPr>
                  <w:tcW w:w="545" w:type="dxa"/>
                  <w:vAlign w:val="center"/>
                </w:tcPr>
                <w:p w14:paraId="7778EE6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0.300 </w:t>
                  </w:r>
                </w:p>
              </w:tc>
              <w:tc>
                <w:tcPr>
                  <w:tcW w:w="545" w:type="dxa"/>
                  <w:vAlign w:val="center"/>
                </w:tcPr>
                <w:p w14:paraId="755DBEA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0.72</w:t>
                  </w:r>
                </w:p>
              </w:tc>
              <w:tc>
                <w:tcPr>
                  <w:tcW w:w="545" w:type="dxa"/>
                  <w:vAlign w:val="center"/>
                </w:tcPr>
                <w:p w14:paraId="2866F3B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100</w:t>
                  </w:r>
                </w:p>
              </w:tc>
              <w:tc>
                <w:tcPr>
                  <w:tcW w:w="1079" w:type="dxa"/>
                  <w:vMerge w:val="continue"/>
                  <w:vAlign w:val="center"/>
                </w:tcPr>
                <w:p w14:paraId="10A17DFE">
                  <w:pPr>
                    <w:adjustRightInd w:val="0"/>
                    <w:snapToGrid w:val="0"/>
                    <w:jc w:val="center"/>
                    <w:rPr>
                      <w:rFonts w:hint="default" w:ascii="Times New Roman" w:hAnsi="Times New Roman" w:cs="Times New Roman"/>
                      <w:szCs w:val="21"/>
                      <w:highlight w:val="none"/>
                    </w:rPr>
                  </w:pPr>
                </w:p>
              </w:tc>
              <w:tc>
                <w:tcPr>
                  <w:tcW w:w="394" w:type="dxa"/>
                  <w:vAlign w:val="center"/>
                </w:tcPr>
                <w:p w14:paraId="1E6B351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90</w:t>
                  </w:r>
                </w:p>
              </w:tc>
              <w:tc>
                <w:tcPr>
                  <w:tcW w:w="530" w:type="dxa"/>
                  <w:vAlign w:val="center"/>
                </w:tcPr>
                <w:p w14:paraId="11DFA51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w:t>
                  </w:r>
                </w:p>
              </w:tc>
              <w:tc>
                <w:tcPr>
                  <w:tcW w:w="591" w:type="dxa"/>
                  <w:vAlign w:val="center"/>
                </w:tcPr>
                <w:p w14:paraId="4BCC597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6.000 </w:t>
                  </w:r>
                </w:p>
              </w:tc>
              <w:tc>
                <w:tcPr>
                  <w:tcW w:w="500" w:type="dxa"/>
                  <w:vAlign w:val="center"/>
                </w:tcPr>
                <w:p w14:paraId="7991E1D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0.030 </w:t>
                  </w:r>
                </w:p>
              </w:tc>
              <w:tc>
                <w:tcPr>
                  <w:tcW w:w="500" w:type="dxa"/>
                  <w:vAlign w:val="center"/>
                </w:tcPr>
                <w:p w14:paraId="6C92796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0.072 </w:t>
                  </w:r>
                </w:p>
              </w:tc>
              <w:tc>
                <w:tcPr>
                  <w:tcW w:w="394" w:type="dxa"/>
                  <w:vAlign w:val="center"/>
                </w:tcPr>
                <w:p w14:paraId="4A48658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1" w:type="dxa"/>
                  <w:vAlign w:val="center"/>
                </w:tcPr>
                <w:p w14:paraId="566B77F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15" w:type="dxa"/>
                  <w:vAlign w:val="center"/>
                </w:tcPr>
                <w:p w14:paraId="73E5C74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074" w:type="dxa"/>
                  <w:vAlign w:val="center"/>
                </w:tcPr>
                <w:p w14:paraId="511A970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98" w:type="dxa"/>
                  <w:vAlign w:val="center"/>
                </w:tcPr>
                <w:p w14:paraId="0420D63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69" w:type="dxa"/>
                  <w:vAlign w:val="center"/>
                </w:tcPr>
                <w:p w14:paraId="7AC6BA5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1" w:type="dxa"/>
                  <w:vAlign w:val="center"/>
                </w:tcPr>
                <w:p w14:paraId="34E6BA6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43" w:type="dxa"/>
                  <w:vAlign w:val="center"/>
                </w:tcPr>
                <w:p w14:paraId="128AAAF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9" w:type="dxa"/>
                  <w:vAlign w:val="center"/>
                </w:tcPr>
                <w:p w14:paraId="6CCD5E2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0" w:type="dxa"/>
                  <w:vAlign w:val="center"/>
                </w:tcPr>
                <w:p w14:paraId="1DA2069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7" w:type="dxa"/>
                  <w:vAlign w:val="center"/>
                </w:tcPr>
                <w:p w14:paraId="6BE4860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38F6C84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58AC6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continue"/>
                  <w:vAlign w:val="center"/>
                </w:tcPr>
                <w:p w14:paraId="3EB60E0D">
                  <w:pPr>
                    <w:adjustRightInd w:val="0"/>
                    <w:snapToGrid w:val="0"/>
                    <w:jc w:val="center"/>
                    <w:rPr>
                      <w:rFonts w:hint="default" w:ascii="Times New Roman" w:hAnsi="Times New Roman" w:cs="Times New Roman"/>
                      <w:szCs w:val="21"/>
                      <w:highlight w:val="none"/>
                    </w:rPr>
                  </w:pPr>
                </w:p>
              </w:tc>
              <w:tc>
                <w:tcPr>
                  <w:tcW w:w="605" w:type="dxa"/>
                  <w:shd w:val="clear" w:color="auto" w:fill="auto"/>
                  <w:vAlign w:val="center"/>
                </w:tcPr>
                <w:p w14:paraId="6945CE2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甲醇</w:t>
                  </w:r>
                </w:p>
              </w:tc>
              <w:tc>
                <w:tcPr>
                  <w:tcW w:w="574" w:type="dxa"/>
                  <w:vAlign w:val="center"/>
                </w:tcPr>
                <w:p w14:paraId="3603A32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22.500 </w:t>
                  </w:r>
                </w:p>
              </w:tc>
              <w:tc>
                <w:tcPr>
                  <w:tcW w:w="545" w:type="dxa"/>
                  <w:vAlign w:val="center"/>
                </w:tcPr>
                <w:p w14:paraId="44973DA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0.113 </w:t>
                  </w:r>
                </w:p>
              </w:tc>
              <w:tc>
                <w:tcPr>
                  <w:tcW w:w="545" w:type="dxa"/>
                  <w:vAlign w:val="center"/>
                </w:tcPr>
                <w:p w14:paraId="7925F14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0.27</w:t>
                  </w:r>
                </w:p>
              </w:tc>
              <w:tc>
                <w:tcPr>
                  <w:tcW w:w="545" w:type="dxa"/>
                  <w:vAlign w:val="center"/>
                </w:tcPr>
                <w:p w14:paraId="3FA561E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100</w:t>
                  </w:r>
                </w:p>
              </w:tc>
              <w:tc>
                <w:tcPr>
                  <w:tcW w:w="1079" w:type="dxa"/>
                  <w:vMerge w:val="continue"/>
                  <w:vAlign w:val="center"/>
                </w:tcPr>
                <w:p w14:paraId="46A95DD7">
                  <w:pPr>
                    <w:adjustRightInd w:val="0"/>
                    <w:snapToGrid w:val="0"/>
                    <w:jc w:val="center"/>
                    <w:rPr>
                      <w:rFonts w:hint="default" w:ascii="Times New Roman" w:hAnsi="Times New Roman" w:cs="Times New Roman"/>
                      <w:szCs w:val="21"/>
                      <w:highlight w:val="none"/>
                    </w:rPr>
                  </w:pPr>
                </w:p>
              </w:tc>
              <w:tc>
                <w:tcPr>
                  <w:tcW w:w="394" w:type="dxa"/>
                  <w:vAlign w:val="center"/>
                </w:tcPr>
                <w:p w14:paraId="6A81DE2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90</w:t>
                  </w:r>
                </w:p>
              </w:tc>
              <w:tc>
                <w:tcPr>
                  <w:tcW w:w="530" w:type="dxa"/>
                  <w:vAlign w:val="center"/>
                </w:tcPr>
                <w:p w14:paraId="1334E20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w:t>
                  </w:r>
                </w:p>
              </w:tc>
              <w:tc>
                <w:tcPr>
                  <w:tcW w:w="591" w:type="dxa"/>
                  <w:vAlign w:val="center"/>
                </w:tcPr>
                <w:p w14:paraId="6ECFE82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2.250 </w:t>
                  </w:r>
                </w:p>
              </w:tc>
              <w:tc>
                <w:tcPr>
                  <w:tcW w:w="500" w:type="dxa"/>
                  <w:vAlign w:val="center"/>
                </w:tcPr>
                <w:p w14:paraId="390B0B0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0.011 </w:t>
                  </w:r>
                </w:p>
              </w:tc>
              <w:tc>
                <w:tcPr>
                  <w:tcW w:w="500" w:type="dxa"/>
                  <w:vAlign w:val="center"/>
                </w:tcPr>
                <w:p w14:paraId="77B3993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0.027 </w:t>
                  </w:r>
                </w:p>
              </w:tc>
              <w:tc>
                <w:tcPr>
                  <w:tcW w:w="394" w:type="dxa"/>
                  <w:vAlign w:val="center"/>
                </w:tcPr>
                <w:p w14:paraId="40097BE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1" w:type="dxa"/>
                  <w:vAlign w:val="center"/>
                </w:tcPr>
                <w:p w14:paraId="46E2BA8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15" w:type="dxa"/>
                  <w:vAlign w:val="center"/>
                </w:tcPr>
                <w:p w14:paraId="031BECE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074" w:type="dxa"/>
                  <w:vAlign w:val="center"/>
                </w:tcPr>
                <w:p w14:paraId="615BEB1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98" w:type="dxa"/>
                  <w:vAlign w:val="center"/>
                </w:tcPr>
                <w:p w14:paraId="1E56289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69" w:type="dxa"/>
                  <w:vAlign w:val="center"/>
                </w:tcPr>
                <w:p w14:paraId="6A60474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1" w:type="dxa"/>
                  <w:vAlign w:val="center"/>
                </w:tcPr>
                <w:p w14:paraId="0A9A620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43" w:type="dxa"/>
                  <w:vAlign w:val="center"/>
                </w:tcPr>
                <w:p w14:paraId="5FAE8E9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9" w:type="dxa"/>
                  <w:vAlign w:val="center"/>
                </w:tcPr>
                <w:p w14:paraId="46A1029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0" w:type="dxa"/>
                  <w:vAlign w:val="center"/>
                </w:tcPr>
                <w:p w14:paraId="29EDE6A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7" w:type="dxa"/>
                  <w:vAlign w:val="center"/>
                </w:tcPr>
                <w:p w14:paraId="26B64F3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3B08B8F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601C8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continue"/>
                  <w:vAlign w:val="center"/>
                </w:tcPr>
                <w:p w14:paraId="689DFF61">
                  <w:pPr>
                    <w:adjustRightInd w:val="0"/>
                    <w:snapToGrid w:val="0"/>
                    <w:jc w:val="center"/>
                    <w:rPr>
                      <w:rFonts w:hint="default" w:ascii="Times New Roman" w:hAnsi="Times New Roman" w:cs="Times New Roman"/>
                      <w:szCs w:val="21"/>
                      <w:highlight w:val="none"/>
                    </w:rPr>
                  </w:pPr>
                </w:p>
              </w:tc>
              <w:tc>
                <w:tcPr>
                  <w:tcW w:w="605" w:type="dxa"/>
                  <w:shd w:val="clear" w:color="auto" w:fill="auto"/>
                  <w:vAlign w:val="center"/>
                </w:tcPr>
                <w:p w14:paraId="105B2C98">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正己烷</w:t>
                  </w:r>
                </w:p>
              </w:tc>
              <w:tc>
                <w:tcPr>
                  <w:tcW w:w="574" w:type="dxa"/>
                  <w:vAlign w:val="center"/>
                </w:tcPr>
                <w:p w14:paraId="14CA7C7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2.250 </w:t>
                  </w:r>
                </w:p>
              </w:tc>
              <w:tc>
                <w:tcPr>
                  <w:tcW w:w="545" w:type="dxa"/>
                  <w:vAlign w:val="center"/>
                </w:tcPr>
                <w:p w14:paraId="3715B26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0.011 </w:t>
                  </w:r>
                </w:p>
              </w:tc>
              <w:tc>
                <w:tcPr>
                  <w:tcW w:w="545" w:type="dxa"/>
                  <w:vAlign w:val="center"/>
                </w:tcPr>
                <w:p w14:paraId="5669023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0.027</w:t>
                  </w:r>
                </w:p>
              </w:tc>
              <w:tc>
                <w:tcPr>
                  <w:tcW w:w="545" w:type="dxa"/>
                  <w:vAlign w:val="center"/>
                </w:tcPr>
                <w:p w14:paraId="1586BCB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100</w:t>
                  </w:r>
                </w:p>
              </w:tc>
              <w:tc>
                <w:tcPr>
                  <w:tcW w:w="1079" w:type="dxa"/>
                  <w:vMerge w:val="continue"/>
                  <w:vAlign w:val="center"/>
                </w:tcPr>
                <w:p w14:paraId="6D019B6E">
                  <w:pPr>
                    <w:adjustRightInd w:val="0"/>
                    <w:snapToGrid w:val="0"/>
                    <w:jc w:val="center"/>
                    <w:rPr>
                      <w:rFonts w:hint="default" w:ascii="Times New Roman" w:hAnsi="Times New Roman" w:cs="Times New Roman"/>
                      <w:szCs w:val="21"/>
                      <w:highlight w:val="none"/>
                    </w:rPr>
                  </w:pPr>
                </w:p>
              </w:tc>
              <w:tc>
                <w:tcPr>
                  <w:tcW w:w="394" w:type="dxa"/>
                  <w:vAlign w:val="center"/>
                </w:tcPr>
                <w:p w14:paraId="71B4AF9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90</w:t>
                  </w:r>
                </w:p>
              </w:tc>
              <w:tc>
                <w:tcPr>
                  <w:tcW w:w="530" w:type="dxa"/>
                  <w:vAlign w:val="center"/>
                </w:tcPr>
                <w:p w14:paraId="3BC10B9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w:t>
                  </w:r>
                </w:p>
              </w:tc>
              <w:tc>
                <w:tcPr>
                  <w:tcW w:w="591" w:type="dxa"/>
                  <w:vAlign w:val="center"/>
                </w:tcPr>
                <w:p w14:paraId="77E6BB0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0.225 </w:t>
                  </w:r>
                </w:p>
              </w:tc>
              <w:tc>
                <w:tcPr>
                  <w:tcW w:w="500" w:type="dxa"/>
                  <w:vAlign w:val="center"/>
                </w:tcPr>
                <w:p w14:paraId="69A2029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0.001 </w:t>
                  </w:r>
                </w:p>
              </w:tc>
              <w:tc>
                <w:tcPr>
                  <w:tcW w:w="500" w:type="dxa"/>
                  <w:vAlign w:val="center"/>
                </w:tcPr>
                <w:p w14:paraId="0749347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0.003 </w:t>
                  </w:r>
                </w:p>
              </w:tc>
              <w:tc>
                <w:tcPr>
                  <w:tcW w:w="394" w:type="dxa"/>
                  <w:vAlign w:val="center"/>
                </w:tcPr>
                <w:p w14:paraId="1E6D9CA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1" w:type="dxa"/>
                  <w:vAlign w:val="center"/>
                </w:tcPr>
                <w:p w14:paraId="6E1EB49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15" w:type="dxa"/>
                  <w:vAlign w:val="center"/>
                </w:tcPr>
                <w:p w14:paraId="2B01DD9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074" w:type="dxa"/>
                  <w:vAlign w:val="center"/>
                </w:tcPr>
                <w:p w14:paraId="019FC00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98" w:type="dxa"/>
                  <w:vAlign w:val="center"/>
                </w:tcPr>
                <w:p w14:paraId="6897A1C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69" w:type="dxa"/>
                  <w:vAlign w:val="center"/>
                </w:tcPr>
                <w:p w14:paraId="1C25BD6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1" w:type="dxa"/>
                  <w:vAlign w:val="center"/>
                </w:tcPr>
                <w:p w14:paraId="6EDF547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43" w:type="dxa"/>
                  <w:vAlign w:val="center"/>
                </w:tcPr>
                <w:p w14:paraId="08B7F00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9" w:type="dxa"/>
                  <w:vAlign w:val="center"/>
                </w:tcPr>
                <w:p w14:paraId="137F5EF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0" w:type="dxa"/>
                  <w:vAlign w:val="center"/>
                </w:tcPr>
                <w:p w14:paraId="186ABBD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7" w:type="dxa"/>
                  <w:vAlign w:val="center"/>
                </w:tcPr>
                <w:p w14:paraId="51B5E57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4A314B2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101C8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restart"/>
                  <w:vAlign w:val="center"/>
                </w:tcPr>
                <w:p w14:paraId="421CDAC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灌装废气</w:t>
                  </w:r>
                </w:p>
              </w:tc>
              <w:tc>
                <w:tcPr>
                  <w:tcW w:w="605" w:type="dxa"/>
                  <w:shd w:val="clear" w:color="auto" w:fill="auto"/>
                  <w:vAlign w:val="center"/>
                </w:tcPr>
                <w:p w14:paraId="68015DB4">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VOCs</w:t>
                  </w:r>
                </w:p>
              </w:tc>
              <w:tc>
                <w:tcPr>
                  <w:tcW w:w="574" w:type="dxa"/>
                  <w:vAlign w:val="center"/>
                </w:tcPr>
                <w:p w14:paraId="1774ADB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24.000 </w:t>
                  </w:r>
                </w:p>
              </w:tc>
              <w:tc>
                <w:tcPr>
                  <w:tcW w:w="545" w:type="dxa"/>
                  <w:vAlign w:val="center"/>
                </w:tcPr>
                <w:p w14:paraId="723816F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0.120 </w:t>
                  </w:r>
                </w:p>
              </w:tc>
              <w:tc>
                <w:tcPr>
                  <w:tcW w:w="545" w:type="dxa"/>
                  <w:vAlign w:val="center"/>
                </w:tcPr>
                <w:p w14:paraId="6CD626B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0.072</w:t>
                  </w:r>
                </w:p>
              </w:tc>
              <w:tc>
                <w:tcPr>
                  <w:tcW w:w="545" w:type="dxa"/>
                  <w:vAlign w:val="center"/>
                </w:tcPr>
                <w:p w14:paraId="6E98602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90</w:t>
                  </w:r>
                </w:p>
              </w:tc>
              <w:tc>
                <w:tcPr>
                  <w:tcW w:w="1079" w:type="dxa"/>
                  <w:vMerge w:val="continue"/>
                  <w:vAlign w:val="center"/>
                </w:tcPr>
                <w:p w14:paraId="66AD5CA8">
                  <w:pPr>
                    <w:adjustRightInd w:val="0"/>
                    <w:snapToGrid w:val="0"/>
                    <w:jc w:val="center"/>
                    <w:rPr>
                      <w:rFonts w:hint="default" w:ascii="Times New Roman" w:hAnsi="Times New Roman" w:cs="Times New Roman"/>
                      <w:szCs w:val="21"/>
                      <w:highlight w:val="none"/>
                    </w:rPr>
                  </w:pPr>
                </w:p>
              </w:tc>
              <w:tc>
                <w:tcPr>
                  <w:tcW w:w="394" w:type="dxa"/>
                  <w:vAlign w:val="center"/>
                </w:tcPr>
                <w:p w14:paraId="23C8848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90</w:t>
                  </w:r>
                </w:p>
              </w:tc>
              <w:tc>
                <w:tcPr>
                  <w:tcW w:w="530" w:type="dxa"/>
                  <w:vAlign w:val="center"/>
                </w:tcPr>
                <w:p w14:paraId="5E92082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w:t>
                  </w:r>
                </w:p>
              </w:tc>
              <w:tc>
                <w:tcPr>
                  <w:tcW w:w="591" w:type="dxa"/>
                  <w:vAlign w:val="center"/>
                </w:tcPr>
                <w:p w14:paraId="234FFF2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2.400 </w:t>
                  </w:r>
                </w:p>
              </w:tc>
              <w:tc>
                <w:tcPr>
                  <w:tcW w:w="500" w:type="dxa"/>
                  <w:vAlign w:val="center"/>
                </w:tcPr>
                <w:p w14:paraId="4EFCA1C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0.012 </w:t>
                  </w:r>
                </w:p>
              </w:tc>
              <w:tc>
                <w:tcPr>
                  <w:tcW w:w="500" w:type="dxa"/>
                  <w:vAlign w:val="center"/>
                </w:tcPr>
                <w:p w14:paraId="4CD85AD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0.007 </w:t>
                  </w:r>
                </w:p>
              </w:tc>
              <w:tc>
                <w:tcPr>
                  <w:tcW w:w="394" w:type="dxa"/>
                  <w:vAlign w:val="center"/>
                </w:tcPr>
                <w:p w14:paraId="2321BF6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1" w:type="dxa"/>
                  <w:vAlign w:val="center"/>
                </w:tcPr>
                <w:p w14:paraId="60B7947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15" w:type="dxa"/>
                  <w:vAlign w:val="center"/>
                </w:tcPr>
                <w:p w14:paraId="7DC7D48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074" w:type="dxa"/>
                  <w:vAlign w:val="center"/>
                </w:tcPr>
                <w:p w14:paraId="763202F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98" w:type="dxa"/>
                  <w:vAlign w:val="center"/>
                </w:tcPr>
                <w:p w14:paraId="77A853D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69" w:type="dxa"/>
                  <w:vAlign w:val="center"/>
                </w:tcPr>
                <w:p w14:paraId="0FA502B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1" w:type="dxa"/>
                  <w:vAlign w:val="center"/>
                </w:tcPr>
                <w:p w14:paraId="48654B4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43" w:type="dxa"/>
                  <w:vAlign w:val="center"/>
                </w:tcPr>
                <w:p w14:paraId="710653E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9" w:type="dxa"/>
                  <w:vAlign w:val="center"/>
                </w:tcPr>
                <w:p w14:paraId="1ACDFF6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0" w:type="dxa"/>
                  <w:vAlign w:val="center"/>
                </w:tcPr>
                <w:p w14:paraId="6BCC636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7" w:type="dxa"/>
                  <w:vAlign w:val="center"/>
                </w:tcPr>
                <w:p w14:paraId="1B0DE40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7EF174D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55F3B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continue"/>
                  <w:vAlign w:val="center"/>
                </w:tcPr>
                <w:p w14:paraId="3218636F">
                  <w:pPr>
                    <w:adjustRightInd w:val="0"/>
                    <w:snapToGrid w:val="0"/>
                    <w:jc w:val="center"/>
                    <w:rPr>
                      <w:rFonts w:hint="default" w:ascii="Times New Roman" w:hAnsi="Times New Roman" w:cs="Times New Roman"/>
                      <w:szCs w:val="21"/>
                      <w:highlight w:val="none"/>
                    </w:rPr>
                  </w:pPr>
                </w:p>
              </w:tc>
              <w:tc>
                <w:tcPr>
                  <w:tcW w:w="605" w:type="dxa"/>
                  <w:shd w:val="clear" w:color="auto" w:fill="auto"/>
                  <w:vAlign w:val="center"/>
                </w:tcPr>
                <w:p w14:paraId="6CAB731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甲醇</w:t>
                  </w:r>
                </w:p>
              </w:tc>
              <w:tc>
                <w:tcPr>
                  <w:tcW w:w="574" w:type="dxa"/>
                  <w:vAlign w:val="center"/>
                </w:tcPr>
                <w:p w14:paraId="086B041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9.000 </w:t>
                  </w:r>
                </w:p>
              </w:tc>
              <w:tc>
                <w:tcPr>
                  <w:tcW w:w="545" w:type="dxa"/>
                  <w:vAlign w:val="center"/>
                </w:tcPr>
                <w:p w14:paraId="0C87910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0.045 </w:t>
                  </w:r>
                </w:p>
              </w:tc>
              <w:tc>
                <w:tcPr>
                  <w:tcW w:w="545" w:type="dxa"/>
                  <w:vAlign w:val="center"/>
                </w:tcPr>
                <w:p w14:paraId="47D3DB1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0.027</w:t>
                  </w:r>
                </w:p>
              </w:tc>
              <w:tc>
                <w:tcPr>
                  <w:tcW w:w="545" w:type="dxa"/>
                  <w:vAlign w:val="center"/>
                </w:tcPr>
                <w:p w14:paraId="2588CC8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90</w:t>
                  </w:r>
                </w:p>
              </w:tc>
              <w:tc>
                <w:tcPr>
                  <w:tcW w:w="1079" w:type="dxa"/>
                  <w:vMerge w:val="continue"/>
                  <w:vAlign w:val="center"/>
                </w:tcPr>
                <w:p w14:paraId="0C1A7830">
                  <w:pPr>
                    <w:adjustRightInd w:val="0"/>
                    <w:snapToGrid w:val="0"/>
                    <w:jc w:val="center"/>
                    <w:rPr>
                      <w:rFonts w:hint="default" w:ascii="Times New Roman" w:hAnsi="Times New Roman" w:cs="Times New Roman"/>
                      <w:szCs w:val="21"/>
                      <w:highlight w:val="none"/>
                    </w:rPr>
                  </w:pPr>
                </w:p>
              </w:tc>
              <w:tc>
                <w:tcPr>
                  <w:tcW w:w="394" w:type="dxa"/>
                  <w:vAlign w:val="center"/>
                </w:tcPr>
                <w:p w14:paraId="6E817E8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90</w:t>
                  </w:r>
                </w:p>
              </w:tc>
              <w:tc>
                <w:tcPr>
                  <w:tcW w:w="530" w:type="dxa"/>
                  <w:vAlign w:val="center"/>
                </w:tcPr>
                <w:p w14:paraId="78E12BD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w:t>
                  </w:r>
                </w:p>
              </w:tc>
              <w:tc>
                <w:tcPr>
                  <w:tcW w:w="591" w:type="dxa"/>
                  <w:vAlign w:val="center"/>
                </w:tcPr>
                <w:p w14:paraId="715B7C3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0.900 </w:t>
                  </w:r>
                </w:p>
              </w:tc>
              <w:tc>
                <w:tcPr>
                  <w:tcW w:w="500" w:type="dxa"/>
                  <w:vAlign w:val="center"/>
                </w:tcPr>
                <w:p w14:paraId="5DB860B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0.005 </w:t>
                  </w:r>
                </w:p>
              </w:tc>
              <w:tc>
                <w:tcPr>
                  <w:tcW w:w="500" w:type="dxa"/>
                  <w:vAlign w:val="center"/>
                </w:tcPr>
                <w:p w14:paraId="0562D1C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0.003 </w:t>
                  </w:r>
                </w:p>
              </w:tc>
              <w:tc>
                <w:tcPr>
                  <w:tcW w:w="394" w:type="dxa"/>
                  <w:vAlign w:val="center"/>
                </w:tcPr>
                <w:p w14:paraId="3B177B5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1" w:type="dxa"/>
                  <w:vAlign w:val="center"/>
                </w:tcPr>
                <w:p w14:paraId="0EE3989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15" w:type="dxa"/>
                  <w:vAlign w:val="center"/>
                </w:tcPr>
                <w:p w14:paraId="4C61A67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074" w:type="dxa"/>
                  <w:vAlign w:val="center"/>
                </w:tcPr>
                <w:p w14:paraId="593C9D6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98" w:type="dxa"/>
                  <w:vAlign w:val="center"/>
                </w:tcPr>
                <w:p w14:paraId="056FD87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69" w:type="dxa"/>
                  <w:vAlign w:val="center"/>
                </w:tcPr>
                <w:p w14:paraId="2ECFB80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1" w:type="dxa"/>
                  <w:vAlign w:val="center"/>
                </w:tcPr>
                <w:p w14:paraId="71D3AED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43" w:type="dxa"/>
                  <w:vAlign w:val="center"/>
                </w:tcPr>
                <w:p w14:paraId="60E8820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9" w:type="dxa"/>
                  <w:vAlign w:val="center"/>
                </w:tcPr>
                <w:p w14:paraId="52D1C28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0" w:type="dxa"/>
                  <w:vAlign w:val="center"/>
                </w:tcPr>
                <w:p w14:paraId="5420896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7" w:type="dxa"/>
                  <w:vAlign w:val="center"/>
                </w:tcPr>
                <w:p w14:paraId="7F446F3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7F6B644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0DF01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continue"/>
                  <w:vAlign w:val="center"/>
                </w:tcPr>
                <w:p w14:paraId="01C87959">
                  <w:pPr>
                    <w:adjustRightInd w:val="0"/>
                    <w:snapToGrid w:val="0"/>
                    <w:jc w:val="center"/>
                    <w:rPr>
                      <w:rFonts w:hint="default" w:ascii="Times New Roman" w:hAnsi="Times New Roman" w:cs="Times New Roman"/>
                      <w:szCs w:val="21"/>
                      <w:highlight w:val="none"/>
                    </w:rPr>
                  </w:pPr>
                </w:p>
              </w:tc>
              <w:tc>
                <w:tcPr>
                  <w:tcW w:w="605" w:type="dxa"/>
                  <w:shd w:val="clear" w:color="auto" w:fill="auto"/>
                  <w:vAlign w:val="center"/>
                </w:tcPr>
                <w:p w14:paraId="02E3FFF0">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正己烷</w:t>
                  </w:r>
                </w:p>
              </w:tc>
              <w:tc>
                <w:tcPr>
                  <w:tcW w:w="574" w:type="dxa"/>
                  <w:vAlign w:val="center"/>
                </w:tcPr>
                <w:p w14:paraId="7FDE3AE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0.900 </w:t>
                  </w:r>
                </w:p>
              </w:tc>
              <w:tc>
                <w:tcPr>
                  <w:tcW w:w="545" w:type="dxa"/>
                  <w:vAlign w:val="center"/>
                </w:tcPr>
                <w:p w14:paraId="0B87BBC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0.005 </w:t>
                  </w:r>
                </w:p>
              </w:tc>
              <w:tc>
                <w:tcPr>
                  <w:tcW w:w="545" w:type="dxa"/>
                  <w:vAlign w:val="center"/>
                </w:tcPr>
                <w:p w14:paraId="713AEB0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0.0027</w:t>
                  </w:r>
                </w:p>
              </w:tc>
              <w:tc>
                <w:tcPr>
                  <w:tcW w:w="545" w:type="dxa"/>
                  <w:vAlign w:val="center"/>
                </w:tcPr>
                <w:p w14:paraId="7C5828F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90</w:t>
                  </w:r>
                </w:p>
              </w:tc>
              <w:tc>
                <w:tcPr>
                  <w:tcW w:w="1079" w:type="dxa"/>
                  <w:vMerge w:val="continue"/>
                  <w:vAlign w:val="center"/>
                </w:tcPr>
                <w:p w14:paraId="5D276982">
                  <w:pPr>
                    <w:adjustRightInd w:val="0"/>
                    <w:snapToGrid w:val="0"/>
                    <w:jc w:val="center"/>
                    <w:rPr>
                      <w:rFonts w:hint="default" w:ascii="Times New Roman" w:hAnsi="Times New Roman" w:cs="Times New Roman"/>
                      <w:szCs w:val="21"/>
                      <w:highlight w:val="none"/>
                    </w:rPr>
                  </w:pPr>
                </w:p>
              </w:tc>
              <w:tc>
                <w:tcPr>
                  <w:tcW w:w="394" w:type="dxa"/>
                  <w:vAlign w:val="center"/>
                </w:tcPr>
                <w:p w14:paraId="4C0796D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90</w:t>
                  </w:r>
                </w:p>
              </w:tc>
              <w:tc>
                <w:tcPr>
                  <w:tcW w:w="530" w:type="dxa"/>
                  <w:vAlign w:val="center"/>
                </w:tcPr>
                <w:p w14:paraId="5A327E2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w:t>
                  </w:r>
                </w:p>
              </w:tc>
              <w:tc>
                <w:tcPr>
                  <w:tcW w:w="591" w:type="dxa"/>
                  <w:vAlign w:val="center"/>
                </w:tcPr>
                <w:p w14:paraId="5E1FC73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0.090 </w:t>
                  </w:r>
                </w:p>
              </w:tc>
              <w:tc>
                <w:tcPr>
                  <w:tcW w:w="500" w:type="dxa"/>
                  <w:vAlign w:val="center"/>
                </w:tcPr>
                <w:p w14:paraId="042B33C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0.001 </w:t>
                  </w:r>
                </w:p>
              </w:tc>
              <w:tc>
                <w:tcPr>
                  <w:tcW w:w="500" w:type="dxa"/>
                  <w:vAlign w:val="center"/>
                </w:tcPr>
                <w:p w14:paraId="086EDB4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 xml:space="preserve">0.0003 </w:t>
                  </w:r>
                </w:p>
              </w:tc>
              <w:tc>
                <w:tcPr>
                  <w:tcW w:w="394" w:type="dxa"/>
                  <w:vAlign w:val="center"/>
                </w:tcPr>
                <w:p w14:paraId="1FDECED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1" w:type="dxa"/>
                  <w:vAlign w:val="center"/>
                </w:tcPr>
                <w:p w14:paraId="41B0FF3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15" w:type="dxa"/>
                  <w:vAlign w:val="center"/>
                </w:tcPr>
                <w:p w14:paraId="3E3BD24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074" w:type="dxa"/>
                  <w:vAlign w:val="center"/>
                </w:tcPr>
                <w:p w14:paraId="17FE937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98" w:type="dxa"/>
                  <w:vAlign w:val="center"/>
                </w:tcPr>
                <w:p w14:paraId="1C6CBD8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469" w:type="dxa"/>
                  <w:vAlign w:val="center"/>
                </w:tcPr>
                <w:p w14:paraId="12B0012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1" w:type="dxa"/>
                  <w:vAlign w:val="center"/>
                </w:tcPr>
                <w:p w14:paraId="0529A4A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43" w:type="dxa"/>
                  <w:vAlign w:val="center"/>
                </w:tcPr>
                <w:p w14:paraId="299DEF2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29" w:type="dxa"/>
                  <w:vAlign w:val="center"/>
                </w:tcPr>
                <w:p w14:paraId="2AEBD71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0" w:type="dxa"/>
                  <w:vAlign w:val="center"/>
                </w:tcPr>
                <w:p w14:paraId="34A7BB9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7" w:type="dxa"/>
                  <w:vAlign w:val="center"/>
                </w:tcPr>
                <w:p w14:paraId="21D3693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46783E0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14:paraId="2E920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restart"/>
                  <w:vAlign w:val="center"/>
                </w:tcPr>
                <w:p w14:paraId="4E37F60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合计P1</w:t>
                  </w:r>
                </w:p>
              </w:tc>
              <w:tc>
                <w:tcPr>
                  <w:tcW w:w="605" w:type="dxa"/>
                  <w:shd w:val="clear" w:color="auto" w:fill="auto"/>
                  <w:vAlign w:val="center"/>
                </w:tcPr>
                <w:p w14:paraId="53E57EF2">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VOCs</w:t>
                  </w:r>
                </w:p>
              </w:tc>
              <w:tc>
                <w:tcPr>
                  <w:tcW w:w="574" w:type="dxa"/>
                  <w:vAlign w:val="center"/>
                </w:tcPr>
                <w:p w14:paraId="2643EA0D">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164.75</w:t>
                  </w:r>
                </w:p>
              </w:tc>
              <w:tc>
                <w:tcPr>
                  <w:tcW w:w="545" w:type="dxa"/>
                  <w:vAlign w:val="center"/>
                </w:tcPr>
                <w:p w14:paraId="1676A9ED">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0.824</w:t>
                  </w:r>
                </w:p>
              </w:tc>
              <w:tc>
                <w:tcPr>
                  <w:tcW w:w="545" w:type="dxa"/>
                  <w:vAlign w:val="center"/>
                </w:tcPr>
                <w:p w14:paraId="61619B39">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1.761</w:t>
                  </w:r>
                </w:p>
              </w:tc>
              <w:tc>
                <w:tcPr>
                  <w:tcW w:w="545" w:type="dxa"/>
                  <w:vAlign w:val="center"/>
                </w:tcPr>
                <w:p w14:paraId="788CC766">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90</w:t>
                  </w:r>
                </w:p>
              </w:tc>
              <w:tc>
                <w:tcPr>
                  <w:tcW w:w="1079" w:type="dxa"/>
                  <w:vMerge w:val="restart"/>
                  <w:vAlign w:val="center"/>
                </w:tcPr>
                <w:p w14:paraId="4BCA9142">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碱喷淋</w:t>
                  </w:r>
                  <w:r>
                    <w:rPr>
                      <w:rFonts w:hint="default" w:ascii="Times New Roman" w:hAnsi="Times New Roman" w:cs="Times New Roman"/>
                      <w:color w:val="000000"/>
                      <w:highlight w:val="none"/>
                      <w:lang w:val="en-US"/>
                    </w:rPr>
                    <w:t>+</w:t>
                  </w:r>
                  <w:r>
                    <w:rPr>
                      <w:rFonts w:hint="eastAsia"/>
                      <w:lang w:val="en-US" w:eastAsia="zh-CN"/>
                    </w:rPr>
                    <w:t>除雾装置</w:t>
                  </w:r>
                  <w:r>
                    <w:rPr>
                      <w:rFonts w:hint="default" w:ascii="Times New Roman" w:hAnsi="Times New Roman" w:eastAsia="宋体" w:cs="Times New Roman"/>
                      <w:szCs w:val="21"/>
                      <w:highlight w:val="none"/>
                      <w:lang w:val="en-US"/>
                    </w:rPr>
                    <w:t>+2级活性炭吸附</w:t>
                  </w:r>
                </w:p>
              </w:tc>
              <w:tc>
                <w:tcPr>
                  <w:tcW w:w="394" w:type="dxa"/>
                  <w:vAlign w:val="center"/>
                </w:tcPr>
                <w:p w14:paraId="35337EE6">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90</w:t>
                  </w:r>
                </w:p>
              </w:tc>
              <w:tc>
                <w:tcPr>
                  <w:tcW w:w="530" w:type="dxa"/>
                  <w:vAlign w:val="center"/>
                </w:tcPr>
                <w:p w14:paraId="139802F1">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是</w:t>
                  </w:r>
                </w:p>
              </w:tc>
              <w:tc>
                <w:tcPr>
                  <w:tcW w:w="591" w:type="dxa"/>
                  <w:vAlign w:val="center"/>
                </w:tcPr>
                <w:p w14:paraId="49B592AB">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16.475</w:t>
                  </w:r>
                </w:p>
              </w:tc>
              <w:tc>
                <w:tcPr>
                  <w:tcW w:w="500" w:type="dxa"/>
                  <w:vAlign w:val="center"/>
                </w:tcPr>
                <w:p w14:paraId="55C89006">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0.082</w:t>
                  </w:r>
                </w:p>
              </w:tc>
              <w:tc>
                <w:tcPr>
                  <w:tcW w:w="500" w:type="dxa"/>
                  <w:vAlign w:val="center"/>
                </w:tcPr>
                <w:p w14:paraId="0A4A1139">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0.176</w:t>
                  </w:r>
                </w:p>
              </w:tc>
              <w:tc>
                <w:tcPr>
                  <w:tcW w:w="394" w:type="dxa"/>
                  <w:vMerge w:val="restart"/>
                  <w:shd w:val="clear" w:color="auto" w:fill="auto"/>
                  <w:vAlign w:val="center"/>
                </w:tcPr>
                <w:p w14:paraId="56835F6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P1</w:t>
                  </w:r>
                </w:p>
              </w:tc>
              <w:tc>
                <w:tcPr>
                  <w:tcW w:w="591" w:type="dxa"/>
                  <w:vMerge w:val="restart"/>
                  <w:shd w:val="clear" w:color="auto" w:fill="auto"/>
                  <w:vAlign w:val="center"/>
                </w:tcPr>
                <w:p w14:paraId="08F0700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水处理剂排气筒</w:t>
                  </w:r>
                </w:p>
              </w:tc>
              <w:tc>
                <w:tcPr>
                  <w:tcW w:w="515" w:type="dxa"/>
                  <w:vMerge w:val="restart"/>
                  <w:shd w:val="clear" w:color="auto" w:fill="auto"/>
                  <w:vAlign w:val="center"/>
                </w:tcPr>
                <w:p w14:paraId="0B0776F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一般排放口</w:t>
                  </w:r>
                </w:p>
              </w:tc>
              <w:tc>
                <w:tcPr>
                  <w:tcW w:w="1074" w:type="dxa"/>
                  <w:vMerge w:val="restart"/>
                  <w:shd w:val="clear" w:color="auto" w:fill="auto"/>
                  <w:vAlign w:val="center"/>
                </w:tcPr>
                <w:p w14:paraId="386ADBA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118°9′57.599″E</w:t>
                  </w:r>
                </w:p>
                <w:p w14:paraId="767AA42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36°44′16.858″N</w:t>
                  </w:r>
                </w:p>
              </w:tc>
              <w:tc>
                <w:tcPr>
                  <w:tcW w:w="498" w:type="dxa"/>
                  <w:vMerge w:val="restart"/>
                  <w:shd w:val="clear" w:color="auto" w:fill="auto"/>
                  <w:vAlign w:val="center"/>
                </w:tcPr>
                <w:p w14:paraId="59F7AB3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15</w:t>
                  </w:r>
                </w:p>
              </w:tc>
              <w:tc>
                <w:tcPr>
                  <w:tcW w:w="469" w:type="dxa"/>
                  <w:vMerge w:val="restart"/>
                  <w:shd w:val="clear" w:color="auto" w:fill="auto"/>
                  <w:vAlign w:val="center"/>
                </w:tcPr>
                <w:p w14:paraId="0D6FD7A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0.3</w:t>
                  </w:r>
                </w:p>
              </w:tc>
              <w:tc>
                <w:tcPr>
                  <w:tcW w:w="621" w:type="dxa"/>
                  <w:vMerge w:val="restart"/>
                  <w:shd w:val="clear" w:color="auto" w:fill="auto"/>
                  <w:vAlign w:val="center"/>
                </w:tcPr>
                <w:p w14:paraId="16B14C3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5000</w:t>
                  </w:r>
                </w:p>
              </w:tc>
              <w:tc>
                <w:tcPr>
                  <w:tcW w:w="543" w:type="dxa"/>
                  <w:vMerge w:val="restart"/>
                  <w:shd w:val="clear" w:color="auto" w:fill="auto"/>
                  <w:vAlign w:val="center"/>
                </w:tcPr>
                <w:p w14:paraId="2AC5509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w:t>
                  </w:r>
                </w:p>
              </w:tc>
              <w:tc>
                <w:tcPr>
                  <w:tcW w:w="629" w:type="dxa"/>
                  <w:vMerge w:val="restart"/>
                  <w:shd w:val="clear" w:color="auto" w:fill="auto"/>
                  <w:vAlign w:val="center"/>
                </w:tcPr>
                <w:p w14:paraId="6EB27C3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2400</w:t>
                  </w:r>
                </w:p>
              </w:tc>
              <w:tc>
                <w:tcPr>
                  <w:tcW w:w="590" w:type="dxa"/>
                  <w:shd w:val="clear" w:color="auto" w:fill="auto"/>
                  <w:vAlign w:val="center"/>
                </w:tcPr>
                <w:p w14:paraId="50531F8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60</w:t>
                  </w:r>
                </w:p>
              </w:tc>
              <w:tc>
                <w:tcPr>
                  <w:tcW w:w="607" w:type="dxa"/>
                  <w:shd w:val="clear" w:color="auto" w:fill="auto"/>
                  <w:vAlign w:val="center"/>
                </w:tcPr>
                <w:p w14:paraId="1FED025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3.0</w:t>
                  </w:r>
                </w:p>
              </w:tc>
              <w:tc>
                <w:tcPr>
                  <w:tcW w:w="378" w:type="dxa"/>
                  <w:shd w:val="clear" w:color="auto" w:fill="auto"/>
                  <w:vAlign w:val="center"/>
                </w:tcPr>
                <w:p w14:paraId="627E9E7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w:t>
                  </w:r>
                </w:p>
              </w:tc>
            </w:tr>
            <w:tr w14:paraId="78FC0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continue"/>
                  <w:vAlign w:val="center"/>
                </w:tcPr>
                <w:p w14:paraId="3350BB75">
                  <w:pPr>
                    <w:adjustRightInd w:val="0"/>
                    <w:snapToGrid w:val="0"/>
                    <w:jc w:val="center"/>
                    <w:rPr>
                      <w:rFonts w:hint="default" w:ascii="Times New Roman" w:hAnsi="Times New Roman" w:cs="Times New Roman"/>
                      <w:szCs w:val="21"/>
                      <w:highlight w:val="none"/>
                    </w:rPr>
                  </w:pPr>
                </w:p>
              </w:tc>
              <w:tc>
                <w:tcPr>
                  <w:tcW w:w="605" w:type="dxa"/>
                  <w:shd w:val="clear" w:color="auto" w:fill="auto"/>
                  <w:vAlign w:val="center"/>
                </w:tcPr>
                <w:p w14:paraId="3B343CD0">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甲醇</w:t>
                  </w:r>
                </w:p>
              </w:tc>
              <w:tc>
                <w:tcPr>
                  <w:tcW w:w="574" w:type="dxa"/>
                  <w:vAlign w:val="center"/>
                </w:tcPr>
                <w:p w14:paraId="5E0DD213">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74.917</w:t>
                  </w:r>
                </w:p>
              </w:tc>
              <w:tc>
                <w:tcPr>
                  <w:tcW w:w="545" w:type="dxa"/>
                  <w:vAlign w:val="center"/>
                </w:tcPr>
                <w:p w14:paraId="53410CED">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0.375</w:t>
                  </w:r>
                </w:p>
              </w:tc>
              <w:tc>
                <w:tcPr>
                  <w:tcW w:w="545" w:type="dxa"/>
                  <w:vAlign w:val="center"/>
                </w:tcPr>
                <w:p w14:paraId="0199BAC4">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0.818</w:t>
                  </w:r>
                </w:p>
              </w:tc>
              <w:tc>
                <w:tcPr>
                  <w:tcW w:w="545" w:type="dxa"/>
                  <w:vAlign w:val="center"/>
                </w:tcPr>
                <w:p w14:paraId="019E9C71">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90</w:t>
                  </w:r>
                </w:p>
              </w:tc>
              <w:tc>
                <w:tcPr>
                  <w:tcW w:w="1079" w:type="dxa"/>
                  <w:vMerge w:val="continue"/>
                  <w:vAlign w:val="center"/>
                </w:tcPr>
                <w:p w14:paraId="3CE4471C">
                  <w:pPr>
                    <w:adjustRightInd w:val="0"/>
                    <w:snapToGrid w:val="0"/>
                    <w:jc w:val="center"/>
                    <w:rPr>
                      <w:rFonts w:hint="default" w:ascii="Times New Roman" w:hAnsi="Times New Roman" w:eastAsia="宋体" w:cs="Times New Roman"/>
                      <w:szCs w:val="21"/>
                      <w:highlight w:val="none"/>
                      <w:lang w:val="en-US"/>
                    </w:rPr>
                  </w:pPr>
                </w:p>
              </w:tc>
              <w:tc>
                <w:tcPr>
                  <w:tcW w:w="394" w:type="dxa"/>
                  <w:vAlign w:val="center"/>
                </w:tcPr>
                <w:p w14:paraId="1C88DB05">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90</w:t>
                  </w:r>
                </w:p>
              </w:tc>
              <w:tc>
                <w:tcPr>
                  <w:tcW w:w="530" w:type="dxa"/>
                  <w:vAlign w:val="center"/>
                </w:tcPr>
                <w:p w14:paraId="494711E1">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是</w:t>
                  </w:r>
                </w:p>
              </w:tc>
              <w:tc>
                <w:tcPr>
                  <w:tcW w:w="591" w:type="dxa"/>
                  <w:vAlign w:val="center"/>
                </w:tcPr>
                <w:p w14:paraId="4685AE05">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7.492</w:t>
                  </w:r>
                </w:p>
              </w:tc>
              <w:tc>
                <w:tcPr>
                  <w:tcW w:w="500" w:type="dxa"/>
                  <w:vAlign w:val="center"/>
                </w:tcPr>
                <w:p w14:paraId="1171C206">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0.038</w:t>
                  </w:r>
                </w:p>
              </w:tc>
              <w:tc>
                <w:tcPr>
                  <w:tcW w:w="500" w:type="dxa"/>
                  <w:vAlign w:val="center"/>
                </w:tcPr>
                <w:p w14:paraId="542D093D">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0.082</w:t>
                  </w:r>
                </w:p>
              </w:tc>
              <w:tc>
                <w:tcPr>
                  <w:tcW w:w="394" w:type="dxa"/>
                  <w:vMerge w:val="continue"/>
                  <w:vAlign w:val="center"/>
                </w:tcPr>
                <w:p w14:paraId="5EC857AE">
                  <w:pPr>
                    <w:adjustRightInd w:val="0"/>
                    <w:snapToGrid w:val="0"/>
                    <w:jc w:val="center"/>
                    <w:rPr>
                      <w:rFonts w:hint="default" w:ascii="Times New Roman" w:hAnsi="Times New Roman" w:cs="Times New Roman"/>
                      <w:szCs w:val="21"/>
                      <w:highlight w:val="none"/>
                    </w:rPr>
                  </w:pPr>
                </w:p>
              </w:tc>
              <w:tc>
                <w:tcPr>
                  <w:tcW w:w="591" w:type="dxa"/>
                  <w:vMerge w:val="continue"/>
                  <w:vAlign w:val="center"/>
                </w:tcPr>
                <w:p w14:paraId="46D884FA">
                  <w:pPr>
                    <w:adjustRightInd w:val="0"/>
                    <w:snapToGrid w:val="0"/>
                    <w:jc w:val="center"/>
                    <w:rPr>
                      <w:rFonts w:hint="default" w:ascii="Times New Roman" w:hAnsi="Times New Roman" w:cs="Times New Roman"/>
                      <w:szCs w:val="21"/>
                      <w:highlight w:val="none"/>
                    </w:rPr>
                  </w:pPr>
                </w:p>
              </w:tc>
              <w:tc>
                <w:tcPr>
                  <w:tcW w:w="515" w:type="dxa"/>
                  <w:vMerge w:val="continue"/>
                  <w:vAlign w:val="center"/>
                </w:tcPr>
                <w:p w14:paraId="7B7251B2">
                  <w:pPr>
                    <w:adjustRightInd w:val="0"/>
                    <w:snapToGrid w:val="0"/>
                    <w:jc w:val="center"/>
                    <w:rPr>
                      <w:rFonts w:hint="default" w:ascii="Times New Roman" w:hAnsi="Times New Roman" w:cs="Times New Roman"/>
                      <w:szCs w:val="21"/>
                      <w:highlight w:val="none"/>
                    </w:rPr>
                  </w:pPr>
                </w:p>
              </w:tc>
              <w:tc>
                <w:tcPr>
                  <w:tcW w:w="1074" w:type="dxa"/>
                  <w:vMerge w:val="continue"/>
                  <w:vAlign w:val="center"/>
                </w:tcPr>
                <w:p w14:paraId="6BB50290">
                  <w:pPr>
                    <w:adjustRightInd w:val="0"/>
                    <w:snapToGrid w:val="0"/>
                    <w:jc w:val="center"/>
                    <w:rPr>
                      <w:rFonts w:hint="default" w:ascii="Times New Roman" w:hAnsi="Times New Roman" w:cs="Times New Roman"/>
                      <w:szCs w:val="21"/>
                      <w:highlight w:val="none"/>
                    </w:rPr>
                  </w:pPr>
                </w:p>
              </w:tc>
              <w:tc>
                <w:tcPr>
                  <w:tcW w:w="498" w:type="dxa"/>
                  <w:vMerge w:val="continue"/>
                  <w:vAlign w:val="center"/>
                </w:tcPr>
                <w:p w14:paraId="1A30338B">
                  <w:pPr>
                    <w:adjustRightInd w:val="0"/>
                    <w:snapToGrid w:val="0"/>
                    <w:jc w:val="center"/>
                    <w:rPr>
                      <w:rFonts w:hint="default" w:ascii="Times New Roman" w:hAnsi="Times New Roman" w:cs="Times New Roman"/>
                      <w:szCs w:val="21"/>
                      <w:highlight w:val="none"/>
                    </w:rPr>
                  </w:pPr>
                </w:p>
              </w:tc>
              <w:tc>
                <w:tcPr>
                  <w:tcW w:w="469" w:type="dxa"/>
                  <w:vMerge w:val="continue"/>
                  <w:vAlign w:val="center"/>
                </w:tcPr>
                <w:p w14:paraId="46361E42">
                  <w:pPr>
                    <w:adjustRightInd w:val="0"/>
                    <w:snapToGrid w:val="0"/>
                    <w:jc w:val="center"/>
                    <w:rPr>
                      <w:rFonts w:hint="default" w:ascii="Times New Roman" w:hAnsi="Times New Roman" w:cs="Times New Roman"/>
                      <w:szCs w:val="21"/>
                      <w:highlight w:val="none"/>
                    </w:rPr>
                  </w:pPr>
                </w:p>
              </w:tc>
              <w:tc>
                <w:tcPr>
                  <w:tcW w:w="621" w:type="dxa"/>
                  <w:vMerge w:val="continue"/>
                  <w:vAlign w:val="center"/>
                </w:tcPr>
                <w:p w14:paraId="25339DC0">
                  <w:pPr>
                    <w:adjustRightInd w:val="0"/>
                    <w:snapToGrid w:val="0"/>
                    <w:jc w:val="center"/>
                    <w:rPr>
                      <w:rFonts w:hint="default" w:ascii="Times New Roman" w:hAnsi="Times New Roman" w:cs="Times New Roman"/>
                      <w:szCs w:val="21"/>
                      <w:highlight w:val="none"/>
                    </w:rPr>
                  </w:pPr>
                </w:p>
              </w:tc>
              <w:tc>
                <w:tcPr>
                  <w:tcW w:w="543" w:type="dxa"/>
                  <w:vMerge w:val="continue"/>
                  <w:vAlign w:val="center"/>
                </w:tcPr>
                <w:p w14:paraId="48378513">
                  <w:pPr>
                    <w:adjustRightInd w:val="0"/>
                    <w:snapToGrid w:val="0"/>
                    <w:jc w:val="center"/>
                    <w:rPr>
                      <w:rFonts w:hint="default" w:ascii="Times New Roman" w:hAnsi="Times New Roman" w:cs="Times New Roman"/>
                      <w:szCs w:val="21"/>
                      <w:highlight w:val="none"/>
                    </w:rPr>
                  </w:pPr>
                </w:p>
              </w:tc>
              <w:tc>
                <w:tcPr>
                  <w:tcW w:w="629" w:type="dxa"/>
                  <w:vMerge w:val="continue"/>
                  <w:vAlign w:val="center"/>
                </w:tcPr>
                <w:p w14:paraId="14F8F7D5">
                  <w:pPr>
                    <w:adjustRightInd w:val="0"/>
                    <w:snapToGrid w:val="0"/>
                    <w:jc w:val="center"/>
                    <w:rPr>
                      <w:rFonts w:hint="default" w:ascii="Times New Roman" w:hAnsi="Times New Roman" w:cs="Times New Roman"/>
                      <w:szCs w:val="21"/>
                      <w:highlight w:val="none"/>
                    </w:rPr>
                  </w:pPr>
                </w:p>
              </w:tc>
              <w:tc>
                <w:tcPr>
                  <w:tcW w:w="590" w:type="dxa"/>
                  <w:vAlign w:val="center"/>
                </w:tcPr>
                <w:p w14:paraId="2E48564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50</w:t>
                  </w:r>
                </w:p>
              </w:tc>
              <w:tc>
                <w:tcPr>
                  <w:tcW w:w="607" w:type="dxa"/>
                  <w:vAlign w:val="center"/>
                </w:tcPr>
                <w:p w14:paraId="2821FE7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3B2AEE1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w:t>
                  </w:r>
                </w:p>
              </w:tc>
            </w:tr>
            <w:tr w14:paraId="37575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8" w:hRule="atLeast"/>
                <w:jc w:val="center"/>
              </w:trPr>
              <w:tc>
                <w:tcPr>
                  <w:tcW w:w="468" w:type="dxa"/>
                  <w:vMerge w:val="continue"/>
                  <w:vAlign w:val="center"/>
                </w:tcPr>
                <w:p w14:paraId="784465C7">
                  <w:pPr>
                    <w:adjustRightInd w:val="0"/>
                    <w:snapToGrid w:val="0"/>
                    <w:jc w:val="center"/>
                    <w:rPr>
                      <w:rFonts w:hint="default" w:ascii="Times New Roman" w:hAnsi="Times New Roman" w:cs="Times New Roman"/>
                      <w:szCs w:val="21"/>
                      <w:highlight w:val="none"/>
                    </w:rPr>
                  </w:pPr>
                </w:p>
              </w:tc>
              <w:tc>
                <w:tcPr>
                  <w:tcW w:w="605" w:type="dxa"/>
                  <w:shd w:val="clear" w:color="auto" w:fill="auto"/>
                  <w:vAlign w:val="center"/>
                </w:tcPr>
                <w:p w14:paraId="73016D50">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正己烷</w:t>
                  </w:r>
                </w:p>
              </w:tc>
              <w:tc>
                <w:tcPr>
                  <w:tcW w:w="574" w:type="dxa"/>
                  <w:vAlign w:val="center"/>
                </w:tcPr>
                <w:p w14:paraId="18CB972B">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23.9</w:t>
                  </w:r>
                </w:p>
              </w:tc>
              <w:tc>
                <w:tcPr>
                  <w:tcW w:w="545" w:type="dxa"/>
                  <w:vAlign w:val="center"/>
                </w:tcPr>
                <w:p w14:paraId="5572FEE6">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0.12</w:t>
                  </w:r>
                </w:p>
              </w:tc>
              <w:tc>
                <w:tcPr>
                  <w:tcW w:w="545" w:type="dxa"/>
                  <w:vAlign w:val="center"/>
                </w:tcPr>
                <w:p w14:paraId="37A992D3">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0.279</w:t>
                  </w:r>
                </w:p>
              </w:tc>
              <w:tc>
                <w:tcPr>
                  <w:tcW w:w="545" w:type="dxa"/>
                  <w:vAlign w:val="center"/>
                </w:tcPr>
                <w:p w14:paraId="7F727740">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90</w:t>
                  </w:r>
                </w:p>
              </w:tc>
              <w:tc>
                <w:tcPr>
                  <w:tcW w:w="1079" w:type="dxa"/>
                  <w:vMerge w:val="continue"/>
                  <w:vAlign w:val="center"/>
                </w:tcPr>
                <w:p w14:paraId="6555C0D8">
                  <w:pPr>
                    <w:adjustRightInd w:val="0"/>
                    <w:snapToGrid w:val="0"/>
                    <w:jc w:val="center"/>
                    <w:rPr>
                      <w:rFonts w:hint="default" w:ascii="Times New Roman" w:hAnsi="Times New Roman" w:eastAsia="宋体" w:cs="Times New Roman"/>
                      <w:szCs w:val="21"/>
                      <w:highlight w:val="none"/>
                      <w:lang w:val="en-US"/>
                    </w:rPr>
                  </w:pPr>
                </w:p>
              </w:tc>
              <w:tc>
                <w:tcPr>
                  <w:tcW w:w="394" w:type="dxa"/>
                  <w:vAlign w:val="center"/>
                </w:tcPr>
                <w:p w14:paraId="25D3FC35">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90</w:t>
                  </w:r>
                </w:p>
              </w:tc>
              <w:tc>
                <w:tcPr>
                  <w:tcW w:w="530" w:type="dxa"/>
                  <w:vAlign w:val="center"/>
                </w:tcPr>
                <w:p w14:paraId="507F39A5">
                  <w:pPr>
                    <w:adjustRightInd w:val="0"/>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rPr>
                    <w:t>是</w:t>
                  </w:r>
                </w:p>
              </w:tc>
              <w:tc>
                <w:tcPr>
                  <w:tcW w:w="591" w:type="dxa"/>
                  <w:shd w:val="clear" w:color="auto" w:fill="auto"/>
                  <w:vAlign w:val="center"/>
                </w:tcPr>
                <w:p w14:paraId="3BD35837">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2.39</w:t>
                  </w:r>
                </w:p>
              </w:tc>
              <w:tc>
                <w:tcPr>
                  <w:tcW w:w="500" w:type="dxa"/>
                  <w:shd w:val="clear" w:color="auto" w:fill="auto"/>
                  <w:vAlign w:val="center"/>
                </w:tcPr>
                <w:p w14:paraId="35EC17B0">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0.012</w:t>
                  </w:r>
                </w:p>
              </w:tc>
              <w:tc>
                <w:tcPr>
                  <w:tcW w:w="500" w:type="dxa"/>
                  <w:shd w:val="clear" w:color="auto" w:fill="auto"/>
                  <w:vAlign w:val="center"/>
                </w:tcPr>
                <w:p w14:paraId="3D558F62">
                  <w:pPr>
                    <w:adjustRightInd w:val="0"/>
                    <w:snapToGrid w:val="0"/>
                    <w:jc w:val="center"/>
                    <w:rPr>
                      <w:rFonts w:hint="default" w:ascii="Times New Roman" w:hAnsi="Times New Roman" w:eastAsia="宋体" w:cs="Times New Roman"/>
                      <w:szCs w:val="21"/>
                      <w:highlight w:val="none"/>
                      <w:lang w:val="en-US"/>
                    </w:rPr>
                  </w:pPr>
                  <w:r>
                    <w:rPr>
                      <w:rFonts w:hint="eastAsia" w:ascii="Times New Roman" w:hAnsi="Times New Roman" w:eastAsia="宋体" w:cs="Times New Roman"/>
                      <w:szCs w:val="21"/>
                      <w:highlight w:val="none"/>
                      <w:lang w:val="en-US" w:eastAsia="zh-CN"/>
                    </w:rPr>
                    <w:t>0.028</w:t>
                  </w:r>
                </w:p>
              </w:tc>
              <w:tc>
                <w:tcPr>
                  <w:tcW w:w="394" w:type="dxa"/>
                  <w:vMerge w:val="continue"/>
                  <w:vAlign w:val="center"/>
                </w:tcPr>
                <w:p w14:paraId="166A7147">
                  <w:pPr>
                    <w:adjustRightInd w:val="0"/>
                    <w:snapToGrid w:val="0"/>
                    <w:jc w:val="center"/>
                    <w:rPr>
                      <w:rFonts w:hint="default" w:ascii="Times New Roman" w:hAnsi="Times New Roman" w:cs="Times New Roman"/>
                      <w:szCs w:val="21"/>
                      <w:highlight w:val="none"/>
                    </w:rPr>
                  </w:pPr>
                </w:p>
              </w:tc>
              <w:tc>
                <w:tcPr>
                  <w:tcW w:w="591" w:type="dxa"/>
                  <w:vMerge w:val="continue"/>
                  <w:vAlign w:val="center"/>
                </w:tcPr>
                <w:p w14:paraId="0C887FFF">
                  <w:pPr>
                    <w:adjustRightInd w:val="0"/>
                    <w:snapToGrid w:val="0"/>
                    <w:jc w:val="center"/>
                    <w:rPr>
                      <w:rFonts w:hint="default" w:ascii="Times New Roman" w:hAnsi="Times New Roman" w:cs="Times New Roman"/>
                      <w:szCs w:val="21"/>
                      <w:highlight w:val="none"/>
                    </w:rPr>
                  </w:pPr>
                </w:p>
              </w:tc>
              <w:tc>
                <w:tcPr>
                  <w:tcW w:w="515" w:type="dxa"/>
                  <w:vMerge w:val="continue"/>
                  <w:vAlign w:val="center"/>
                </w:tcPr>
                <w:p w14:paraId="6BA30CE3">
                  <w:pPr>
                    <w:adjustRightInd w:val="0"/>
                    <w:snapToGrid w:val="0"/>
                    <w:jc w:val="center"/>
                    <w:rPr>
                      <w:rFonts w:hint="default" w:ascii="Times New Roman" w:hAnsi="Times New Roman" w:cs="Times New Roman"/>
                      <w:szCs w:val="21"/>
                      <w:highlight w:val="none"/>
                    </w:rPr>
                  </w:pPr>
                </w:p>
              </w:tc>
              <w:tc>
                <w:tcPr>
                  <w:tcW w:w="1074" w:type="dxa"/>
                  <w:vMerge w:val="continue"/>
                  <w:vAlign w:val="center"/>
                </w:tcPr>
                <w:p w14:paraId="69324398">
                  <w:pPr>
                    <w:adjustRightInd w:val="0"/>
                    <w:snapToGrid w:val="0"/>
                    <w:jc w:val="center"/>
                    <w:rPr>
                      <w:rFonts w:hint="default" w:ascii="Times New Roman" w:hAnsi="Times New Roman" w:cs="Times New Roman"/>
                      <w:szCs w:val="21"/>
                      <w:highlight w:val="none"/>
                    </w:rPr>
                  </w:pPr>
                </w:p>
              </w:tc>
              <w:tc>
                <w:tcPr>
                  <w:tcW w:w="498" w:type="dxa"/>
                  <w:vMerge w:val="continue"/>
                  <w:vAlign w:val="center"/>
                </w:tcPr>
                <w:p w14:paraId="4858040C">
                  <w:pPr>
                    <w:adjustRightInd w:val="0"/>
                    <w:snapToGrid w:val="0"/>
                    <w:jc w:val="center"/>
                    <w:rPr>
                      <w:rFonts w:hint="default" w:ascii="Times New Roman" w:hAnsi="Times New Roman" w:cs="Times New Roman"/>
                      <w:szCs w:val="21"/>
                      <w:highlight w:val="none"/>
                    </w:rPr>
                  </w:pPr>
                </w:p>
              </w:tc>
              <w:tc>
                <w:tcPr>
                  <w:tcW w:w="469" w:type="dxa"/>
                  <w:vMerge w:val="continue"/>
                  <w:vAlign w:val="center"/>
                </w:tcPr>
                <w:p w14:paraId="73A0146D">
                  <w:pPr>
                    <w:adjustRightInd w:val="0"/>
                    <w:snapToGrid w:val="0"/>
                    <w:jc w:val="center"/>
                    <w:rPr>
                      <w:rFonts w:hint="default" w:ascii="Times New Roman" w:hAnsi="Times New Roman" w:cs="Times New Roman"/>
                      <w:szCs w:val="21"/>
                      <w:highlight w:val="none"/>
                    </w:rPr>
                  </w:pPr>
                </w:p>
              </w:tc>
              <w:tc>
                <w:tcPr>
                  <w:tcW w:w="621" w:type="dxa"/>
                  <w:vMerge w:val="continue"/>
                  <w:vAlign w:val="center"/>
                </w:tcPr>
                <w:p w14:paraId="5F3C9228">
                  <w:pPr>
                    <w:adjustRightInd w:val="0"/>
                    <w:snapToGrid w:val="0"/>
                    <w:jc w:val="center"/>
                    <w:rPr>
                      <w:rFonts w:hint="default" w:ascii="Times New Roman" w:hAnsi="Times New Roman" w:cs="Times New Roman"/>
                      <w:szCs w:val="21"/>
                      <w:highlight w:val="none"/>
                    </w:rPr>
                  </w:pPr>
                </w:p>
              </w:tc>
              <w:tc>
                <w:tcPr>
                  <w:tcW w:w="543" w:type="dxa"/>
                  <w:vMerge w:val="continue"/>
                  <w:vAlign w:val="center"/>
                </w:tcPr>
                <w:p w14:paraId="31BFEC69">
                  <w:pPr>
                    <w:adjustRightInd w:val="0"/>
                    <w:snapToGrid w:val="0"/>
                    <w:jc w:val="center"/>
                    <w:rPr>
                      <w:rFonts w:hint="default" w:ascii="Times New Roman" w:hAnsi="Times New Roman" w:cs="Times New Roman"/>
                      <w:szCs w:val="21"/>
                      <w:highlight w:val="none"/>
                    </w:rPr>
                  </w:pPr>
                </w:p>
              </w:tc>
              <w:tc>
                <w:tcPr>
                  <w:tcW w:w="629" w:type="dxa"/>
                  <w:vMerge w:val="continue"/>
                  <w:vAlign w:val="center"/>
                </w:tcPr>
                <w:p w14:paraId="2ADD56DB">
                  <w:pPr>
                    <w:adjustRightInd w:val="0"/>
                    <w:snapToGrid w:val="0"/>
                    <w:jc w:val="center"/>
                    <w:rPr>
                      <w:rFonts w:hint="default" w:ascii="Times New Roman" w:hAnsi="Times New Roman" w:cs="Times New Roman"/>
                      <w:szCs w:val="21"/>
                      <w:highlight w:val="none"/>
                    </w:rPr>
                  </w:pPr>
                </w:p>
              </w:tc>
              <w:tc>
                <w:tcPr>
                  <w:tcW w:w="590" w:type="dxa"/>
                  <w:vAlign w:val="center"/>
                </w:tcPr>
                <w:p w14:paraId="0859D9D1">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50</w:t>
                  </w:r>
                </w:p>
              </w:tc>
              <w:tc>
                <w:tcPr>
                  <w:tcW w:w="607" w:type="dxa"/>
                  <w:vAlign w:val="center"/>
                </w:tcPr>
                <w:p w14:paraId="7A05DAA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378" w:type="dxa"/>
                  <w:vAlign w:val="center"/>
                </w:tcPr>
                <w:p w14:paraId="4DA112B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是</w:t>
                  </w:r>
                </w:p>
              </w:tc>
            </w:tr>
          </w:tbl>
          <w:p w14:paraId="2BB7C818">
            <w:pPr>
              <w:adjustRightInd w:val="0"/>
              <w:snapToGrid w:val="0"/>
              <w:spacing w:line="360" w:lineRule="auto"/>
              <w:ind w:firstLine="482" w:firstLineChars="200"/>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表4-5  项目无组织废气产生及排放情况一览表</w:t>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9"/>
              <w:gridCol w:w="1467"/>
              <w:gridCol w:w="1318"/>
              <w:gridCol w:w="976"/>
              <w:gridCol w:w="1037"/>
              <w:gridCol w:w="1257"/>
              <w:gridCol w:w="984"/>
              <w:gridCol w:w="1199"/>
              <w:gridCol w:w="838"/>
              <w:gridCol w:w="1391"/>
              <w:gridCol w:w="1146"/>
              <w:gridCol w:w="1405"/>
            </w:tblGrid>
            <w:tr w14:paraId="2F167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5" w:type="pct"/>
                  <w:vMerge w:val="restart"/>
                  <w:vAlign w:val="center"/>
                </w:tcPr>
                <w:p w14:paraId="4483FDC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面源编号</w:t>
                  </w:r>
                </w:p>
              </w:tc>
              <w:tc>
                <w:tcPr>
                  <w:tcW w:w="531" w:type="pct"/>
                  <w:vMerge w:val="restart"/>
                  <w:vAlign w:val="center"/>
                </w:tcPr>
                <w:p w14:paraId="16ABE34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名称</w:t>
                  </w:r>
                </w:p>
              </w:tc>
              <w:tc>
                <w:tcPr>
                  <w:tcW w:w="478" w:type="pct"/>
                  <w:vMerge w:val="restart"/>
                  <w:vAlign w:val="center"/>
                </w:tcPr>
                <w:p w14:paraId="5B3B242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污染物</w:t>
                  </w:r>
                </w:p>
              </w:tc>
              <w:tc>
                <w:tcPr>
                  <w:tcW w:w="1186" w:type="pct"/>
                  <w:gridSpan w:val="3"/>
                  <w:vAlign w:val="center"/>
                </w:tcPr>
                <w:p w14:paraId="06E62A8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面源情况</w:t>
                  </w:r>
                </w:p>
              </w:tc>
              <w:tc>
                <w:tcPr>
                  <w:tcW w:w="357" w:type="pct"/>
                  <w:vMerge w:val="restart"/>
                  <w:vAlign w:val="center"/>
                </w:tcPr>
                <w:p w14:paraId="46FA78C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年产生量（t/a）</w:t>
                  </w:r>
                </w:p>
              </w:tc>
              <w:tc>
                <w:tcPr>
                  <w:tcW w:w="435" w:type="pct"/>
                  <w:vMerge w:val="restart"/>
                  <w:vAlign w:val="center"/>
                </w:tcPr>
                <w:p w14:paraId="11F7335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处理措施</w:t>
                  </w:r>
                </w:p>
              </w:tc>
              <w:tc>
                <w:tcPr>
                  <w:tcW w:w="304" w:type="pct"/>
                  <w:vMerge w:val="restart"/>
                  <w:vAlign w:val="center"/>
                </w:tcPr>
                <w:p w14:paraId="537894E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年排放时间（h）</w:t>
                  </w:r>
                </w:p>
              </w:tc>
              <w:tc>
                <w:tcPr>
                  <w:tcW w:w="920" w:type="pct"/>
                  <w:gridSpan w:val="2"/>
                  <w:vAlign w:val="center"/>
                </w:tcPr>
                <w:p w14:paraId="53F519A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排放情况</w:t>
                  </w:r>
                </w:p>
              </w:tc>
              <w:tc>
                <w:tcPr>
                  <w:tcW w:w="509" w:type="pct"/>
                  <w:vMerge w:val="restart"/>
                  <w:vAlign w:val="center"/>
                </w:tcPr>
                <w:p w14:paraId="7CE66DF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厂界监控浓度限值（mg/m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w:t>
                  </w:r>
                </w:p>
              </w:tc>
            </w:tr>
            <w:tr w14:paraId="604E1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5" w:type="pct"/>
                  <w:vMerge w:val="continue"/>
                  <w:vAlign w:val="center"/>
                </w:tcPr>
                <w:p w14:paraId="0CEA6A49">
                  <w:pPr>
                    <w:adjustRightInd w:val="0"/>
                    <w:snapToGrid w:val="0"/>
                    <w:jc w:val="center"/>
                    <w:rPr>
                      <w:rFonts w:hint="default" w:ascii="Times New Roman" w:hAnsi="Times New Roman" w:cs="Times New Roman"/>
                      <w:szCs w:val="21"/>
                      <w:highlight w:val="none"/>
                    </w:rPr>
                  </w:pPr>
                </w:p>
              </w:tc>
              <w:tc>
                <w:tcPr>
                  <w:tcW w:w="531" w:type="pct"/>
                  <w:vMerge w:val="continue"/>
                  <w:vAlign w:val="center"/>
                </w:tcPr>
                <w:p w14:paraId="17FC1CEF">
                  <w:pPr>
                    <w:adjustRightInd w:val="0"/>
                    <w:snapToGrid w:val="0"/>
                    <w:jc w:val="center"/>
                    <w:rPr>
                      <w:rFonts w:hint="default" w:ascii="Times New Roman" w:hAnsi="Times New Roman" w:cs="Times New Roman"/>
                      <w:szCs w:val="21"/>
                      <w:highlight w:val="none"/>
                    </w:rPr>
                  </w:pPr>
                </w:p>
              </w:tc>
              <w:tc>
                <w:tcPr>
                  <w:tcW w:w="478" w:type="pct"/>
                  <w:vMerge w:val="continue"/>
                  <w:vAlign w:val="center"/>
                </w:tcPr>
                <w:p w14:paraId="3DEEA8F5">
                  <w:pPr>
                    <w:adjustRightInd w:val="0"/>
                    <w:snapToGrid w:val="0"/>
                    <w:jc w:val="center"/>
                    <w:rPr>
                      <w:rFonts w:hint="default" w:ascii="Times New Roman" w:hAnsi="Times New Roman" w:cs="Times New Roman"/>
                      <w:szCs w:val="21"/>
                      <w:highlight w:val="none"/>
                    </w:rPr>
                  </w:pPr>
                </w:p>
              </w:tc>
              <w:tc>
                <w:tcPr>
                  <w:tcW w:w="354" w:type="pct"/>
                  <w:vAlign w:val="center"/>
                </w:tcPr>
                <w:p w14:paraId="07D4985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长度（m）</w:t>
                  </w:r>
                </w:p>
              </w:tc>
              <w:tc>
                <w:tcPr>
                  <w:tcW w:w="376" w:type="pct"/>
                  <w:vAlign w:val="center"/>
                </w:tcPr>
                <w:p w14:paraId="01E4490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宽度（m）</w:t>
                  </w:r>
                </w:p>
              </w:tc>
              <w:tc>
                <w:tcPr>
                  <w:tcW w:w="456" w:type="pct"/>
                  <w:vAlign w:val="center"/>
                </w:tcPr>
                <w:p w14:paraId="2DD3213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有效高度（m）</w:t>
                  </w:r>
                </w:p>
              </w:tc>
              <w:tc>
                <w:tcPr>
                  <w:tcW w:w="357" w:type="pct"/>
                  <w:vMerge w:val="continue"/>
                  <w:vAlign w:val="center"/>
                </w:tcPr>
                <w:p w14:paraId="17AEC668">
                  <w:pPr>
                    <w:adjustRightInd w:val="0"/>
                    <w:snapToGrid w:val="0"/>
                    <w:jc w:val="center"/>
                    <w:rPr>
                      <w:rFonts w:hint="default" w:ascii="Times New Roman" w:hAnsi="Times New Roman" w:cs="Times New Roman"/>
                      <w:szCs w:val="21"/>
                      <w:highlight w:val="none"/>
                    </w:rPr>
                  </w:pPr>
                </w:p>
              </w:tc>
              <w:tc>
                <w:tcPr>
                  <w:tcW w:w="435" w:type="pct"/>
                  <w:vMerge w:val="continue"/>
                  <w:vAlign w:val="center"/>
                </w:tcPr>
                <w:p w14:paraId="26FE3277">
                  <w:pPr>
                    <w:adjustRightInd w:val="0"/>
                    <w:snapToGrid w:val="0"/>
                    <w:jc w:val="center"/>
                    <w:rPr>
                      <w:rFonts w:hint="default" w:ascii="Times New Roman" w:hAnsi="Times New Roman" w:cs="Times New Roman"/>
                      <w:szCs w:val="21"/>
                      <w:highlight w:val="none"/>
                    </w:rPr>
                  </w:pPr>
                </w:p>
              </w:tc>
              <w:tc>
                <w:tcPr>
                  <w:tcW w:w="304" w:type="pct"/>
                  <w:vMerge w:val="continue"/>
                  <w:vAlign w:val="center"/>
                </w:tcPr>
                <w:p w14:paraId="00E2B8EE">
                  <w:pPr>
                    <w:adjustRightInd w:val="0"/>
                    <w:snapToGrid w:val="0"/>
                    <w:jc w:val="center"/>
                    <w:rPr>
                      <w:rFonts w:hint="default" w:ascii="Times New Roman" w:hAnsi="Times New Roman" w:cs="Times New Roman"/>
                      <w:szCs w:val="21"/>
                      <w:highlight w:val="none"/>
                    </w:rPr>
                  </w:pPr>
                </w:p>
              </w:tc>
              <w:tc>
                <w:tcPr>
                  <w:tcW w:w="504" w:type="pct"/>
                  <w:vAlign w:val="center"/>
                </w:tcPr>
                <w:p w14:paraId="14DD30B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排放速率（kg/h）</w:t>
                  </w:r>
                </w:p>
              </w:tc>
              <w:tc>
                <w:tcPr>
                  <w:tcW w:w="415" w:type="pct"/>
                  <w:vAlign w:val="center"/>
                </w:tcPr>
                <w:p w14:paraId="04A1D2E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排放量（t/a）</w:t>
                  </w:r>
                </w:p>
              </w:tc>
              <w:tc>
                <w:tcPr>
                  <w:tcW w:w="509" w:type="pct"/>
                  <w:vMerge w:val="continue"/>
                </w:tcPr>
                <w:p w14:paraId="4F252D77">
                  <w:pPr>
                    <w:adjustRightInd w:val="0"/>
                    <w:snapToGrid w:val="0"/>
                    <w:jc w:val="center"/>
                    <w:rPr>
                      <w:rFonts w:hint="default" w:ascii="Times New Roman" w:hAnsi="Times New Roman" w:cs="Times New Roman"/>
                      <w:szCs w:val="21"/>
                      <w:highlight w:val="none"/>
                    </w:rPr>
                  </w:pPr>
                </w:p>
              </w:tc>
            </w:tr>
            <w:tr w14:paraId="61D12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5" w:type="pct"/>
                  <w:vMerge w:val="restart"/>
                  <w:vAlign w:val="center"/>
                </w:tcPr>
                <w:p w14:paraId="2EDE81F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M1</w:t>
                  </w:r>
                </w:p>
              </w:tc>
              <w:tc>
                <w:tcPr>
                  <w:tcW w:w="531" w:type="pct"/>
                  <w:vMerge w:val="restart"/>
                  <w:vAlign w:val="center"/>
                </w:tcPr>
                <w:p w14:paraId="292D7FE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厂界</w:t>
                  </w:r>
                </w:p>
              </w:tc>
              <w:tc>
                <w:tcPr>
                  <w:tcW w:w="478" w:type="pct"/>
                  <w:shd w:val="clear" w:color="auto" w:fill="auto"/>
                  <w:vAlign w:val="center"/>
                </w:tcPr>
                <w:p w14:paraId="5191B01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VOCs</w:t>
                  </w:r>
                </w:p>
              </w:tc>
              <w:tc>
                <w:tcPr>
                  <w:tcW w:w="354" w:type="pct"/>
                  <w:vMerge w:val="restart"/>
                  <w:vAlign w:val="center"/>
                </w:tcPr>
                <w:p w14:paraId="5D1C578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192</w:t>
                  </w:r>
                </w:p>
              </w:tc>
              <w:tc>
                <w:tcPr>
                  <w:tcW w:w="376" w:type="pct"/>
                  <w:vMerge w:val="restart"/>
                  <w:vAlign w:val="center"/>
                </w:tcPr>
                <w:p w14:paraId="2356268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294</w:t>
                  </w:r>
                </w:p>
              </w:tc>
              <w:tc>
                <w:tcPr>
                  <w:tcW w:w="456" w:type="pct"/>
                  <w:vMerge w:val="restart"/>
                  <w:vAlign w:val="center"/>
                </w:tcPr>
                <w:p w14:paraId="3B114FD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w:t>
                  </w:r>
                </w:p>
              </w:tc>
              <w:tc>
                <w:tcPr>
                  <w:tcW w:w="357" w:type="pct"/>
                  <w:vAlign w:val="center"/>
                </w:tcPr>
                <w:p w14:paraId="22304DBC">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0.008</w:t>
                  </w:r>
                </w:p>
              </w:tc>
              <w:tc>
                <w:tcPr>
                  <w:tcW w:w="435" w:type="pct"/>
                  <w:vMerge w:val="restart"/>
                  <w:vAlign w:val="center"/>
                </w:tcPr>
                <w:p w14:paraId="3222F75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加强通风</w:t>
                  </w:r>
                </w:p>
              </w:tc>
              <w:tc>
                <w:tcPr>
                  <w:tcW w:w="304" w:type="pct"/>
                  <w:vMerge w:val="restart"/>
                  <w:vAlign w:val="center"/>
                </w:tcPr>
                <w:p w14:paraId="0277C0D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2400</w:t>
                  </w:r>
                </w:p>
              </w:tc>
              <w:tc>
                <w:tcPr>
                  <w:tcW w:w="504" w:type="pct"/>
                  <w:vAlign w:val="center"/>
                </w:tcPr>
                <w:p w14:paraId="472DB1B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0.003</w:t>
                  </w:r>
                </w:p>
              </w:tc>
              <w:tc>
                <w:tcPr>
                  <w:tcW w:w="415" w:type="pct"/>
                  <w:shd w:val="clear" w:color="auto" w:fill="auto"/>
                  <w:vAlign w:val="center"/>
                </w:tcPr>
                <w:p w14:paraId="3F07FA3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0.008</w:t>
                  </w:r>
                </w:p>
              </w:tc>
              <w:tc>
                <w:tcPr>
                  <w:tcW w:w="509" w:type="pct"/>
                  <w:vAlign w:val="center"/>
                </w:tcPr>
                <w:p w14:paraId="301647E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2.0</w:t>
                  </w:r>
                </w:p>
              </w:tc>
            </w:tr>
            <w:tr w14:paraId="304EE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5" w:type="pct"/>
                  <w:vMerge w:val="continue"/>
                  <w:vAlign w:val="center"/>
                </w:tcPr>
                <w:p w14:paraId="2FBC4F09">
                  <w:pPr>
                    <w:adjustRightInd w:val="0"/>
                    <w:snapToGrid w:val="0"/>
                    <w:jc w:val="center"/>
                    <w:rPr>
                      <w:rFonts w:hint="default" w:ascii="Times New Roman" w:hAnsi="Times New Roman" w:cs="Times New Roman"/>
                      <w:szCs w:val="21"/>
                      <w:highlight w:val="none"/>
                    </w:rPr>
                  </w:pPr>
                </w:p>
              </w:tc>
              <w:tc>
                <w:tcPr>
                  <w:tcW w:w="531" w:type="pct"/>
                  <w:vMerge w:val="continue"/>
                  <w:vAlign w:val="center"/>
                </w:tcPr>
                <w:p w14:paraId="6630D685">
                  <w:pPr>
                    <w:adjustRightInd w:val="0"/>
                    <w:snapToGrid w:val="0"/>
                    <w:jc w:val="center"/>
                    <w:rPr>
                      <w:rFonts w:hint="default" w:ascii="Times New Roman" w:hAnsi="Times New Roman" w:cs="Times New Roman"/>
                      <w:szCs w:val="21"/>
                      <w:highlight w:val="none"/>
                    </w:rPr>
                  </w:pPr>
                </w:p>
              </w:tc>
              <w:tc>
                <w:tcPr>
                  <w:tcW w:w="478" w:type="pct"/>
                  <w:shd w:val="clear" w:color="auto" w:fill="auto"/>
                  <w:vAlign w:val="center"/>
                </w:tcPr>
                <w:p w14:paraId="7AA2ACB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甲醇</w:t>
                  </w:r>
                </w:p>
              </w:tc>
              <w:tc>
                <w:tcPr>
                  <w:tcW w:w="354" w:type="pct"/>
                  <w:vMerge w:val="continue"/>
                  <w:vAlign w:val="center"/>
                </w:tcPr>
                <w:p w14:paraId="4DC9DB9A">
                  <w:pPr>
                    <w:adjustRightInd w:val="0"/>
                    <w:snapToGrid w:val="0"/>
                    <w:jc w:val="center"/>
                    <w:rPr>
                      <w:rFonts w:hint="default" w:ascii="Times New Roman" w:hAnsi="Times New Roman" w:cs="Times New Roman"/>
                      <w:szCs w:val="21"/>
                      <w:highlight w:val="none"/>
                    </w:rPr>
                  </w:pPr>
                </w:p>
              </w:tc>
              <w:tc>
                <w:tcPr>
                  <w:tcW w:w="376" w:type="pct"/>
                  <w:vMerge w:val="continue"/>
                  <w:vAlign w:val="center"/>
                </w:tcPr>
                <w:p w14:paraId="53FA700C">
                  <w:pPr>
                    <w:adjustRightInd w:val="0"/>
                    <w:snapToGrid w:val="0"/>
                    <w:jc w:val="center"/>
                    <w:rPr>
                      <w:rFonts w:hint="default" w:ascii="Times New Roman" w:hAnsi="Times New Roman" w:cs="Times New Roman"/>
                      <w:szCs w:val="21"/>
                      <w:highlight w:val="none"/>
                    </w:rPr>
                  </w:pPr>
                </w:p>
              </w:tc>
              <w:tc>
                <w:tcPr>
                  <w:tcW w:w="456" w:type="pct"/>
                  <w:vMerge w:val="continue"/>
                  <w:vAlign w:val="center"/>
                </w:tcPr>
                <w:p w14:paraId="49A952AD">
                  <w:pPr>
                    <w:adjustRightInd w:val="0"/>
                    <w:snapToGrid w:val="0"/>
                    <w:jc w:val="center"/>
                    <w:rPr>
                      <w:rFonts w:hint="default" w:ascii="Times New Roman" w:hAnsi="Times New Roman" w:cs="Times New Roman"/>
                      <w:szCs w:val="21"/>
                      <w:highlight w:val="none"/>
                    </w:rPr>
                  </w:pPr>
                </w:p>
              </w:tc>
              <w:tc>
                <w:tcPr>
                  <w:tcW w:w="357" w:type="pct"/>
                  <w:vAlign w:val="center"/>
                </w:tcPr>
                <w:p w14:paraId="7FD59A4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0.003</w:t>
                  </w:r>
                </w:p>
              </w:tc>
              <w:tc>
                <w:tcPr>
                  <w:tcW w:w="435" w:type="pct"/>
                  <w:vMerge w:val="continue"/>
                  <w:vAlign w:val="center"/>
                </w:tcPr>
                <w:p w14:paraId="408C710E">
                  <w:pPr>
                    <w:adjustRightInd w:val="0"/>
                    <w:snapToGrid w:val="0"/>
                    <w:jc w:val="center"/>
                    <w:rPr>
                      <w:rFonts w:hint="default" w:ascii="Times New Roman" w:hAnsi="Times New Roman" w:cs="Times New Roman"/>
                      <w:szCs w:val="21"/>
                      <w:highlight w:val="none"/>
                    </w:rPr>
                  </w:pPr>
                </w:p>
              </w:tc>
              <w:tc>
                <w:tcPr>
                  <w:tcW w:w="304" w:type="pct"/>
                  <w:vMerge w:val="continue"/>
                  <w:vAlign w:val="center"/>
                </w:tcPr>
                <w:p w14:paraId="66DA0937">
                  <w:pPr>
                    <w:adjustRightInd w:val="0"/>
                    <w:snapToGrid w:val="0"/>
                    <w:jc w:val="center"/>
                    <w:rPr>
                      <w:rFonts w:hint="default" w:ascii="Times New Roman" w:hAnsi="Times New Roman" w:cs="Times New Roman"/>
                      <w:szCs w:val="21"/>
                      <w:highlight w:val="none"/>
                    </w:rPr>
                  </w:pPr>
                </w:p>
              </w:tc>
              <w:tc>
                <w:tcPr>
                  <w:tcW w:w="504" w:type="pct"/>
                  <w:vAlign w:val="center"/>
                </w:tcPr>
                <w:p w14:paraId="55A068BB">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0.001</w:t>
                  </w:r>
                </w:p>
              </w:tc>
              <w:tc>
                <w:tcPr>
                  <w:tcW w:w="415" w:type="pct"/>
                  <w:shd w:val="clear" w:color="auto" w:fill="auto"/>
                  <w:vAlign w:val="center"/>
                </w:tcPr>
                <w:p w14:paraId="05DEC16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0.003</w:t>
                  </w:r>
                </w:p>
              </w:tc>
              <w:tc>
                <w:tcPr>
                  <w:tcW w:w="509" w:type="pct"/>
                  <w:vAlign w:val="center"/>
                </w:tcPr>
                <w:p w14:paraId="4DAE3C5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12</w:t>
                  </w:r>
                </w:p>
              </w:tc>
            </w:tr>
          </w:tbl>
          <w:p w14:paraId="5EBE57D0">
            <w:pPr>
              <w:pStyle w:val="14"/>
              <w:ind w:firstLine="720" w:firstLineChars="300"/>
              <w:rPr>
                <w:rFonts w:hint="default" w:ascii="Times New Roman" w:hAnsi="Times New Roman" w:cs="Times New Roman"/>
                <w:szCs w:val="21"/>
                <w:highlight w:val="none"/>
              </w:rPr>
            </w:pPr>
          </w:p>
        </w:tc>
      </w:tr>
    </w:tbl>
    <w:p w14:paraId="56E41150">
      <w:pPr>
        <w:spacing w:line="360" w:lineRule="auto"/>
        <w:jc w:val="center"/>
        <w:rPr>
          <w:rFonts w:hint="default" w:ascii="Times New Roman" w:hAnsi="Times New Roman" w:cs="Times New Roman"/>
          <w:bCs/>
          <w:sz w:val="24"/>
          <w:highlight w:val="none"/>
        </w:rPr>
        <w:sectPr>
          <w:pgSz w:w="16840" w:h="11907" w:orient="landscape"/>
          <w:pgMar w:top="1077" w:right="1440" w:bottom="1077" w:left="1440" w:header="851" w:footer="680" w:gutter="0"/>
          <w:cols w:space="720" w:num="1"/>
          <w:docGrid w:linePitch="312" w:charSpace="0"/>
        </w:sectPr>
      </w:pP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9436"/>
      </w:tblGrid>
      <w:tr w14:paraId="40DF9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2" w:hRule="atLeast"/>
          <w:jc w:val="center"/>
        </w:trPr>
        <w:tc>
          <w:tcPr>
            <w:tcW w:w="229" w:type="pct"/>
            <w:shd w:val="clear" w:color="auto" w:fill="FFFFFF"/>
            <w:tcMar>
              <w:left w:w="28" w:type="dxa"/>
              <w:right w:w="28" w:type="dxa"/>
            </w:tcMar>
            <w:vAlign w:val="center"/>
          </w:tcPr>
          <w:p w14:paraId="0678FF69">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运营</w:t>
            </w:r>
          </w:p>
          <w:p w14:paraId="6AEB0E59">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期环</w:t>
            </w:r>
          </w:p>
          <w:p w14:paraId="569256CE">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境影</w:t>
            </w:r>
          </w:p>
          <w:p w14:paraId="4718FB05">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响和</w:t>
            </w:r>
          </w:p>
          <w:p w14:paraId="2462D505">
            <w:pPr>
              <w:spacing w:line="360" w:lineRule="auto"/>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保护</w:t>
            </w:r>
          </w:p>
          <w:p w14:paraId="7E92F15C">
            <w:pPr>
              <w:pStyle w:val="42"/>
              <w:adjustRightInd w:val="0"/>
              <w:snapToGrid w:val="0"/>
              <w:spacing w:before="0" w:beforeAutospacing="0" w:after="0" w:afterAutospacing="0"/>
              <w:jc w:val="center"/>
              <w:rPr>
                <w:rFonts w:hint="default" w:ascii="Times New Roman" w:hAnsi="Times New Roman" w:cs="Times New Roman"/>
                <w:bCs/>
                <w:color w:val="000000"/>
                <w:highlight w:val="none"/>
              </w:rPr>
            </w:pPr>
            <w:r>
              <w:rPr>
                <w:rFonts w:hint="default" w:ascii="Times New Roman" w:hAnsi="Times New Roman" w:cs="Times New Roman"/>
                <w:bCs/>
                <w:color w:val="000000"/>
                <w:highlight w:val="none"/>
              </w:rPr>
              <w:t>措施</w:t>
            </w:r>
          </w:p>
          <w:p w14:paraId="664260BD">
            <w:pPr>
              <w:spacing w:line="360" w:lineRule="auto"/>
              <w:jc w:val="center"/>
              <w:rPr>
                <w:rFonts w:hint="default" w:ascii="Times New Roman" w:hAnsi="Times New Roman" w:cs="Times New Roman"/>
                <w:bCs/>
                <w:color w:val="000000"/>
                <w:sz w:val="24"/>
                <w:highlight w:val="none"/>
              </w:rPr>
            </w:pPr>
          </w:p>
        </w:tc>
        <w:tc>
          <w:tcPr>
            <w:tcW w:w="4770" w:type="pct"/>
            <w:shd w:val="clear" w:color="auto" w:fill="FFFFFF"/>
            <w:vAlign w:val="center"/>
          </w:tcPr>
          <w:p w14:paraId="1B86187E">
            <w:pPr>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2、源强核算过程</w:t>
            </w:r>
          </w:p>
          <w:p w14:paraId="0266477C">
            <w:pPr>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（1）有组织废气</w:t>
            </w:r>
          </w:p>
          <w:p w14:paraId="28D10BE2">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①储罐大小呼吸废气：</w:t>
            </w:r>
          </w:p>
          <w:p w14:paraId="76C19A8B">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A、小呼吸排放量</w:t>
            </w:r>
          </w:p>
          <w:p w14:paraId="7C52B53D">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小呼吸排放是由于温度和大气压力的变化引起蒸汽的膨胀和收缩而产生的蒸汽排出，它出现在罐内液面无任何变化的情况下，是非人为干扰的自然排放方式。</w:t>
            </w:r>
          </w:p>
          <w:p w14:paraId="0BFFD0FC">
            <w:pPr>
              <w:spacing w:line="360" w:lineRule="auto"/>
              <w:ind w:firstLine="420" w:firstLineChars="200"/>
              <w:rPr>
                <w:rFonts w:hint="default" w:ascii="Times New Roman" w:hAnsi="Times New Roman" w:cs="Times New Roman"/>
                <w:color w:val="000000"/>
                <w:sz w:val="24"/>
                <w:highlight w:val="none"/>
              </w:rPr>
            </w:pPr>
            <w:r>
              <w:rPr>
                <w:rFonts w:hint="default" w:ascii="Times New Roman" w:hAnsi="Times New Roman" w:cs="Times New Roman"/>
                <w:highlight w:val="none"/>
              </w:rPr>
              <w:drawing>
                <wp:inline distT="0" distB="0" distL="114300" distR="114300">
                  <wp:extent cx="4867275" cy="228600"/>
                  <wp:effectExtent l="0" t="0" r="9525" b="0"/>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26"/>
                          <a:stretch>
                            <a:fillRect/>
                          </a:stretch>
                        </pic:blipFill>
                        <pic:spPr>
                          <a:xfrm>
                            <a:off x="0" y="0"/>
                            <a:ext cx="4867275" cy="228600"/>
                          </a:xfrm>
                          <a:prstGeom prst="rect">
                            <a:avLst/>
                          </a:prstGeom>
                          <a:noFill/>
                          <a:ln>
                            <a:noFill/>
                          </a:ln>
                        </pic:spPr>
                      </pic:pic>
                    </a:graphicData>
                  </a:graphic>
                </wp:inline>
              </w:drawing>
            </w:r>
          </w:p>
          <w:p w14:paraId="700115B5">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式中：LB—储罐的呼吸排放量（kg/a）；</w:t>
            </w:r>
          </w:p>
          <w:p w14:paraId="74AAA980">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M—储罐内蒸汽的分子量；</w:t>
            </w:r>
          </w:p>
          <w:p w14:paraId="5235914E">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P—在大量液体状态下，真实的蒸气压力（kPa）；</w:t>
            </w:r>
          </w:p>
          <w:p w14:paraId="6C143646">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D—罐的直径（m）；</w:t>
            </w:r>
          </w:p>
          <w:p w14:paraId="5E730C92">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H—平均蒸汽空间高度（m）；</w:t>
            </w:r>
          </w:p>
          <w:p w14:paraId="7EB621AA">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ΔT—一天之内的平均温度差（℃），由于储罐为120℃恒温储罐，△T取值为0；</w:t>
            </w:r>
          </w:p>
          <w:p w14:paraId="2C3674CA">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FP—涂层因子（无量纲）；根据油漆状况取值在1～1.5之间，本次取1.3；</w:t>
            </w:r>
          </w:p>
          <w:p w14:paraId="402B30F1">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C—用于小直径罐的调节因子（无量纲）；直径在0～9m之间的罐体，C=1-0.0123（D-9）2；罐径大于9m的C=1；</w:t>
            </w:r>
          </w:p>
          <w:p w14:paraId="540152EF">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KC—产品因子（石油原油KC取0.65；其他的有机液体取1.0）；</w:t>
            </w:r>
          </w:p>
          <w:p w14:paraId="51D77C4E">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B、大呼吸排放量</w:t>
            </w:r>
          </w:p>
          <w:p w14:paraId="52C8A23D">
            <w:pPr>
              <w:spacing w:line="360" w:lineRule="auto"/>
              <w:ind w:firstLine="420" w:firstLineChars="200"/>
              <w:rPr>
                <w:rFonts w:hint="default" w:ascii="Times New Roman" w:hAnsi="Times New Roman" w:cs="Times New Roman"/>
                <w:color w:val="000000"/>
                <w:sz w:val="24"/>
                <w:highlight w:val="none"/>
              </w:rPr>
            </w:pPr>
            <w:r>
              <w:rPr>
                <w:rFonts w:hint="default" w:ascii="Times New Roman" w:hAnsi="Times New Roman" w:cs="Times New Roman"/>
                <w:highlight w:val="none"/>
              </w:rPr>
              <w:drawing>
                <wp:inline distT="0" distB="0" distL="114300" distR="114300">
                  <wp:extent cx="2619375" cy="352425"/>
                  <wp:effectExtent l="0" t="0" r="9525" b="9525"/>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27"/>
                          <a:stretch>
                            <a:fillRect/>
                          </a:stretch>
                        </pic:blipFill>
                        <pic:spPr>
                          <a:xfrm>
                            <a:off x="0" y="0"/>
                            <a:ext cx="2619375" cy="352425"/>
                          </a:xfrm>
                          <a:prstGeom prst="rect">
                            <a:avLst/>
                          </a:prstGeom>
                          <a:noFill/>
                          <a:ln>
                            <a:noFill/>
                          </a:ln>
                        </pic:spPr>
                      </pic:pic>
                    </a:graphicData>
                  </a:graphic>
                </wp:inline>
              </w:drawing>
            </w:r>
          </w:p>
          <w:p w14:paraId="7604D932">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式中：LW—固定储罐的工作损失（kg/m</w:t>
            </w:r>
            <w:r>
              <w:rPr>
                <w:rFonts w:hint="default" w:ascii="Times New Roman" w:hAnsi="Times New Roman" w:cs="Times New Roman"/>
                <w:color w:val="000000"/>
                <w:sz w:val="24"/>
                <w:highlight w:val="none"/>
                <w:vertAlign w:val="superscript"/>
              </w:rPr>
              <w:t>3</w:t>
            </w:r>
            <w:r>
              <w:rPr>
                <w:rFonts w:hint="default" w:ascii="Times New Roman" w:hAnsi="Times New Roman" w:cs="Times New Roman"/>
                <w:color w:val="000000"/>
                <w:sz w:val="24"/>
                <w:highlight w:val="none"/>
              </w:rPr>
              <w:t>投入量）；</w:t>
            </w:r>
          </w:p>
          <w:p w14:paraId="330D479B">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M—储罐内蒸气的分子量；</w:t>
            </w:r>
          </w:p>
          <w:p w14:paraId="1F80C347">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P—在大量液体状态下，真实的蒸气压力（Pa）；</w:t>
            </w:r>
          </w:p>
          <w:p w14:paraId="29D03696">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KN—周转因子（无量纲），取值按年周转次数（K=年投入量/罐容量）确定。K≤36，KN=1；36&lt;K≤220，KN=11.467×K-0.7026；K&gt;220，KN=0.26；</w:t>
            </w:r>
          </w:p>
          <w:p w14:paraId="33CAF062">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KC—产品因子（石油原油KC取0.65，其他的有机液体取1.0）；</w:t>
            </w:r>
          </w:p>
          <w:p w14:paraId="0B74BBEB">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大小呼吸废气计算参数见表4-6，罐区废气污染物产生情况见表4-7。</w:t>
            </w:r>
          </w:p>
          <w:p w14:paraId="1859D175">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表4-6  项目固定储罐呼吸气计算参数一览表</w:t>
            </w:r>
          </w:p>
          <w:tbl>
            <w:tblPr>
              <w:tblStyle w:val="46"/>
              <w:tblW w:w="9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7"/>
              <w:gridCol w:w="1887"/>
              <w:gridCol w:w="796"/>
              <w:gridCol w:w="1049"/>
              <w:gridCol w:w="1373"/>
              <w:gridCol w:w="629"/>
              <w:gridCol w:w="530"/>
              <w:gridCol w:w="615"/>
              <w:gridCol w:w="717"/>
              <w:gridCol w:w="927"/>
            </w:tblGrid>
            <w:tr w14:paraId="4A97E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584" w:type="dxa"/>
                  <w:gridSpan w:val="2"/>
                  <w:vAlign w:val="center"/>
                </w:tcPr>
                <w:p w14:paraId="48C539FD">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储罐呼吸</w:t>
                  </w:r>
                </w:p>
              </w:tc>
              <w:tc>
                <w:tcPr>
                  <w:tcW w:w="6636" w:type="dxa"/>
                  <w:gridSpan w:val="8"/>
                  <w:vAlign w:val="center"/>
                </w:tcPr>
                <w:p w14:paraId="514E797F">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计算参数</w:t>
                  </w:r>
                </w:p>
              </w:tc>
            </w:tr>
            <w:tr w14:paraId="41643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restart"/>
                  <w:vAlign w:val="center"/>
                </w:tcPr>
                <w:p w14:paraId="41973E88">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大呼吸</w:t>
                  </w:r>
                </w:p>
              </w:tc>
              <w:tc>
                <w:tcPr>
                  <w:tcW w:w="1887" w:type="dxa"/>
                  <w:vAlign w:val="center"/>
                </w:tcPr>
                <w:p w14:paraId="6246B960">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名称</w:t>
                  </w:r>
                </w:p>
              </w:tc>
              <w:tc>
                <w:tcPr>
                  <w:tcW w:w="796" w:type="dxa"/>
                  <w:vAlign w:val="center"/>
                </w:tcPr>
                <w:p w14:paraId="4E428D23">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M</w:t>
                  </w:r>
                </w:p>
              </w:tc>
              <w:tc>
                <w:tcPr>
                  <w:tcW w:w="1049" w:type="dxa"/>
                  <w:vAlign w:val="center"/>
                </w:tcPr>
                <w:p w14:paraId="6A2D5BD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P（kPa）</w:t>
                  </w:r>
                </w:p>
              </w:tc>
              <w:tc>
                <w:tcPr>
                  <w:tcW w:w="1373" w:type="dxa"/>
                  <w:vAlign w:val="center"/>
                </w:tcPr>
                <w:p w14:paraId="6928548A">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K</w:t>
                  </w:r>
                  <w:r>
                    <w:rPr>
                      <w:rFonts w:hint="default" w:ascii="Times New Roman" w:hAnsi="Times New Roman" w:cs="Times New Roman"/>
                      <w:color w:val="000000"/>
                      <w:highlight w:val="none"/>
                      <w:vertAlign w:val="subscript"/>
                      <w:lang w:val="en-US"/>
                    </w:rPr>
                    <w:t>N</w:t>
                  </w:r>
                </w:p>
              </w:tc>
              <w:tc>
                <w:tcPr>
                  <w:tcW w:w="629" w:type="dxa"/>
                  <w:vAlign w:val="center"/>
                </w:tcPr>
                <w:p w14:paraId="4B401663">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K</w:t>
                  </w:r>
                  <w:r>
                    <w:rPr>
                      <w:rFonts w:hint="default" w:ascii="Times New Roman" w:hAnsi="Times New Roman" w:cs="Times New Roman"/>
                      <w:color w:val="000000"/>
                      <w:highlight w:val="none"/>
                      <w:vertAlign w:val="subscript"/>
                      <w:lang w:val="en-US"/>
                    </w:rPr>
                    <w:t>C</w:t>
                  </w:r>
                </w:p>
              </w:tc>
              <w:tc>
                <w:tcPr>
                  <w:tcW w:w="1145" w:type="dxa"/>
                  <w:gridSpan w:val="2"/>
                  <w:vAlign w:val="center"/>
                </w:tcPr>
                <w:p w14:paraId="74A7AF2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投入量m</w:t>
                  </w:r>
                  <w:r>
                    <w:rPr>
                      <w:rFonts w:hint="default" w:ascii="Times New Roman" w:hAnsi="Times New Roman" w:cs="Times New Roman"/>
                      <w:color w:val="000000"/>
                      <w:highlight w:val="none"/>
                      <w:vertAlign w:val="superscript"/>
                      <w:lang w:val="en-US"/>
                    </w:rPr>
                    <w:t>3</w:t>
                  </w:r>
                </w:p>
              </w:tc>
              <w:tc>
                <w:tcPr>
                  <w:tcW w:w="717" w:type="dxa"/>
                  <w:vAlign w:val="center"/>
                </w:tcPr>
                <w:p w14:paraId="5FF7472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2C728BA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3DEB4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3C363A85">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076FD909">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500m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丁二醇储罐</w:t>
                  </w:r>
                </w:p>
              </w:tc>
              <w:tc>
                <w:tcPr>
                  <w:tcW w:w="796" w:type="dxa"/>
                  <w:shd w:val="clear" w:color="auto" w:fill="auto"/>
                  <w:vAlign w:val="center"/>
                </w:tcPr>
                <w:p w14:paraId="68E5E424">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90</w:t>
                  </w:r>
                </w:p>
              </w:tc>
              <w:tc>
                <w:tcPr>
                  <w:tcW w:w="1049" w:type="dxa"/>
                  <w:shd w:val="clear" w:color="auto" w:fill="auto"/>
                  <w:vAlign w:val="center"/>
                </w:tcPr>
                <w:p w14:paraId="566E29EB">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0.008</w:t>
                  </w:r>
                </w:p>
              </w:tc>
              <w:tc>
                <w:tcPr>
                  <w:tcW w:w="1373" w:type="dxa"/>
                  <w:vAlign w:val="center"/>
                </w:tcPr>
                <w:p w14:paraId="5B4B0B5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629" w:type="dxa"/>
                  <w:vAlign w:val="center"/>
                </w:tcPr>
                <w:p w14:paraId="68FEE2D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c>
                <w:tcPr>
                  <w:tcW w:w="1145" w:type="dxa"/>
                  <w:gridSpan w:val="2"/>
                  <w:shd w:val="clear" w:color="auto" w:fill="auto"/>
                  <w:vAlign w:val="center"/>
                </w:tcPr>
                <w:p w14:paraId="15506071">
                  <w:pPr>
                    <w:widowControl/>
                    <w:jc w:val="center"/>
                    <w:textAlignment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300</w:t>
                  </w:r>
                </w:p>
              </w:tc>
              <w:tc>
                <w:tcPr>
                  <w:tcW w:w="717" w:type="dxa"/>
                  <w:vAlign w:val="center"/>
                </w:tcPr>
                <w:p w14:paraId="479093D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108448D8">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17415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051A9F14">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69558626">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乙酸储罐</w:t>
                  </w:r>
                </w:p>
              </w:tc>
              <w:tc>
                <w:tcPr>
                  <w:tcW w:w="796" w:type="dxa"/>
                  <w:shd w:val="clear" w:color="auto" w:fill="auto"/>
                  <w:vAlign w:val="center"/>
                </w:tcPr>
                <w:p w14:paraId="11084F60">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60</w:t>
                  </w:r>
                </w:p>
              </w:tc>
              <w:tc>
                <w:tcPr>
                  <w:tcW w:w="1049" w:type="dxa"/>
                  <w:shd w:val="clear" w:color="auto" w:fill="auto"/>
                  <w:vAlign w:val="center"/>
                </w:tcPr>
                <w:p w14:paraId="06D9DB1D">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1.52</w:t>
                  </w:r>
                </w:p>
              </w:tc>
              <w:tc>
                <w:tcPr>
                  <w:tcW w:w="1373" w:type="dxa"/>
                  <w:vAlign w:val="center"/>
                </w:tcPr>
                <w:p w14:paraId="6EB794B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629" w:type="dxa"/>
                  <w:vAlign w:val="center"/>
                </w:tcPr>
                <w:p w14:paraId="13D11EA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c>
                <w:tcPr>
                  <w:tcW w:w="1145" w:type="dxa"/>
                  <w:gridSpan w:val="2"/>
                  <w:shd w:val="clear" w:color="auto" w:fill="auto"/>
                  <w:vAlign w:val="center"/>
                </w:tcPr>
                <w:p w14:paraId="5890BA90">
                  <w:pPr>
                    <w:widowControl/>
                    <w:jc w:val="center"/>
                    <w:textAlignment w:val="center"/>
                    <w:rPr>
                      <w:rFonts w:hint="default" w:ascii="Times New Roman" w:hAnsi="Times New Roman" w:eastAsia="宋体" w:cs="Times New Roman"/>
                      <w:color w:val="000000"/>
                      <w:kern w:val="0"/>
                      <w:szCs w:val="21"/>
                      <w:highlight w:val="none"/>
                      <w:lang w:val="en-US" w:eastAsia="zh-CN" w:bidi="ar"/>
                    </w:rPr>
                  </w:pPr>
                  <w:r>
                    <w:rPr>
                      <w:rFonts w:hint="eastAsia" w:cs="Times New Roman"/>
                      <w:color w:val="000000"/>
                      <w:kern w:val="0"/>
                      <w:szCs w:val="21"/>
                      <w:highlight w:val="none"/>
                      <w:lang w:val="en-US" w:eastAsia="zh-CN" w:bidi="ar"/>
                    </w:rPr>
                    <w:t>800</w:t>
                  </w:r>
                </w:p>
              </w:tc>
              <w:tc>
                <w:tcPr>
                  <w:tcW w:w="717" w:type="dxa"/>
                  <w:vAlign w:val="center"/>
                </w:tcPr>
                <w:p w14:paraId="4352095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3D3E39EF">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19675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40B53D4D">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03FD99EE">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甲醇</w:t>
                  </w:r>
                  <w:r>
                    <w:rPr>
                      <w:rFonts w:hint="default" w:ascii="Times New Roman" w:hAnsi="Times New Roman" w:cs="Times New Roman"/>
                      <w:szCs w:val="21"/>
                      <w:highlight w:val="none"/>
                      <w:lang w:eastAsia="zh-CN"/>
                    </w:rPr>
                    <w:t>储罐</w:t>
                  </w:r>
                </w:p>
              </w:tc>
              <w:tc>
                <w:tcPr>
                  <w:tcW w:w="796" w:type="dxa"/>
                  <w:shd w:val="clear" w:color="auto" w:fill="auto"/>
                  <w:vAlign w:val="center"/>
                </w:tcPr>
                <w:p w14:paraId="3306E29A">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32</w:t>
                  </w:r>
                </w:p>
              </w:tc>
              <w:tc>
                <w:tcPr>
                  <w:tcW w:w="1049" w:type="dxa"/>
                  <w:shd w:val="clear" w:color="auto" w:fill="auto"/>
                  <w:vAlign w:val="center"/>
                </w:tcPr>
                <w:p w14:paraId="2A300F0E">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12.3</w:t>
                  </w:r>
                </w:p>
              </w:tc>
              <w:tc>
                <w:tcPr>
                  <w:tcW w:w="1373" w:type="dxa"/>
                  <w:vAlign w:val="center"/>
                </w:tcPr>
                <w:p w14:paraId="10BE4F2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629" w:type="dxa"/>
                  <w:vAlign w:val="center"/>
                </w:tcPr>
                <w:p w14:paraId="6FEF2E15">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c>
                <w:tcPr>
                  <w:tcW w:w="1145" w:type="dxa"/>
                  <w:gridSpan w:val="2"/>
                  <w:shd w:val="clear" w:color="auto" w:fill="auto"/>
                  <w:vAlign w:val="center"/>
                </w:tcPr>
                <w:p w14:paraId="45C7CE32">
                  <w:pPr>
                    <w:widowControl/>
                    <w:jc w:val="center"/>
                    <w:textAlignment w:val="center"/>
                    <w:rPr>
                      <w:rFonts w:hint="default" w:ascii="Times New Roman" w:hAnsi="Times New Roman" w:eastAsia="宋体" w:cs="Times New Roman"/>
                      <w:color w:val="000000"/>
                      <w:kern w:val="0"/>
                      <w:szCs w:val="21"/>
                      <w:highlight w:val="none"/>
                      <w:lang w:val="en-US" w:eastAsia="zh-CN" w:bidi="ar"/>
                    </w:rPr>
                  </w:pPr>
                  <w:r>
                    <w:rPr>
                      <w:rFonts w:hint="eastAsia" w:cs="Times New Roman"/>
                      <w:color w:val="000000"/>
                      <w:kern w:val="0"/>
                      <w:szCs w:val="21"/>
                      <w:highlight w:val="none"/>
                      <w:lang w:val="en-US" w:eastAsia="zh-CN" w:bidi="ar"/>
                    </w:rPr>
                    <w:t>3000</w:t>
                  </w:r>
                </w:p>
              </w:tc>
              <w:tc>
                <w:tcPr>
                  <w:tcW w:w="717" w:type="dxa"/>
                  <w:vAlign w:val="center"/>
                </w:tcPr>
                <w:p w14:paraId="1D3E23AA">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73EAFFE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1A0CC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2C04ADB7">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4A890B77">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乙醇储罐</w:t>
                  </w:r>
                </w:p>
              </w:tc>
              <w:tc>
                <w:tcPr>
                  <w:tcW w:w="796" w:type="dxa"/>
                  <w:shd w:val="clear" w:color="auto" w:fill="auto"/>
                  <w:vAlign w:val="center"/>
                </w:tcPr>
                <w:p w14:paraId="0689A0BC">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46</w:t>
                  </w:r>
                </w:p>
              </w:tc>
              <w:tc>
                <w:tcPr>
                  <w:tcW w:w="1049" w:type="dxa"/>
                  <w:shd w:val="clear" w:color="auto" w:fill="auto"/>
                  <w:vAlign w:val="center"/>
                </w:tcPr>
                <w:p w14:paraId="68E8113B">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5.7</w:t>
                  </w:r>
                </w:p>
              </w:tc>
              <w:tc>
                <w:tcPr>
                  <w:tcW w:w="1373" w:type="dxa"/>
                  <w:vAlign w:val="center"/>
                </w:tcPr>
                <w:p w14:paraId="29E9E278">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629" w:type="dxa"/>
                  <w:vAlign w:val="center"/>
                </w:tcPr>
                <w:p w14:paraId="0CA1EDDD">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c>
                <w:tcPr>
                  <w:tcW w:w="1145" w:type="dxa"/>
                  <w:gridSpan w:val="2"/>
                  <w:shd w:val="clear" w:color="auto" w:fill="auto"/>
                  <w:vAlign w:val="center"/>
                </w:tcPr>
                <w:p w14:paraId="3B2EE9B6">
                  <w:pPr>
                    <w:widowControl/>
                    <w:jc w:val="center"/>
                    <w:textAlignment w:val="center"/>
                    <w:rPr>
                      <w:rFonts w:hint="default" w:ascii="Times New Roman" w:hAnsi="Times New Roman" w:eastAsia="宋体" w:cs="Times New Roman"/>
                      <w:color w:val="000000"/>
                      <w:kern w:val="0"/>
                      <w:szCs w:val="21"/>
                      <w:highlight w:val="none"/>
                      <w:lang w:val="en-US" w:eastAsia="zh-CN" w:bidi="ar"/>
                    </w:rPr>
                  </w:pPr>
                  <w:r>
                    <w:rPr>
                      <w:rFonts w:hint="eastAsia" w:cs="Times New Roman"/>
                      <w:color w:val="000000"/>
                      <w:kern w:val="0"/>
                      <w:szCs w:val="21"/>
                      <w:highlight w:val="none"/>
                      <w:lang w:val="en-US" w:eastAsia="zh-CN" w:bidi="ar"/>
                    </w:rPr>
                    <w:t>800</w:t>
                  </w:r>
                </w:p>
              </w:tc>
              <w:tc>
                <w:tcPr>
                  <w:tcW w:w="717" w:type="dxa"/>
                  <w:vAlign w:val="center"/>
                </w:tcPr>
                <w:p w14:paraId="11C8CE53">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5FA00C82">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5393D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772AA5BA">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3A24D6D8">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丙二醇储罐</w:t>
                  </w:r>
                </w:p>
              </w:tc>
              <w:tc>
                <w:tcPr>
                  <w:tcW w:w="796" w:type="dxa"/>
                  <w:shd w:val="clear" w:color="auto" w:fill="auto"/>
                  <w:vAlign w:val="center"/>
                </w:tcPr>
                <w:p w14:paraId="3252E321">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76</w:t>
                  </w:r>
                </w:p>
              </w:tc>
              <w:tc>
                <w:tcPr>
                  <w:tcW w:w="1049" w:type="dxa"/>
                  <w:shd w:val="clear" w:color="auto" w:fill="auto"/>
                  <w:vAlign w:val="center"/>
                </w:tcPr>
                <w:p w14:paraId="30E0277B">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0.01</w:t>
                  </w:r>
                </w:p>
              </w:tc>
              <w:tc>
                <w:tcPr>
                  <w:tcW w:w="1373" w:type="dxa"/>
                  <w:shd w:val="clear" w:color="auto" w:fill="auto"/>
                  <w:vAlign w:val="center"/>
                </w:tcPr>
                <w:p w14:paraId="22575FE5">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629" w:type="dxa"/>
                  <w:shd w:val="clear" w:color="auto" w:fill="auto"/>
                  <w:vAlign w:val="center"/>
                </w:tcPr>
                <w:p w14:paraId="0D068F3D">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c>
                <w:tcPr>
                  <w:tcW w:w="1145" w:type="dxa"/>
                  <w:gridSpan w:val="2"/>
                  <w:shd w:val="clear" w:color="auto" w:fill="auto"/>
                  <w:vAlign w:val="center"/>
                </w:tcPr>
                <w:p w14:paraId="4FB1CFBB">
                  <w:pPr>
                    <w:widowControl/>
                    <w:jc w:val="center"/>
                    <w:textAlignment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300</w:t>
                  </w:r>
                </w:p>
              </w:tc>
              <w:tc>
                <w:tcPr>
                  <w:tcW w:w="717" w:type="dxa"/>
                  <w:vAlign w:val="center"/>
                </w:tcPr>
                <w:p w14:paraId="737B181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54581E6B">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3F150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699E67BB">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7CFE716F">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丙三醇储罐</w:t>
                  </w:r>
                </w:p>
              </w:tc>
              <w:tc>
                <w:tcPr>
                  <w:tcW w:w="796" w:type="dxa"/>
                  <w:shd w:val="clear" w:color="auto" w:fill="auto"/>
                  <w:vAlign w:val="center"/>
                </w:tcPr>
                <w:p w14:paraId="48529CDF">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92</w:t>
                  </w:r>
                </w:p>
              </w:tc>
              <w:tc>
                <w:tcPr>
                  <w:tcW w:w="1049" w:type="dxa"/>
                  <w:shd w:val="clear" w:color="auto" w:fill="auto"/>
                  <w:vAlign w:val="center"/>
                </w:tcPr>
                <w:p w14:paraId="2458E012">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0.4</w:t>
                  </w:r>
                </w:p>
              </w:tc>
              <w:tc>
                <w:tcPr>
                  <w:tcW w:w="1373" w:type="dxa"/>
                  <w:vAlign w:val="center"/>
                </w:tcPr>
                <w:p w14:paraId="0098C9D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629" w:type="dxa"/>
                  <w:vAlign w:val="center"/>
                </w:tcPr>
                <w:p w14:paraId="0083F289">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c>
                <w:tcPr>
                  <w:tcW w:w="1145" w:type="dxa"/>
                  <w:gridSpan w:val="2"/>
                  <w:shd w:val="clear" w:color="auto" w:fill="auto"/>
                  <w:vAlign w:val="center"/>
                </w:tcPr>
                <w:p w14:paraId="60FC1270">
                  <w:pPr>
                    <w:widowControl/>
                    <w:jc w:val="center"/>
                    <w:textAlignment w:val="center"/>
                    <w:rPr>
                      <w:rFonts w:hint="default" w:ascii="Times New Roman" w:hAnsi="Times New Roman" w:eastAsia="宋体" w:cs="Times New Roman"/>
                      <w:color w:val="000000"/>
                      <w:kern w:val="0"/>
                      <w:szCs w:val="21"/>
                      <w:highlight w:val="none"/>
                      <w:lang w:val="en-US" w:eastAsia="zh-CN" w:bidi="ar"/>
                    </w:rPr>
                  </w:pPr>
                  <w:r>
                    <w:rPr>
                      <w:rFonts w:hint="eastAsia" w:cs="Times New Roman"/>
                      <w:color w:val="000000"/>
                      <w:kern w:val="0"/>
                      <w:szCs w:val="21"/>
                      <w:highlight w:val="none"/>
                      <w:lang w:val="en-US" w:eastAsia="zh-CN" w:bidi="ar"/>
                    </w:rPr>
                    <w:t>300</w:t>
                  </w:r>
                </w:p>
              </w:tc>
              <w:tc>
                <w:tcPr>
                  <w:tcW w:w="717" w:type="dxa"/>
                  <w:vAlign w:val="center"/>
                </w:tcPr>
                <w:p w14:paraId="415C3F85">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0AFDA0F8">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26559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23CC3627">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6C4637CE">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正丁醇</w:t>
                  </w:r>
                  <w:r>
                    <w:rPr>
                      <w:rFonts w:hint="default" w:ascii="Times New Roman" w:hAnsi="Times New Roman" w:cs="Times New Roman"/>
                      <w:szCs w:val="21"/>
                      <w:highlight w:val="none"/>
                      <w:lang w:eastAsia="zh-CN"/>
                    </w:rPr>
                    <w:t>储罐</w:t>
                  </w:r>
                </w:p>
              </w:tc>
              <w:tc>
                <w:tcPr>
                  <w:tcW w:w="796" w:type="dxa"/>
                  <w:vAlign w:val="center"/>
                </w:tcPr>
                <w:p w14:paraId="5CD7B82B">
                  <w:pPr>
                    <w:pStyle w:val="283"/>
                    <w:rPr>
                      <w:rFonts w:hint="default"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74</w:t>
                  </w:r>
                </w:p>
              </w:tc>
              <w:tc>
                <w:tcPr>
                  <w:tcW w:w="1049" w:type="dxa"/>
                  <w:vAlign w:val="center"/>
                </w:tcPr>
                <w:p w14:paraId="5AC13DD5">
                  <w:pPr>
                    <w:pStyle w:val="283"/>
                    <w:rPr>
                      <w:rFonts w:hint="default"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0.82</w:t>
                  </w:r>
                </w:p>
              </w:tc>
              <w:tc>
                <w:tcPr>
                  <w:tcW w:w="1373" w:type="dxa"/>
                  <w:vAlign w:val="center"/>
                </w:tcPr>
                <w:p w14:paraId="426E0A04">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629" w:type="dxa"/>
                  <w:vAlign w:val="center"/>
                </w:tcPr>
                <w:p w14:paraId="12831C0A">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c>
                <w:tcPr>
                  <w:tcW w:w="1145" w:type="dxa"/>
                  <w:gridSpan w:val="2"/>
                  <w:shd w:val="clear" w:color="auto" w:fill="auto"/>
                  <w:vAlign w:val="center"/>
                </w:tcPr>
                <w:p w14:paraId="4AD76447">
                  <w:pPr>
                    <w:widowControl/>
                    <w:jc w:val="center"/>
                    <w:textAlignment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300</w:t>
                  </w:r>
                </w:p>
              </w:tc>
              <w:tc>
                <w:tcPr>
                  <w:tcW w:w="717" w:type="dxa"/>
                  <w:vAlign w:val="center"/>
                </w:tcPr>
                <w:p w14:paraId="442EDDEC">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55047050">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7395C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3C474505">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152F9A79">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异丁醇</w:t>
                  </w:r>
                  <w:r>
                    <w:rPr>
                      <w:rFonts w:hint="default" w:ascii="Times New Roman" w:hAnsi="Times New Roman" w:cs="Times New Roman"/>
                      <w:szCs w:val="21"/>
                      <w:highlight w:val="none"/>
                      <w:lang w:eastAsia="zh-CN"/>
                    </w:rPr>
                    <w:t>储罐</w:t>
                  </w:r>
                </w:p>
              </w:tc>
              <w:tc>
                <w:tcPr>
                  <w:tcW w:w="796" w:type="dxa"/>
                  <w:vAlign w:val="center"/>
                </w:tcPr>
                <w:p w14:paraId="5E45DCA3">
                  <w:pPr>
                    <w:pStyle w:val="283"/>
                    <w:rPr>
                      <w:rFonts w:hint="default"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74</w:t>
                  </w:r>
                </w:p>
              </w:tc>
              <w:tc>
                <w:tcPr>
                  <w:tcW w:w="1049" w:type="dxa"/>
                  <w:vAlign w:val="center"/>
                </w:tcPr>
                <w:p w14:paraId="392E3A66">
                  <w:pPr>
                    <w:pStyle w:val="283"/>
                    <w:rPr>
                      <w:rFonts w:hint="default"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1.17</w:t>
                  </w:r>
                </w:p>
              </w:tc>
              <w:tc>
                <w:tcPr>
                  <w:tcW w:w="1373" w:type="dxa"/>
                  <w:vAlign w:val="center"/>
                </w:tcPr>
                <w:p w14:paraId="3D83251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629" w:type="dxa"/>
                  <w:vAlign w:val="center"/>
                </w:tcPr>
                <w:p w14:paraId="6B32822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c>
                <w:tcPr>
                  <w:tcW w:w="1145" w:type="dxa"/>
                  <w:gridSpan w:val="2"/>
                  <w:shd w:val="clear" w:color="auto" w:fill="auto"/>
                  <w:vAlign w:val="center"/>
                </w:tcPr>
                <w:p w14:paraId="0BB7DEC0">
                  <w:pPr>
                    <w:widowControl/>
                    <w:jc w:val="center"/>
                    <w:textAlignment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300</w:t>
                  </w:r>
                </w:p>
              </w:tc>
              <w:tc>
                <w:tcPr>
                  <w:tcW w:w="717" w:type="dxa"/>
                  <w:vAlign w:val="center"/>
                </w:tcPr>
                <w:p w14:paraId="27E9117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334EDD8A">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110E8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5414826C">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31DC5728">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正己烷</w:t>
                  </w:r>
                  <w:r>
                    <w:rPr>
                      <w:rFonts w:hint="default" w:ascii="Times New Roman" w:hAnsi="Times New Roman" w:cs="Times New Roman"/>
                      <w:szCs w:val="21"/>
                      <w:highlight w:val="none"/>
                      <w:lang w:eastAsia="zh-CN"/>
                    </w:rPr>
                    <w:t>储罐</w:t>
                  </w:r>
                </w:p>
              </w:tc>
              <w:tc>
                <w:tcPr>
                  <w:tcW w:w="796" w:type="dxa"/>
                  <w:shd w:val="clear" w:color="auto" w:fill="auto"/>
                  <w:vAlign w:val="center"/>
                </w:tcPr>
                <w:p w14:paraId="6D085EEA">
                  <w:pPr>
                    <w:pStyle w:val="283"/>
                    <w:rPr>
                      <w:rFonts w:hint="default"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86</w:t>
                  </w:r>
                </w:p>
              </w:tc>
              <w:tc>
                <w:tcPr>
                  <w:tcW w:w="1049" w:type="dxa"/>
                  <w:shd w:val="clear" w:color="auto" w:fill="auto"/>
                  <w:vAlign w:val="center"/>
                </w:tcPr>
                <w:p w14:paraId="752E187D">
                  <w:pPr>
                    <w:pStyle w:val="283"/>
                    <w:rPr>
                      <w:rFonts w:hint="default"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17</w:t>
                  </w:r>
                </w:p>
              </w:tc>
              <w:tc>
                <w:tcPr>
                  <w:tcW w:w="1373" w:type="dxa"/>
                  <w:shd w:val="clear" w:color="auto" w:fill="auto"/>
                  <w:vAlign w:val="center"/>
                </w:tcPr>
                <w:p w14:paraId="046E5964">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629" w:type="dxa"/>
                  <w:shd w:val="clear" w:color="auto" w:fill="auto"/>
                  <w:vAlign w:val="center"/>
                </w:tcPr>
                <w:p w14:paraId="18680D0C">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c>
                <w:tcPr>
                  <w:tcW w:w="1145" w:type="dxa"/>
                  <w:gridSpan w:val="2"/>
                  <w:shd w:val="clear" w:color="auto" w:fill="auto"/>
                  <w:vAlign w:val="center"/>
                </w:tcPr>
                <w:p w14:paraId="6AC95648">
                  <w:pPr>
                    <w:widowControl/>
                    <w:jc w:val="center"/>
                    <w:textAlignment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300</w:t>
                  </w:r>
                </w:p>
              </w:tc>
              <w:tc>
                <w:tcPr>
                  <w:tcW w:w="717" w:type="dxa"/>
                  <w:vAlign w:val="center"/>
                </w:tcPr>
                <w:p w14:paraId="48FFE89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c>
                <w:tcPr>
                  <w:tcW w:w="927" w:type="dxa"/>
                  <w:vAlign w:val="center"/>
                </w:tcPr>
                <w:p w14:paraId="1C8ABA0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w:t>
                  </w:r>
                </w:p>
              </w:tc>
            </w:tr>
            <w:tr w14:paraId="2D03D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restart"/>
                  <w:vAlign w:val="center"/>
                </w:tcPr>
                <w:p w14:paraId="1D76531B">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小呼吸</w:t>
                  </w:r>
                </w:p>
              </w:tc>
              <w:tc>
                <w:tcPr>
                  <w:tcW w:w="1887" w:type="dxa"/>
                  <w:vAlign w:val="center"/>
                </w:tcPr>
                <w:p w14:paraId="5F5EF964">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名称</w:t>
                  </w:r>
                </w:p>
              </w:tc>
              <w:tc>
                <w:tcPr>
                  <w:tcW w:w="796" w:type="dxa"/>
                  <w:vAlign w:val="center"/>
                </w:tcPr>
                <w:p w14:paraId="59924F3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M</w:t>
                  </w:r>
                </w:p>
              </w:tc>
              <w:tc>
                <w:tcPr>
                  <w:tcW w:w="1049" w:type="dxa"/>
                  <w:vAlign w:val="center"/>
                </w:tcPr>
                <w:p w14:paraId="5CF5BB4F">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P</w:t>
                  </w:r>
                </w:p>
              </w:tc>
              <w:tc>
                <w:tcPr>
                  <w:tcW w:w="1373" w:type="dxa"/>
                  <w:vAlign w:val="center"/>
                </w:tcPr>
                <w:p w14:paraId="5A1FA6BB">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D</w:t>
                  </w:r>
                </w:p>
              </w:tc>
              <w:tc>
                <w:tcPr>
                  <w:tcW w:w="629" w:type="dxa"/>
                  <w:vAlign w:val="center"/>
                </w:tcPr>
                <w:p w14:paraId="0B4C3665">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H</w:t>
                  </w:r>
                </w:p>
              </w:tc>
              <w:tc>
                <w:tcPr>
                  <w:tcW w:w="530" w:type="dxa"/>
                  <w:vAlign w:val="center"/>
                </w:tcPr>
                <w:p w14:paraId="05CF67BC">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△T</w:t>
                  </w:r>
                </w:p>
              </w:tc>
              <w:tc>
                <w:tcPr>
                  <w:tcW w:w="615" w:type="dxa"/>
                  <w:vAlign w:val="center"/>
                </w:tcPr>
                <w:p w14:paraId="00CB3CC4">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Fp</w:t>
                  </w:r>
                </w:p>
              </w:tc>
              <w:tc>
                <w:tcPr>
                  <w:tcW w:w="717" w:type="dxa"/>
                  <w:vAlign w:val="center"/>
                </w:tcPr>
                <w:p w14:paraId="0FE6D7CA">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C</w:t>
                  </w:r>
                </w:p>
              </w:tc>
              <w:tc>
                <w:tcPr>
                  <w:tcW w:w="927" w:type="dxa"/>
                  <w:vAlign w:val="center"/>
                </w:tcPr>
                <w:p w14:paraId="25F116C9">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K</w:t>
                  </w:r>
                  <w:r>
                    <w:rPr>
                      <w:rFonts w:hint="default" w:ascii="Times New Roman" w:hAnsi="Times New Roman" w:cs="Times New Roman"/>
                      <w:color w:val="000000"/>
                      <w:highlight w:val="none"/>
                      <w:vertAlign w:val="subscript"/>
                      <w:lang w:val="en-US"/>
                    </w:rPr>
                    <w:t>C</w:t>
                  </w:r>
                </w:p>
              </w:tc>
            </w:tr>
            <w:tr w14:paraId="13879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075DEE7F">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39933506">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500m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丁二醇储罐</w:t>
                  </w:r>
                </w:p>
              </w:tc>
              <w:tc>
                <w:tcPr>
                  <w:tcW w:w="796" w:type="dxa"/>
                  <w:shd w:val="clear" w:color="auto" w:fill="auto"/>
                  <w:vAlign w:val="center"/>
                </w:tcPr>
                <w:p w14:paraId="5F65EFD2">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90</w:t>
                  </w:r>
                </w:p>
              </w:tc>
              <w:tc>
                <w:tcPr>
                  <w:tcW w:w="1049" w:type="dxa"/>
                  <w:shd w:val="clear" w:color="auto" w:fill="auto"/>
                  <w:vAlign w:val="center"/>
                </w:tcPr>
                <w:p w14:paraId="64AE3C21">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0.008</w:t>
                  </w:r>
                </w:p>
              </w:tc>
              <w:tc>
                <w:tcPr>
                  <w:tcW w:w="1373" w:type="dxa"/>
                  <w:vAlign w:val="center"/>
                </w:tcPr>
                <w:p w14:paraId="0B45ACF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8</w:t>
                  </w:r>
                </w:p>
              </w:tc>
              <w:tc>
                <w:tcPr>
                  <w:tcW w:w="629" w:type="dxa"/>
                  <w:vAlign w:val="center"/>
                </w:tcPr>
                <w:p w14:paraId="0B090D39">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8</w:t>
                  </w:r>
                </w:p>
              </w:tc>
              <w:tc>
                <w:tcPr>
                  <w:tcW w:w="530" w:type="dxa"/>
                  <w:vAlign w:val="center"/>
                </w:tcPr>
                <w:p w14:paraId="754CEB7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12</w:t>
                  </w:r>
                </w:p>
              </w:tc>
              <w:tc>
                <w:tcPr>
                  <w:tcW w:w="615" w:type="dxa"/>
                  <w:vAlign w:val="center"/>
                </w:tcPr>
                <w:p w14:paraId="22F32BEC">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1.3</w:t>
                  </w:r>
                </w:p>
              </w:tc>
              <w:tc>
                <w:tcPr>
                  <w:tcW w:w="717" w:type="dxa"/>
                  <w:vAlign w:val="center"/>
                </w:tcPr>
                <w:p w14:paraId="65E8CCFB">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927" w:type="dxa"/>
                  <w:vAlign w:val="center"/>
                </w:tcPr>
                <w:p w14:paraId="2F0CA7A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r>
            <w:tr w14:paraId="3973A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545D2A84">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1534F27B">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乙酸储罐</w:t>
                  </w:r>
                </w:p>
              </w:tc>
              <w:tc>
                <w:tcPr>
                  <w:tcW w:w="796" w:type="dxa"/>
                  <w:shd w:val="clear" w:color="auto" w:fill="auto"/>
                  <w:vAlign w:val="center"/>
                </w:tcPr>
                <w:p w14:paraId="2B471B12">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60</w:t>
                  </w:r>
                </w:p>
              </w:tc>
              <w:tc>
                <w:tcPr>
                  <w:tcW w:w="1049" w:type="dxa"/>
                  <w:shd w:val="clear" w:color="auto" w:fill="auto"/>
                  <w:vAlign w:val="center"/>
                </w:tcPr>
                <w:p w14:paraId="61E658D4">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1.52</w:t>
                  </w:r>
                </w:p>
              </w:tc>
              <w:tc>
                <w:tcPr>
                  <w:tcW w:w="1373" w:type="dxa"/>
                  <w:shd w:val="clear" w:color="auto" w:fill="auto"/>
                  <w:vAlign w:val="center"/>
                </w:tcPr>
                <w:p w14:paraId="5CEAAE4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8</w:t>
                  </w:r>
                </w:p>
              </w:tc>
              <w:tc>
                <w:tcPr>
                  <w:tcW w:w="629" w:type="dxa"/>
                  <w:shd w:val="clear" w:color="auto" w:fill="auto"/>
                  <w:vAlign w:val="center"/>
                </w:tcPr>
                <w:p w14:paraId="322DD8C1">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8</w:t>
                  </w:r>
                </w:p>
              </w:tc>
              <w:tc>
                <w:tcPr>
                  <w:tcW w:w="530" w:type="dxa"/>
                  <w:vAlign w:val="center"/>
                </w:tcPr>
                <w:p w14:paraId="23E1259A">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12</w:t>
                  </w:r>
                </w:p>
              </w:tc>
              <w:tc>
                <w:tcPr>
                  <w:tcW w:w="615" w:type="dxa"/>
                  <w:vAlign w:val="center"/>
                </w:tcPr>
                <w:p w14:paraId="0F6C5559">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1.3</w:t>
                  </w:r>
                </w:p>
              </w:tc>
              <w:tc>
                <w:tcPr>
                  <w:tcW w:w="717" w:type="dxa"/>
                  <w:vAlign w:val="center"/>
                </w:tcPr>
                <w:p w14:paraId="4A12E6FC">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927" w:type="dxa"/>
                  <w:vAlign w:val="center"/>
                </w:tcPr>
                <w:p w14:paraId="52343F7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r>
            <w:tr w14:paraId="1743D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24668F4E">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0D9462E1">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甲醇</w:t>
                  </w:r>
                  <w:r>
                    <w:rPr>
                      <w:rFonts w:hint="default" w:ascii="Times New Roman" w:hAnsi="Times New Roman" w:cs="Times New Roman"/>
                      <w:szCs w:val="21"/>
                      <w:highlight w:val="none"/>
                      <w:lang w:eastAsia="zh-CN"/>
                    </w:rPr>
                    <w:t>储罐</w:t>
                  </w:r>
                </w:p>
              </w:tc>
              <w:tc>
                <w:tcPr>
                  <w:tcW w:w="796" w:type="dxa"/>
                  <w:shd w:val="clear" w:color="auto" w:fill="auto"/>
                  <w:vAlign w:val="center"/>
                </w:tcPr>
                <w:p w14:paraId="10A2066B">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32</w:t>
                  </w:r>
                </w:p>
              </w:tc>
              <w:tc>
                <w:tcPr>
                  <w:tcW w:w="1049" w:type="dxa"/>
                  <w:shd w:val="clear" w:color="auto" w:fill="auto"/>
                  <w:vAlign w:val="center"/>
                </w:tcPr>
                <w:p w14:paraId="32DCDE96">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12.3</w:t>
                  </w:r>
                </w:p>
              </w:tc>
              <w:tc>
                <w:tcPr>
                  <w:tcW w:w="1373" w:type="dxa"/>
                  <w:shd w:val="clear" w:color="auto" w:fill="auto"/>
                  <w:vAlign w:val="center"/>
                </w:tcPr>
                <w:p w14:paraId="5E53DE4E">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8</w:t>
                  </w:r>
                </w:p>
              </w:tc>
              <w:tc>
                <w:tcPr>
                  <w:tcW w:w="629" w:type="dxa"/>
                  <w:vAlign w:val="center"/>
                </w:tcPr>
                <w:p w14:paraId="528450EB">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8</w:t>
                  </w:r>
                </w:p>
              </w:tc>
              <w:tc>
                <w:tcPr>
                  <w:tcW w:w="530" w:type="dxa"/>
                  <w:vAlign w:val="center"/>
                </w:tcPr>
                <w:p w14:paraId="3921278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12</w:t>
                  </w:r>
                </w:p>
              </w:tc>
              <w:tc>
                <w:tcPr>
                  <w:tcW w:w="615" w:type="dxa"/>
                  <w:vAlign w:val="center"/>
                </w:tcPr>
                <w:p w14:paraId="47F55B6D">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1.3</w:t>
                  </w:r>
                </w:p>
              </w:tc>
              <w:tc>
                <w:tcPr>
                  <w:tcW w:w="717" w:type="dxa"/>
                  <w:vAlign w:val="center"/>
                </w:tcPr>
                <w:p w14:paraId="2AC13D1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927" w:type="dxa"/>
                  <w:vAlign w:val="center"/>
                </w:tcPr>
                <w:p w14:paraId="525162B0">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r>
            <w:tr w14:paraId="2F830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1FAD5024">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56E8337E">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乙醇储罐</w:t>
                  </w:r>
                </w:p>
              </w:tc>
              <w:tc>
                <w:tcPr>
                  <w:tcW w:w="796" w:type="dxa"/>
                  <w:shd w:val="clear" w:color="auto" w:fill="auto"/>
                  <w:vAlign w:val="center"/>
                </w:tcPr>
                <w:p w14:paraId="250C4E61">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46</w:t>
                  </w:r>
                </w:p>
              </w:tc>
              <w:tc>
                <w:tcPr>
                  <w:tcW w:w="1049" w:type="dxa"/>
                  <w:shd w:val="clear" w:color="auto" w:fill="auto"/>
                  <w:vAlign w:val="center"/>
                </w:tcPr>
                <w:p w14:paraId="64279E67">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5.7</w:t>
                  </w:r>
                </w:p>
              </w:tc>
              <w:tc>
                <w:tcPr>
                  <w:tcW w:w="1373" w:type="dxa"/>
                  <w:shd w:val="clear" w:color="auto" w:fill="auto"/>
                  <w:vAlign w:val="center"/>
                </w:tcPr>
                <w:p w14:paraId="5EF4B3FA">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8</w:t>
                  </w:r>
                </w:p>
              </w:tc>
              <w:tc>
                <w:tcPr>
                  <w:tcW w:w="629" w:type="dxa"/>
                  <w:shd w:val="clear" w:color="auto" w:fill="auto"/>
                  <w:vAlign w:val="center"/>
                </w:tcPr>
                <w:p w14:paraId="6CA96080">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8</w:t>
                  </w:r>
                </w:p>
              </w:tc>
              <w:tc>
                <w:tcPr>
                  <w:tcW w:w="530" w:type="dxa"/>
                  <w:vAlign w:val="center"/>
                </w:tcPr>
                <w:p w14:paraId="38E7F0CF">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12</w:t>
                  </w:r>
                </w:p>
              </w:tc>
              <w:tc>
                <w:tcPr>
                  <w:tcW w:w="615" w:type="dxa"/>
                  <w:vAlign w:val="center"/>
                </w:tcPr>
                <w:p w14:paraId="350DF4AA">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1.3</w:t>
                  </w:r>
                </w:p>
              </w:tc>
              <w:tc>
                <w:tcPr>
                  <w:tcW w:w="717" w:type="dxa"/>
                  <w:vAlign w:val="center"/>
                </w:tcPr>
                <w:p w14:paraId="736FF1D3">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927" w:type="dxa"/>
                  <w:vAlign w:val="center"/>
                </w:tcPr>
                <w:p w14:paraId="289D243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r>
            <w:tr w14:paraId="01015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51F659D8">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72E1A415">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丙二醇储罐</w:t>
                  </w:r>
                </w:p>
              </w:tc>
              <w:tc>
                <w:tcPr>
                  <w:tcW w:w="796" w:type="dxa"/>
                  <w:shd w:val="clear" w:color="auto" w:fill="auto"/>
                  <w:vAlign w:val="center"/>
                </w:tcPr>
                <w:p w14:paraId="5560BA0E">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76</w:t>
                  </w:r>
                </w:p>
              </w:tc>
              <w:tc>
                <w:tcPr>
                  <w:tcW w:w="1049" w:type="dxa"/>
                  <w:shd w:val="clear" w:color="auto" w:fill="auto"/>
                  <w:vAlign w:val="center"/>
                </w:tcPr>
                <w:p w14:paraId="7ACE91CF">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0.01</w:t>
                  </w:r>
                </w:p>
              </w:tc>
              <w:tc>
                <w:tcPr>
                  <w:tcW w:w="1373" w:type="dxa"/>
                  <w:shd w:val="clear" w:color="auto" w:fill="auto"/>
                  <w:vAlign w:val="center"/>
                </w:tcPr>
                <w:p w14:paraId="61BCB386">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7</w:t>
                  </w:r>
                </w:p>
              </w:tc>
              <w:tc>
                <w:tcPr>
                  <w:tcW w:w="629" w:type="dxa"/>
                  <w:shd w:val="clear" w:color="auto" w:fill="auto"/>
                  <w:vAlign w:val="center"/>
                </w:tcPr>
                <w:p w14:paraId="1F40094D">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7</w:t>
                  </w:r>
                </w:p>
              </w:tc>
              <w:tc>
                <w:tcPr>
                  <w:tcW w:w="530" w:type="dxa"/>
                  <w:vAlign w:val="center"/>
                </w:tcPr>
                <w:p w14:paraId="76B19ED8">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12</w:t>
                  </w:r>
                </w:p>
              </w:tc>
              <w:tc>
                <w:tcPr>
                  <w:tcW w:w="615" w:type="dxa"/>
                  <w:vAlign w:val="center"/>
                </w:tcPr>
                <w:p w14:paraId="1727B670">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1.3</w:t>
                  </w:r>
                </w:p>
              </w:tc>
              <w:tc>
                <w:tcPr>
                  <w:tcW w:w="717" w:type="dxa"/>
                  <w:vAlign w:val="center"/>
                </w:tcPr>
                <w:p w14:paraId="698EA4CD">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927" w:type="dxa"/>
                  <w:vAlign w:val="center"/>
                </w:tcPr>
                <w:p w14:paraId="20553C9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r>
            <w:tr w14:paraId="5D5C7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2B598B37">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253E8763">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丙三醇储罐</w:t>
                  </w:r>
                </w:p>
              </w:tc>
              <w:tc>
                <w:tcPr>
                  <w:tcW w:w="796" w:type="dxa"/>
                  <w:shd w:val="clear" w:color="auto" w:fill="auto"/>
                  <w:vAlign w:val="center"/>
                </w:tcPr>
                <w:p w14:paraId="6ADCAE1A">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92</w:t>
                  </w:r>
                </w:p>
              </w:tc>
              <w:tc>
                <w:tcPr>
                  <w:tcW w:w="1049" w:type="dxa"/>
                  <w:shd w:val="clear" w:color="auto" w:fill="auto"/>
                  <w:vAlign w:val="center"/>
                </w:tcPr>
                <w:p w14:paraId="2F10086E">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0.4</w:t>
                  </w:r>
                </w:p>
              </w:tc>
              <w:tc>
                <w:tcPr>
                  <w:tcW w:w="1373" w:type="dxa"/>
                  <w:shd w:val="clear" w:color="auto" w:fill="auto"/>
                  <w:vAlign w:val="center"/>
                </w:tcPr>
                <w:p w14:paraId="15203244">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7</w:t>
                  </w:r>
                </w:p>
              </w:tc>
              <w:tc>
                <w:tcPr>
                  <w:tcW w:w="629" w:type="dxa"/>
                  <w:shd w:val="clear" w:color="auto" w:fill="auto"/>
                  <w:vAlign w:val="center"/>
                </w:tcPr>
                <w:p w14:paraId="0F350710">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7</w:t>
                  </w:r>
                </w:p>
              </w:tc>
              <w:tc>
                <w:tcPr>
                  <w:tcW w:w="530" w:type="dxa"/>
                  <w:vAlign w:val="center"/>
                </w:tcPr>
                <w:p w14:paraId="005CB8AC">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12</w:t>
                  </w:r>
                </w:p>
              </w:tc>
              <w:tc>
                <w:tcPr>
                  <w:tcW w:w="615" w:type="dxa"/>
                  <w:vAlign w:val="center"/>
                </w:tcPr>
                <w:p w14:paraId="00255962">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1.3</w:t>
                  </w:r>
                </w:p>
              </w:tc>
              <w:tc>
                <w:tcPr>
                  <w:tcW w:w="717" w:type="dxa"/>
                  <w:vAlign w:val="center"/>
                </w:tcPr>
                <w:p w14:paraId="33E2AF3D">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927" w:type="dxa"/>
                  <w:vAlign w:val="center"/>
                </w:tcPr>
                <w:p w14:paraId="1A698693">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r>
            <w:tr w14:paraId="72F8D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3F70A77B">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5FD5F1A6">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正丁醇</w:t>
                  </w:r>
                  <w:r>
                    <w:rPr>
                      <w:rFonts w:hint="default" w:ascii="Times New Roman" w:hAnsi="Times New Roman" w:cs="Times New Roman"/>
                      <w:szCs w:val="21"/>
                      <w:highlight w:val="none"/>
                      <w:lang w:eastAsia="zh-CN"/>
                    </w:rPr>
                    <w:t>储罐</w:t>
                  </w:r>
                </w:p>
              </w:tc>
              <w:tc>
                <w:tcPr>
                  <w:tcW w:w="796" w:type="dxa"/>
                  <w:shd w:val="clear" w:color="auto" w:fill="auto"/>
                  <w:vAlign w:val="center"/>
                </w:tcPr>
                <w:p w14:paraId="2DA45096">
                  <w:pPr>
                    <w:pStyle w:val="283"/>
                    <w:rPr>
                      <w:rFonts w:hint="default" w:ascii="Times New Roman" w:hAnsi="Times New Roman" w:eastAsia="宋体" w:cs="Times New Roman"/>
                      <w:color w:val="000000"/>
                      <w:kern w:val="2"/>
                      <w:sz w:val="21"/>
                      <w:szCs w:val="21"/>
                      <w:highlight w:val="none"/>
                      <w:lang w:val="en-US" w:eastAsia="zh-CN" w:bidi="zh-CN"/>
                    </w:rPr>
                  </w:pPr>
                  <w:r>
                    <w:rPr>
                      <w:rFonts w:hint="eastAsia" w:cs="Times New Roman"/>
                      <w:color w:val="000000"/>
                      <w:highlight w:val="none"/>
                      <w:lang w:val="en-US" w:eastAsia="zh-CN"/>
                    </w:rPr>
                    <w:t>74</w:t>
                  </w:r>
                </w:p>
              </w:tc>
              <w:tc>
                <w:tcPr>
                  <w:tcW w:w="1049" w:type="dxa"/>
                  <w:shd w:val="clear" w:color="auto" w:fill="auto"/>
                  <w:vAlign w:val="center"/>
                </w:tcPr>
                <w:p w14:paraId="13B457D2">
                  <w:pPr>
                    <w:pStyle w:val="283"/>
                    <w:rPr>
                      <w:rFonts w:hint="default" w:ascii="Times New Roman" w:hAnsi="Times New Roman" w:eastAsia="宋体" w:cs="Times New Roman"/>
                      <w:color w:val="000000"/>
                      <w:kern w:val="2"/>
                      <w:sz w:val="21"/>
                      <w:szCs w:val="21"/>
                      <w:highlight w:val="none"/>
                      <w:lang w:val="en-US" w:eastAsia="zh-CN" w:bidi="zh-CN"/>
                    </w:rPr>
                  </w:pPr>
                  <w:r>
                    <w:rPr>
                      <w:rFonts w:hint="eastAsia" w:cs="Times New Roman"/>
                      <w:color w:val="000000"/>
                      <w:highlight w:val="none"/>
                      <w:lang w:val="en-US" w:eastAsia="zh-CN"/>
                    </w:rPr>
                    <w:t>0.82</w:t>
                  </w:r>
                </w:p>
              </w:tc>
              <w:tc>
                <w:tcPr>
                  <w:tcW w:w="1373" w:type="dxa"/>
                  <w:vAlign w:val="center"/>
                </w:tcPr>
                <w:p w14:paraId="0899D82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7</w:t>
                  </w:r>
                </w:p>
              </w:tc>
              <w:tc>
                <w:tcPr>
                  <w:tcW w:w="629" w:type="dxa"/>
                  <w:vAlign w:val="center"/>
                </w:tcPr>
                <w:p w14:paraId="110600E0">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7</w:t>
                  </w:r>
                </w:p>
              </w:tc>
              <w:tc>
                <w:tcPr>
                  <w:tcW w:w="530" w:type="dxa"/>
                  <w:vAlign w:val="center"/>
                </w:tcPr>
                <w:p w14:paraId="2E5C476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12</w:t>
                  </w:r>
                </w:p>
              </w:tc>
              <w:tc>
                <w:tcPr>
                  <w:tcW w:w="615" w:type="dxa"/>
                  <w:vAlign w:val="center"/>
                </w:tcPr>
                <w:p w14:paraId="252BEC79">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1.3</w:t>
                  </w:r>
                </w:p>
              </w:tc>
              <w:tc>
                <w:tcPr>
                  <w:tcW w:w="717" w:type="dxa"/>
                  <w:vAlign w:val="center"/>
                </w:tcPr>
                <w:p w14:paraId="211B9E53">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927" w:type="dxa"/>
                  <w:vAlign w:val="center"/>
                </w:tcPr>
                <w:p w14:paraId="3B958AC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r>
            <w:tr w14:paraId="6B968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4F18ADA5">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00CA66CA">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异丁醇</w:t>
                  </w:r>
                  <w:r>
                    <w:rPr>
                      <w:rFonts w:hint="default" w:ascii="Times New Roman" w:hAnsi="Times New Roman" w:cs="Times New Roman"/>
                      <w:szCs w:val="21"/>
                      <w:highlight w:val="none"/>
                      <w:lang w:eastAsia="zh-CN"/>
                    </w:rPr>
                    <w:t>储罐</w:t>
                  </w:r>
                </w:p>
              </w:tc>
              <w:tc>
                <w:tcPr>
                  <w:tcW w:w="796" w:type="dxa"/>
                  <w:shd w:val="clear" w:color="auto" w:fill="auto"/>
                  <w:vAlign w:val="center"/>
                </w:tcPr>
                <w:p w14:paraId="6FD610AC">
                  <w:pPr>
                    <w:pStyle w:val="283"/>
                    <w:rPr>
                      <w:rFonts w:hint="default" w:ascii="Times New Roman" w:hAnsi="Times New Roman" w:eastAsia="宋体" w:cs="Times New Roman"/>
                      <w:color w:val="000000"/>
                      <w:kern w:val="2"/>
                      <w:sz w:val="21"/>
                      <w:szCs w:val="21"/>
                      <w:highlight w:val="none"/>
                      <w:lang w:val="en-US" w:eastAsia="zh-CN" w:bidi="zh-CN"/>
                    </w:rPr>
                  </w:pPr>
                  <w:r>
                    <w:rPr>
                      <w:rFonts w:hint="eastAsia" w:cs="Times New Roman"/>
                      <w:color w:val="000000"/>
                      <w:highlight w:val="none"/>
                      <w:lang w:val="en-US" w:eastAsia="zh-CN"/>
                    </w:rPr>
                    <w:t>74</w:t>
                  </w:r>
                </w:p>
              </w:tc>
              <w:tc>
                <w:tcPr>
                  <w:tcW w:w="1049" w:type="dxa"/>
                  <w:shd w:val="clear" w:color="auto" w:fill="auto"/>
                  <w:vAlign w:val="center"/>
                </w:tcPr>
                <w:p w14:paraId="024A86A8">
                  <w:pPr>
                    <w:pStyle w:val="283"/>
                    <w:rPr>
                      <w:rFonts w:hint="default" w:ascii="Times New Roman" w:hAnsi="Times New Roman" w:eastAsia="宋体" w:cs="Times New Roman"/>
                      <w:color w:val="000000"/>
                      <w:kern w:val="2"/>
                      <w:sz w:val="21"/>
                      <w:szCs w:val="21"/>
                      <w:highlight w:val="none"/>
                      <w:lang w:val="en-US" w:eastAsia="zh-CN" w:bidi="zh-CN"/>
                    </w:rPr>
                  </w:pPr>
                  <w:r>
                    <w:rPr>
                      <w:rFonts w:hint="eastAsia" w:cs="Times New Roman"/>
                      <w:color w:val="000000"/>
                      <w:highlight w:val="none"/>
                      <w:lang w:val="en-US" w:eastAsia="zh-CN"/>
                    </w:rPr>
                    <w:t>1.17</w:t>
                  </w:r>
                </w:p>
              </w:tc>
              <w:tc>
                <w:tcPr>
                  <w:tcW w:w="1373" w:type="dxa"/>
                  <w:vAlign w:val="center"/>
                </w:tcPr>
                <w:p w14:paraId="001C96E7">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7</w:t>
                  </w:r>
                </w:p>
              </w:tc>
              <w:tc>
                <w:tcPr>
                  <w:tcW w:w="629" w:type="dxa"/>
                  <w:vAlign w:val="center"/>
                </w:tcPr>
                <w:p w14:paraId="63D5D46A">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7</w:t>
                  </w:r>
                </w:p>
              </w:tc>
              <w:tc>
                <w:tcPr>
                  <w:tcW w:w="530" w:type="dxa"/>
                  <w:vAlign w:val="center"/>
                </w:tcPr>
                <w:p w14:paraId="1D42D5B3">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12</w:t>
                  </w:r>
                </w:p>
              </w:tc>
              <w:tc>
                <w:tcPr>
                  <w:tcW w:w="615" w:type="dxa"/>
                  <w:vAlign w:val="center"/>
                </w:tcPr>
                <w:p w14:paraId="280CEC86">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1.3</w:t>
                  </w:r>
                </w:p>
              </w:tc>
              <w:tc>
                <w:tcPr>
                  <w:tcW w:w="717" w:type="dxa"/>
                  <w:vAlign w:val="center"/>
                </w:tcPr>
                <w:p w14:paraId="12DAA8E0">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927" w:type="dxa"/>
                  <w:vAlign w:val="center"/>
                </w:tcPr>
                <w:p w14:paraId="698D44D5">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r>
            <w:tr w14:paraId="0A079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97" w:type="dxa"/>
                  <w:vMerge w:val="continue"/>
                  <w:vAlign w:val="center"/>
                </w:tcPr>
                <w:p w14:paraId="08BA93BE">
                  <w:pPr>
                    <w:pStyle w:val="283"/>
                    <w:rPr>
                      <w:rFonts w:hint="default" w:ascii="Times New Roman" w:hAnsi="Times New Roman" w:cs="Times New Roman"/>
                      <w:color w:val="000000"/>
                      <w:highlight w:val="none"/>
                      <w:lang w:val="en-US"/>
                    </w:rPr>
                  </w:pPr>
                </w:p>
              </w:tc>
              <w:tc>
                <w:tcPr>
                  <w:tcW w:w="1887" w:type="dxa"/>
                  <w:shd w:val="clear" w:color="auto" w:fill="auto"/>
                  <w:vAlign w:val="center"/>
                </w:tcPr>
                <w:p w14:paraId="78C2864F">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正己烷</w:t>
                  </w:r>
                  <w:r>
                    <w:rPr>
                      <w:rFonts w:hint="default" w:ascii="Times New Roman" w:hAnsi="Times New Roman" w:cs="Times New Roman"/>
                      <w:szCs w:val="21"/>
                      <w:highlight w:val="none"/>
                      <w:lang w:eastAsia="zh-CN"/>
                    </w:rPr>
                    <w:t>储罐</w:t>
                  </w:r>
                </w:p>
              </w:tc>
              <w:tc>
                <w:tcPr>
                  <w:tcW w:w="796" w:type="dxa"/>
                  <w:shd w:val="clear" w:color="auto" w:fill="auto"/>
                  <w:vAlign w:val="center"/>
                </w:tcPr>
                <w:p w14:paraId="59A77DEF">
                  <w:pPr>
                    <w:pStyle w:val="283"/>
                    <w:rPr>
                      <w:rFonts w:hint="default" w:ascii="Times New Roman" w:hAnsi="Times New Roman" w:eastAsia="宋体" w:cs="Times New Roman"/>
                      <w:color w:val="000000"/>
                      <w:kern w:val="2"/>
                      <w:sz w:val="21"/>
                      <w:szCs w:val="21"/>
                      <w:highlight w:val="none"/>
                      <w:lang w:val="en-US" w:eastAsia="zh-CN" w:bidi="zh-CN"/>
                    </w:rPr>
                  </w:pPr>
                  <w:r>
                    <w:rPr>
                      <w:rFonts w:hint="eastAsia" w:cs="Times New Roman"/>
                      <w:color w:val="000000"/>
                      <w:highlight w:val="none"/>
                      <w:lang w:val="en-US" w:eastAsia="zh-CN"/>
                    </w:rPr>
                    <w:t>86</w:t>
                  </w:r>
                </w:p>
              </w:tc>
              <w:tc>
                <w:tcPr>
                  <w:tcW w:w="1049" w:type="dxa"/>
                  <w:shd w:val="clear" w:color="auto" w:fill="auto"/>
                  <w:vAlign w:val="center"/>
                </w:tcPr>
                <w:p w14:paraId="09970FC5">
                  <w:pPr>
                    <w:pStyle w:val="283"/>
                    <w:rPr>
                      <w:rFonts w:hint="default" w:ascii="Times New Roman" w:hAnsi="Times New Roman" w:eastAsia="宋体" w:cs="Times New Roman"/>
                      <w:color w:val="000000"/>
                      <w:kern w:val="2"/>
                      <w:sz w:val="21"/>
                      <w:szCs w:val="21"/>
                      <w:highlight w:val="none"/>
                      <w:lang w:val="en-US" w:eastAsia="zh-CN" w:bidi="zh-CN"/>
                    </w:rPr>
                  </w:pPr>
                  <w:r>
                    <w:rPr>
                      <w:rFonts w:hint="eastAsia" w:cs="Times New Roman"/>
                      <w:color w:val="000000"/>
                      <w:highlight w:val="none"/>
                      <w:lang w:val="en-US" w:eastAsia="zh-CN"/>
                    </w:rPr>
                    <w:t>17</w:t>
                  </w:r>
                </w:p>
              </w:tc>
              <w:tc>
                <w:tcPr>
                  <w:tcW w:w="1373" w:type="dxa"/>
                  <w:vAlign w:val="center"/>
                </w:tcPr>
                <w:p w14:paraId="0344B929">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7</w:t>
                  </w:r>
                </w:p>
              </w:tc>
              <w:tc>
                <w:tcPr>
                  <w:tcW w:w="629" w:type="dxa"/>
                  <w:vAlign w:val="center"/>
                </w:tcPr>
                <w:p w14:paraId="7E7FFD08">
                  <w:pPr>
                    <w:pStyle w:val="283"/>
                    <w:rPr>
                      <w:rFonts w:hint="eastAsia" w:ascii="Times New Roman" w:hAnsi="Times New Roman" w:eastAsia="宋体" w:cs="Times New Roman"/>
                      <w:color w:val="000000"/>
                      <w:highlight w:val="none"/>
                      <w:lang w:val="en-US" w:eastAsia="zh-CN"/>
                    </w:rPr>
                  </w:pPr>
                  <w:r>
                    <w:rPr>
                      <w:rFonts w:hint="eastAsia" w:cs="Times New Roman"/>
                      <w:color w:val="000000"/>
                      <w:highlight w:val="none"/>
                      <w:lang w:val="en-US" w:eastAsia="zh-CN"/>
                    </w:rPr>
                    <w:t>7</w:t>
                  </w:r>
                </w:p>
              </w:tc>
              <w:tc>
                <w:tcPr>
                  <w:tcW w:w="530" w:type="dxa"/>
                  <w:vAlign w:val="center"/>
                </w:tcPr>
                <w:p w14:paraId="0F1B2362">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12</w:t>
                  </w:r>
                </w:p>
              </w:tc>
              <w:tc>
                <w:tcPr>
                  <w:tcW w:w="615" w:type="dxa"/>
                  <w:vAlign w:val="center"/>
                </w:tcPr>
                <w:p w14:paraId="1F291A6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1.3</w:t>
                  </w:r>
                </w:p>
              </w:tc>
              <w:tc>
                <w:tcPr>
                  <w:tcW w:w="717" w:type="dxa"/>
                  <w:vAlign w:val="center"/>
                </w:tcPr>
                <w:p w14:paraId="06E5C26D">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w:t>
                  </w:r>
                </w:p>
              </w:tc>
              <w:tc>
                <w:tcPr>
                  <w:tcW w:w="927" w:type="dxa"/>
                  <w:vAlign w:val="center"/>
                </w:tcPr>
                <w:p w14:paraId="37607224">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1.0</w:t>
                  </w:r>
                </w:p>
              </w:tc>
            </w:tr>
          </w:tbl>
          <w:p w14:paraId="0C5CFBC1">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表4-7 罐区废气污染物产生情况一览表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32"/>
              <w:gridCol w:w="2646"/>
              <w:gridCol w:w="1582"/>
              <w:gridCol w:w="1558"/>
              <w:gridCol w:w="1492"/>
            </w:tblGrid>
            <w:tr w14:paraId="7CD46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vMerge w:val="restart"/>
                  <w:vAlign w:val="center"/>
                </w:tcPr>
                <w:p w14:paraId="6632C67F">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罐区名称</w:t>
                  </w:r>
                </w:p>
              </w:tc>
              <w:tc>
                <w:tcPr>
                  <w:tcW w:w="2646" w:type="dxa"/>
                  <w:vMerge w:val="restart"/>
                  <w:vAlign w:val="center"/>
                </w:tcPr>
                <w:p w14:paraId="44F5D67F">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污染物种类</w:t>
                  </w:r>
                </w:p>
              </w:tc>
              <w:tc>
                <w:tcPr>
                  <w:tcW w:w="4632" w:type="dxa"/>
                  <w:gridSpan w:val="3"/>
                  <w:vAlign w:val="center"/>
                </w:tcPr>
                <w:p w14:paraId="2632903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产生量（t/a）</w:t>
                  </w:r>
                </w:p>
              </w:tc>
            </w:tr>
            <w:tr w14:paraId="1B3FF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vMerge w:val="continue"/>
                  <w:vAlign w:val="center"/>
                </w:tcPr>
                <w:p w14:paraId="7B72DD1F">
                  <w:pPr>
                    <w:pStyle w:val="283"/>
                    <w:rPr>
                      <w:rFonts w:hint="default" w:ascii="Times New Roman" w:hAnsi="Times New Roman" w:cs="Times New Roman"/>
                      <w:color w:val="000000"/>
                      <w:highlight w:val="none"/>
                      <w:lang w:val="en-US"/>
                    </w:rPr>
                  </w:pPr>
                </w:p>
              </w:tc>
              <w:tc>
                <w:tcPr>
                  <w:tcW w:w="2646" w:type="dxa"/>
                  <w:vMerge w:val="continue"/>
                  <w:vAlign w:val="center"/>
                </w:tcPr>
                <w:p w14:paraId="0099E0FB">
                  <w:pPr>
                    <w:pStyle w:val="283"/>
                    <w:rPr>
                      <w:rFonts w:hint="default" w:ascii="Times New Roman" w:hAnsi="Times New Roman" w:cs="Times New Roman"/>
                      <w:color w:val="000000"/>
                      <w:highlight w:val="none"/>
                      <w:lang w:val="en-US"/>
                    </w:rPr>
                  </w:pPr>
                </w:p>
              </w:tc>
              <w:tc>
                <w:tcPr>
                  <w:tcW w:w="1582" w:type="dxa"/>
                  <w:vAlign w:val="center"/>
                </w:tcPr>
                <w:p w14:paraId="2A58B442">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大呼吸</w:t>
                  </w:r>
                </w:p>
              </w:tc>
              <w:tc>
                <w:tcPr>
                  <w:tcW w:w="1558" w:type="dxa"/>
                  <w:vAlign w:val="center"/>
                </w:tcPr>
                <w:p w14:paraId="28080EDD">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小呼吸</w:t>
                  </w:r>
                </w:p>
              </w:tc>
              <w:tc>
                <w:tcPr>
                  <w:tcW w:w="1492" w:type="dxa"/>
                  <w:vAlign w:val="center"/>
                </w:tcPr>
                <w:p w14:paraId="582EECD1">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合计</w:t>
                  </w:r>
                </w:p>
              </w:tc>
            </w:tr>
            <w:tr w14:paraId="68990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shd w:val="clear" w:color="auto" w:fill="auto"/>
                  <w:vAlign w:val="center"/>
                </w:tcPr>
                <w:p w14:paraId="00D16791">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500m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丁二醇储罐</w:t>
                  </w:r>
                </w:p>
              </w:tc>
              <w:tc>
                <w:tcPr>
                  <w:tcW w:w="2646" w:type="dxa"/>
                  <w:shd w:val="clear" w:color="auto" w:fill="auto"/>
                  <w:vAlign w:val="center"/>
                </w:tcPr>
                <w:p w14:paraId="7C7ED028">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丁二醇</w:t>
                  </w:r>
                </w:p>
              </w:tc>
              <w:tc>
                <w:tcPr>
                  <w:tcW w:w="1582" w:type="dxa"/>
                  <w:vAlign w:val="center"/>
                </w:tcPr>
                <w:p w14:paraId="28048E5D">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0.0001 </w:t>
                  </w:r>
                </w:p>
              </w:tc>
              <w:tc>
                <w:tcPr>
                  <w:tcW w:w="1558" w:type="dxa"/>
                  <w:vAlign w:val="center"/>
                </w:tcPr>
                <w:p w14:paraId="51D64027">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0.001 </w:t>
                  </w:r>
                </w:p>
              </w:tc>
              <w:tc>
                <w:tcPr>
                  <w:tcW w:w="1492" w:type="dxa"/>
                  <w:vAlign w:val="center"/>
                </w:tcPr>
                <w:p w14:paraId="2368051E">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0.0011</w:t>
                  </w:r>
                </w:p>
              </w:tc>
            </w:tr>
            <w:tr w14:paraId="6CC2E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shd w:val="clear" w:color="auto" w:fill="auto"/>
                  <w:vAlign w:val="center"/>
                </w:tcPr>
                <w:p w14:paraId="51BE8490">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乙酸储罐</w:t>
                  </w:r>
                </w:p>
              </w:tc>
              <w:tc>
                <w:tcPr>
                  <w:tcW w:w="2646" w:type="dxa"/>
                  <w:shd w:val="clear" w:color="auto" w:fill="auto"/>
                  <w:vAlign w:val="center"/>
                </w:tcPr>
                <w:p w14:paraId="14F06959">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乙酸</w:t>
                  </w:r>
                </w:p>
              </w:tc>
              <w:tc>
                <w:tcPr>
                  <w:tcW w:w="1582" w:type="dxa"/>
                  <w:vAlign w:val="center"/>
                </w:tcPr>
                <w:p w14:paraId="6606376C">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0.031 </w:t>
                  </w:r>
                </w:p>
              </w:tc>
              <w:tc>
                <w:tcPr>
                  <w:tcW w:w="1558" w:type="dxa"/>
                  <w:vAlign w:val="center"/>
                </w:tcPr>
                <w:p w14:paraId="17891E00">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0.012 </w:t>
                  </w:r>
                </w:p>
              </w:tc>
              <w:tc>
                <w:tcPr>
                  <w:tcW w:w="1492" w:type="dxa"/>
                  <w:vAlign w:val="center"/>
                </w:tcPr>
                <w:p w14:paraId="0250B1D5">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0.043</w:t>
                  </w:r>
                </w:p>
              </w:tc>
            </w:tr>
            <w:tr w14:paraId="75531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shd w:val="clear" w:color="auto" w:fill="auto"/>
                  <w:vAlign w:val="center"/>
                </w:tcPr>
                <w:p w14:paraId="0BD68E22">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甲醇</w:t>
                  </w:r>
                  <w:r>
                    <w:rPr>
                      <w:rFonts w:hint="default" w:ascii="Times New Roman" w:hAnsi="Times New Roman" w:cs="Times New Roman"/>
                      <w:szCs w:val="21"/>
                      <w:highlight w:val="none"/>
                      <w:lang w:eastAsia="zh-CN"/>
                    </w:rPr>
                    <w:t>储罐</w:t>
                  </w:r>
                </w:p>
              </w:tc>
              <w:tc>
                <w:tcPr>
                  <w:tcW w:w="2646" w:type="dxa"/>
                  <w:shd w:val="clear" w:color="auto" w:fill="auto"/>
                  <w:vAlign w:val="center"/>
                </w:tcPr>
                <w:p w14:paraId="411773F6">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甲醇</w:t>
                  </w:r>
                </w:p>
              </w:tc>
              <w:tc>
                <w:tcPr>
                  <w:tcW w:w="1582" w:type="dxa"/>
                  <w:vAlign w:val="center"/>
                </w:tcPr>
                <w:p w14:paraId="3BC87464">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0.4945 </w:t>
                  </w:r>
                </w:p>
              </w:tc>
              <w:tc>
                <w:tcPr>
                  <w:tcW w:w="1558" w:type="dxa"/>
                  <w:vAlign w:val="center"/>
                </w:tcPr>
                <w:p w14:paraId="1425F9DF">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0.026 </w:t>
                  </w:r>
                </w:p>
              </w:tc>
              <w:tc>
                <w:tcPr>
                  <w:tcW w:w="1492" w:type="dxa"/>
                  <w:vAlign w:val="center"/>
                </w:tcPr>
                <w:p w14:paraId="0FEF95D0">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0.5205</w:t>
                  </w:r>
                </w:p>
              </w:tc>
            </w:tr>
            <w:tr w14:paraId="7180C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shd w:val="clear" w:color="auto" w:fill="auto"/>
                  <w:vAlign w:val="center"/>
                </w:tcPr>
                <w:p w14:paraId="0E9C75A2">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乙醇储罐</w:t>
                  </w:r>
                </w:p>
              </w:tc>
              <w:tc>
                <w:tcPr>
                  <w:tcW w:w="2646" w:type="dxa"/>
                  <w:shd w:val="clear" w:color="auto" w:fill="auto"/>
                  <w:vAlign w:val="center"/>
                </w:tcPr>
                <w:p w14:paraId="23597B54">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乙醇</w:t>
                  </w:r>
                </w:p>
              </w:tc>
              <w:tc>
                <w:tcPr>
                  <w:tcW w:w="1582" w:type="dxa"/>
                  <w:vAlign w:val="center"/>
                </w:tcPr>
                <w:p w14:paraId="3ADD1730">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0.088 </w:t>
                  </w:r>
                </w:p>
              </w:tc>
              <w:tc>
                <w:tcPr>
                  <w:tcW w:w="1558" w:type="dxa"/>
                  <w:vAlign w:val="center"/>
                </w:tcPr>
                <w:p w14:paraId="4ECF65D4">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0.022 </w:t>
                  </w:r>
                </w:p>
              </w:tc>
              <w:tc>
                <w:tcPr>
                  <w:tcW w:w="1492" w:type="dxa"/>
                  <w:vAlign w:val="center"/>
                </w:tcPr>
                <w:p w14:paraId="0582443F">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0.11</w:t>
                  </w:r>
                </w:p>
              </w:tc>
            </w:tr>
            <w:tr w14:paraId="22DB5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shd w:val="clear" w:color="auto" w:fill="auto"/>
                  <w:vAlign w:val="center"/>
                </w:tcPr>
                <w:p w14:paraId="74DCD1C4">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丙二醇储罐</w:t>
                  </w:r>
                </w:p>
              </w:tc>
              <w:tc>
                <w:tcPr>
                  <w:tcW w:w="2646" w:type="dxa"/>
                  <w:shd w:val="clear" w:color="auto" w:fill="auto"/>
                  <w:vAlign w:val="center"/>
                </w:tcPr>
                <w:p w14:paraId="56685399">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丙二醇</w:t>
                  </w:r>
                </w:p>
              </w:tc>
              <w:tc>
                <w:tcPr>
                  <w:tcW w:w="1582" w:type="dxa"/>
                  <w:vAlign w:val="center"/>
                </w:tcPr>
                <w:p w14:paraId="7B5BF71C">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0.0001 </w:t>
                  </w:r>
                </w:p>
              </w:tc>
              <w:tc>
                <w:tcPr>
                  <w:tcW w:w="1558" w:type="dxa"/>
                  <w:vAlign w:val="center"/>
                </w:tcPr>
                <w:p w14:paraId="1223E7E8">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0.0004 </w:t>
                  </w:r>
                </w:p>
              </w:tc>
              <w:tc>
                <w:tcPr>
                  <w:tcW w:w="1492" w:type="dxa"/>
                  <w:vAlign w:val="center"/>
                </w:tcPr>
                <w:p w14:paraId="06847724">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0.0005</w:t>
                  </w:r>
                </w:p>
              </w:tc>
            </w:tr>
            <w:tr w14:paraId="70EDE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shd w:val="clear" w:color="auto" w:fill="auto"/>
                  <w:vAlign w:val="center"/>
                </w:tcPr>
                <w:p w14:paraId="543DD374">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default" w:ascii="Times New Roman" w:hAnsi="Times New Roman" w:cs="Times New Roman"/>
                      <w:szCs w:val="21"/>
                      <w:highlight w:val="none"/>
                      <w:lang w:eastAsia="zh-CN"/>
                    </w:rPr>
                    <w:t>丙三醇储罐</w:t>
                  </w:r>
                </w:p>
              </w:tc>
              <w:tc>
                <w:tcPr>
                  <w:tcW w:w="2646" w:type="dxa"/>
                  <w:shd w:val="clear" w:color="auto" w:fill="auto"/>
                  <w:vAlign w:val="center"/>
                </w:tcPr>
                <w:p w14:paraId="62E5F08A">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丙三醇</w:t>
                  </w:r>
                </w:p>
              </w:tc>
              <w:tc>
                <w:tcPr>
                  <w:tcW w:w="1582" w:type="dxa"/>
                  <w:vAlign w:val="center"/>
                </w:tcPr>
                <w:p w14:paraId="2A49D173">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0.005 </w:t>
                  </w:r>
                </w:p>
              </w:tc>
              <w:tc>
                <w:tcPr>
                  <w:tcW w:w="1558" w:type="dxa"/>
                  <w:vAlign w:val="center"/>
                </w:tcPr>
                <w:p w14:paraId="6CF4F128">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0.005 </w:t>
                  </w:r>
                </w:p>
              </w:tc>
              <w:tc>
                <w:tcPr>
                  <w:tcW w:w="1492" w:type="dxa"/>
                  <w:vAlign w:val="center"/>
                </w:tcPr>
                <w:p w14:paraId="0BD47735">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0.01</w:t>
                  </w:r>
                </w:p>
              </w:tc>
            </w:tr>
            <w:tr w14:paraId="0CD1D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shd w:val="clear" w:color="auto" w:fill="auto"/>
                  <w:vAlign w:val="center"/>
                </w:tcPr>
                <w:p w14:paraId="70C9994F">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正丁醇</w:t>
                  </w:r>
                  <w:r>
                    <w:rPr>
                      <w:rFonts w:hint="default" w:ascii="Times New Roman" w:hAnsi="Times New Roman" w:cs="Times New Roman"/>
                      <w:szCs w:val="21"/>
                      <w:highlight w:val="none"/>
                      <w:lang w:eastAsia="zh-CN"/>
                    </w:rPr>
                    <w:t>储罐</w:t>
                  </w:r>
                </w:p>
              </w:tc>
              <w:tc>
                <w:tcPr>
                  <w:tcW w:w="2646" w:type="dxa"/>
                  <w:shd w:val="clear" w:color="auto" w:fill="auto"/>
                  <w:vAlign w:val="center"/>
                </w:tcPr>
                <w:p w14:paraId="010B689C">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szCs w:val="21"/>
                      <w:highlight w:val="none"/>
                      <w:lang w:eastAsia="zh-CN"/>
                    </w:rPr>
                    <w:t>丁二醇</w:t>
                  </w:r>
                </w:p>
              </w:tc>
              <w:tc>
                <w:tcPr>
                  <w:tcW w:w="1582" w:type="dxa"/>
                  <w:vAlign w:val="center"/>
                </w:tcPr>
                <w:p w14:paraId="2DB8D45B">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0.0076 </w:t>
                  </w:r>
                </w:p>
              </w:tc>
              <w:tc>
                <w:tcPr>
                  <w:tcW w:w="1558" w:type="dxa"/>
                  <w:vAlign w:val="center"/>
                </w:tcPr>
                <w:p w14:paraId="26B77CEE">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0.007 </w:t>
                  </w:r>
                </w:p>
              </w:tc>
              <w:tc>
                <w:tcPr>
                  <w:tcW w:w="1492" w:type="dxa"/>
                  <w:vAlign w:val="center"/>
                </w:tcPr>
                <w:p w14:paraId="68407B95">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0.0146</w:t>
                  </w:r>
                </w:p>
              </w:tc>
            </w:tr>
            <w:tr w14:paraId="58A26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shd w:val="clear" w:color="auto" w:fill="auto"/>
                  <w:vAlign w:val="center"/>
                </w:tcPr>
                <w:p w14:paraId="6A745386">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异丁醇</w:t>
                  </w:r>
                  <w:r>
                    <w:rPr>
                      <w:rFonts w:hint="default" w:ascii="Times New Roman" w:hAnsi="Times New Roman" w:cs="Times New Roman"/>
                      <w:szCs w:val="21"/>
                      <w:highlight w:val="none"/>
                      <w:lang w:eastAsia="zh-CN"/>
                    </w:rPr>
                    <w:t>储罐</w:t>
                  </w:r>
                </w:p>
              </w:tc>
              <w:tc>
                <w:tcPr>
                  <w:tcW w:w="2646" w:type="dxa"/>
                  <w:shd w:val="clear" w:color="auto" w:fill="auto"/>
                  <w:vAlign w:val="center"/>
                </w:tcPr>
                <w:p w14:paraId="0BB5251B">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异丁醇</w:t>
                  </w:r>
                </w:p>
              </w:tc>
              <w:tc>
                <w:tcPr>
                  <w:tcW w:w="1582" w:type="dxa"/>
                  <w:vAlign w:val="center"/>
                </w:tcPr>
                <w:p w14:paraId="3F5D4617">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0.011 </w:t>
                  </w:r>
                </w:p>
              </w:tc>
              <w:tc>
                <w:tcPr>
                  <w:tcW w:w="1558" w:type="dxa"/>
                  <w:vAlign w:val="center"/>
                </w:tcPr>
                <w:p w14:paraId="7856AC8E">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0.009 </w:t>
                  </w:r>
                </w:p>
              </w:tc>
              <w:tc>
                <w:tcPr>
                  <w:tcW w:w="1492" w:type="dxa"/>
                  <w:vAlign w:val="center"/>
                </w:tcPr>
                <w:p w14:paraId="3026B960">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0.02</w:t>
                  </w:r>
                </w:p>
              </w:tc>
            </w:tr>
            <w:tr w14:paraId="4106A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shd w:val="clear" w:color="auto" w:fill="auto"/>
                  <w:vAlign w:val="center"/>
                </w:tcPr>
                <w:p w14:paraId="684AE9AC">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lang w:eastAsia="zh-CN"/>
                    </w:rPr>
                    <w:t>00m</w:t>
                  </w:r>
                  <w:r>
                    <w:rPr>
                      <w:rFonts w:hint="default" w:ascii="Times New Roman" w:hAnsi="Times New Roman" w:cs="Times New Roman"/>
                      <w:szCs w:val="21"/>
                      <w:highlight w:val="none"/>
                      <w:vertAlign w:val="superscript"/>
                      <w:lang w:eastAsia="zh-CN"/>
                    </w:rPr>
                    <w:t>3</w:t>
                  </w:r>
                  <w:r>
                    <w:rPr>
                      <w:rFonts w:hint="eastAsia" w:cs="Times New Roman"/>
                      <w:szCs w:val="21"/>
                      <w:highlight w:val="none"/>
                      <w:lang w:val="en-US" w:eastAsia="zh-CN"/>
                    </w:rPr>
                    <w:t>正己烷</w:t>
                  </w:r>
                  <w:r>
                    <w:rPr>
                      <w:rFonts w:hint="default" w:ascii="Times New Roman" w:hAnsi="Times New Roman" w:cs="Times New Roman"/>
                      <w:szCs w:val="21"/>
                      <w:highlight w:val="none"/>
                      <w:lang w:eastAsia="zh-CN"/>
                    </w:rPr>
                    <w:t>储罐</w:t>
                  </w:r>
                </w:p>
              </w:tc>
              <w:tc>
                <w:tcPr>
                  <w:tcW w:w="2646" w:type="dxa"/>
                  <w:shd w:val="clear" w:color="auto" w:fill="auto"/>
                  <w:vAlign w:val="center"/>
                </w:tcPr>
                <w:p w14:paraId="1CF3525D">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正己烷</w:t>
                  </w:r>
                </w:p>
              </w:tc>
              <w:tc>
                <w:tcPr>
                  <w:tcW w:w="1582" w:type="dxa"/>
                  <w:vAlign w:val="center"/>
                </w:tcPr>
                <w:p w14:paraId="3DAB7C52">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0.184 </w:t>
                  </w:r>
                </w:p>
              </w:tc>
              <w:tc>
                <w:tcPr>
                  <w:tcW w:w="1558" w:type="dxa"/>
                  <w:vAlign w:val="center"/>
                </w:tcPr>
                <w:p w14:paraId="76CD3B04">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0.065 </w:t>
                  </w:r>
                </w:p>
              </w:tc>
              <w:tc>
                <w:tcPr>
                  <w:tcW w:w="1492" w:type="dxa"/>
                  <w:vAlign w:val="center"/>
                </w:tcPr>
                <w:p w14:paraId="3A5DF181">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0.249</w:t>
                  </w:r>
                </w:p>
              </w:tc>
            </w:tr>
            <w:tr w14:paraId="3FD08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vMerge w:val="restart"/>
                  <w:shd w:val="clear" w:color="auto" w:fill="auto"/>
                  <w:vAlign w:val="center"/>
                </w:tcPr>
                <w:p w14:paraId="19D2EFAD">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合计</w:t>
                  </w:r>
                </w:p>
              </w:tc>
              <w:tc>
                <w:tcPr>
                  <w:tcW w:w="2646" w:type="dxa"/>
                  <w:vAlign w:val="center"/>
                </w:tcPr>
                <w:p w14:paraId="4C41799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VOCs</w:t>
                  </w:r>
                </w:p>
              </w:tc>
              <w:tc>
                <w:tcPr>
                  <w:tcW w:w="1582" w:type="dxa"/>
                  <w:vAlign w:val="center"/>
                </w:tcPr>
                <w:p w14:paraId="06E37DF7">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0.821</w:t>
                  </w:r>
                </w:p>
              </w:tc>
              <w:tc>
                <w:tcPr>
                  <w:tcW w:w="1558" w:type="dxa"/>
                  <w:vAlign w:val="center"/>
                </w:tcPr>
                <w:p w14:paraId="60641EDB">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0.147</w:t>
                  </w:r>
                </w:p>
              </w:tc>
              <w:tc>
                <w:tcPr>
                  <w:tcW w:w="1492" w:type="dxa"/>
                  <w:shd w:val="clear" w:color="auto" w:fill="auto"/>
                  <w:vAlign w:val="center"/>
                </w:tcPr>
                <w:p w14:paraId="7C00A540">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0.969</w:t>
                  </w:r>
                </w:p>
              </w:tc>
            </w:tr>
            <w:tr w14:paraId="377AD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vMerge w:val="continue"/>
                  <w:shd w:val="clear" w:color="auto" w:fill="auto"/>
                  <w:vAlign w:val="center"/>
                </w:tcPr>
                <w:p w14:paraId="3D9CA110">
                  <w:pPr>
                    <w:autoSpaceDE w:val="0"/>
                    <w:autoSpaceDN w:val="0"/>
                    <w:jc w:val="center"/>
                    <w:rPr>
                      <w:rFonts w:hint="default" w:ascii="Times New Roman" w:hAnsi="Times New Roman" w:cs="Times New Roman"/>
                      <w:szCs w:val="21"/>
                      <w:highlight w:val="none"/>
                    </w:rPr>
                  </w:pPr>
                </w:p>
              </w:tc>
              <w:tc>
                <w:tcPr>
                  <w:tcW w:w="2646" w:type="dxa"/>
                  <w:vAlign w:val="center"/>
                </w:tcPr>
                <w:p w14:paraId="3CDBA832">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甲醇</w:t>
                  </w:r>
                </w:p>
              </w:tc>
              <w:tc>
                <w:tcPr>
                  <w:tcW w:w="1582" w:type="dxa"/>
                  <w:shd w:val="clear" w:color="auto" w:fill="auto"/>
                  <w:vAlign w:val="center"/>
                </w:tcPr>
                <w:p w14:paraId="51D067A5">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0.495 </w:t>
                  </w:r>
                </w:p>
              </w:tc>
              <w:tc>
                <w:tcPr>
                  <w:tcW w:w="1558" w:type="dxa"/>
                  <w:shd w:val="clear" w:color="auto" w:fill="auto"/>
                  <w:vAlign w:val="center"/>
                </w:tcPr>
                <w:p w14:paraId="43250AD8">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0.026 </w:t>
                  </w:r>
                </w:p>
              </w:tc>
              <w:tc>
                <w:tcPr>
                  <w:tcW w:w="1492" w:type="dxa"/>
                  <w:shd w:val="clear" w:color="auto" w:fill="auto"/>
                  <w:vAlign w:val="center"/>
                </w:tcPr>
                <w:p w14:paraId="7F1DDB81">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0.521</w:t>
                  </w:r>
                </w:p>
              </w:tc>
            </w:tr>
            <w:tr w14:paraId="1078F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932" w:type="dxa"/>
                  <w:vMerge w:val="continue"/>
                  <w:shd w:val="clear" w:color="auto" w:fill="auto"/>
                  <w:vAlign w:val="center"/>
                </w:tcPr>
                <w:p w14:paraId="285DBB19">
                  <w:pPr>
                    <w:autoSpaceDE w:val="0"/>
                    <w:autoSpaceDN w:val="0"/>
                    <w:jc w:val="center"/>
                    <w:rPr>
                      <w:rFonts w:hint="default" w:ascii="Times New Roman" w:hAnsi="Times New Roman" w:cs="Times New Roman"/>
                      <w:szCs w:val="21"/>
                      <w:highlight w:val="none"/>
                    </w:rPr>
                  </w:pPr>
                </w:p>
              </w:tc>
              <w:tc>
                <w:tcPr>
                  <w:tcW w:w="2646" w:type="dxa"/>
                  <w:shd w:val="clear" w:color="auto" w:fill="auto"/>
                  <w:vAlign w:val="center"/>
                </w:tcPr>
                <w:p w14:paraId="0714EFF9">
                  <w:pPr>
                    <w:autoSpaceDE w:val="0"/>
                    <w:autoSpaceDN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正己烷</w:t>
                  </w:r>
                </w:p>
              </w:tc>
              <w:tc>
                <w:tcPr>
                  <w:tcW w:w="1582" w:type="dxa"/>
                  <w:shd w:val="clear" w:color="auto" w:fill="auto"/>
                  <w:vAlign w:val="center"/>
                </w:tcPr>
                <w:p w14:paraId="4A3A763B">
                  <w:pPr>
                    <w:autoSpaceDE w:val="0"/>
                    <w:autoSpaceDN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0.184 </w:t>
                  </w:r>
                </w:p>
              </w:tc>
              <w:tc>
                <w:tcPr>
                  <w:tcW w:w="1558" w:type="dxa"/>
                  <w:shd w:val="clear" w:color="auto" w:fill="auto"/>
                  <w:vAlign w:val="center"/>
                </w:tcPr>
                <w:p w14:paraId="54BF1491">
                  <w:pPr>
                    <w:autoSpaceDE w:val="0"/>
                    <w:autoSpaceDN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 xml:space="preserve">0.065 </w:t>
                  </w:r>
                </w:p>
              </w:tc>
              <w:tc>
                <w:tcPr>
                  <w:tcW w:w="1492" w:type="dxa"/>
                  <w:shd w:val="clear" w:color="auto" w:fill="auto"/>
                  <w:vAlign w:val="center"/>
                </w:tcPr>
                <w:p w14:paraId="74C795FA">
                  <w:pPr>
                    <w:autoSpaceDE w:val="0"/>
                    <w:autoSpaceDN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0.249</w:t>
                  </w:r>
                </w:p>
              </w:tc>
            </w:tr>
          </w:tbl>
          <w:p w14:paraId="7EC8E64C">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②调配废气（G1-1、G2-1、G3-1）</w:t>
            </w:r>
          </w:p>
          <w:p w14:paraId="7C37FA20">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根据企业提供资料，生产过程中物料损失量约为万分之一，其中90%在调配过程中损失，10%在灌装过程中损失，项目有机物料用量为8000t/a，甲醇用量3000t/a，正己烷用量300t/a。则调配废气产生量为VOCs0.72t/a；甲醇0.27t/a；正己烷0.027t/a。废气管道密闭收集，收集效率100%。</w:t>
            </w:r>
          </w:p>
          <w:p w14:paraId="0A839C08">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③灌装废气（G1-2、G2-2、G3-2）</w:t>
            </w:r>
          </w:p>
          <w:p w14:paraId="7605A2DD">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根据企业提供资料，生产过程中物料损失量约为万分之一，其中90%在调配过程中损失，10%在灌装过程中损失，项目有机物料用量为8000t/a，甲醇用量3000t/a，正己烷用量300t/a。则灌装废气产生量为VOCs0.08t/a；甲醇0.03t/a；正己烷0.003t/a。废气集气罩收集，收集效率90%，灌装废气有组织产生量为VOCs0.072t/a；甲醇0.027t/a；正己烷0.0027t/a。</w:t>
            </w:r>
            <w:bookmarkStart w:id="6" w:name="_GoBack"/>
            <w:bookmarkEnd w:id="6"/>
          </w:p>
          <w:p w14:paraId="5145EED2">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废气处理设施流程图如下：</w:t>
            </w:r>
          </w:p>
          <w:p w14:paraId="02E7D5EB">
            <w:pPr>
              <w:spacing w:line="360" w:lineRule="auto"/>
              <w:ind w:firstLine="420" w:firstLineChars="200"/>
              <w:jc w:val="center"/>
              <w:rPr>
                <w:rFonts w:hint="default" w:ascii="Times New Roman" w:hAnsi="Times New Roman" w:cs="Times New Roman"/>
                <w:color w:val="000000"/>
                <w:highlight w:val="none"/>
              </w:rPr>
            </w:pPr>
            <w:r>
              <w:rPr>
                <w:rFonts w:hint="default" w:ascii="Times New Roman" w:hAnsi="Times New Roman" w:cs="Times New Roman"/>
                <w:color w:val="000000" w:themeColor="text1"/>
                <w:highlight w:val="none"/>
                <w14:textFill>
                  <w14:solidFill>
                    <w14:schemeClr w14:val="tx1"/>
                  </w14:solidFill>
                </w14:textFill>
              </w:rPr>
              <w:object>
                <v:shape id="_x0000_i1030" o:spt="75" type="#_x0000_t75" style="height:132.85pt;width:403.3pt;" o:ole="t" filled="f" o:preferrelative="t" stroked="f" coordsize="21600,21600">
                  <v:path/>
                  <v:fill on="f" focussize="0,0"/>
                  <v:stroke on="f" joinstyle="miter"/>
                  <v:imagedata r:id="rId29" o:title=""/>
                  <o:lock v:ext="edit" aspectratio="t"/>
                  <w10:wrap type="none"/>
                  <w10:anchorlock/>
                </v:shape>
                <o:OLEObject Type="Embed" ProgID="Visio.Drawing.15" ShapeID="_x0000_i1030" DrawAspect="Content" ObjectID="_1468075730" r:id="rId28">
                  <o:LockedField>false</o:LockedField>
                </o:OLEObject>
              </w:object>
            </w:r>
          </w:p>
          <w:p w14:paraId="130653DE">
            <w:pPr>
              <w:adjustRightInd w:val="0"/>
              <w:snapToGrid w:val="0"/>
              <w:spacing w:line="360" w:lineRule="auto"/>
              <w:ind w:firstLine="482" w:firstLineChars="200"/>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图4-1  项目废气产生、治理及排放走向图</w:t>
            </w:r>
          </w:p>
          <w:p w14:paraId="74CC27AA">
            <w:pPr>
              <w:tabs>
                <w:tab w:val="left" w:pos="1680"/>
              </w:tabs>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（2）无组织废气源强</w:t>
            </w:r>
          </w:p>
          <w:p w14:paraId="571AA88E">
            <w:pPr>
              <w:pStyle w:val="15"/>
              <w:snapToGrid/>
              <w:spacing w:before="0" w:after="0" w:line="360" w:lineRule="auto"/>
              <w:ind w:right="0" w:firstLine="480" w:firstLineChars="200"/>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大小呼吸废气、调配废气管道密闭收集，不考虑无组织排放。灌装</w:t>
            </w:r>
            <w:r>
              <w:rPr>
                <w:rFonts w:hint="eastAsia" w:cs="Times New Roman"/>
                <w:color w:val="000000"/>
                <w:sz w:val="24"/>
                <w:szCs w:val="24"/>
                <w:highlight w:val="none"/>
                <w:lang w:eastAsia="zh-CN"/>
              </w:rPr>
              <w:t>废气</w:t>
            </w:r>
            <w:r>
              <w:rPr>
                <w:rFonts w:hint="default" w:ascii="Times New Roman" w:hAnsi="Times New Roman" w:cs="Times New Roman"/>
                <w:color w:val="000000"/>
                <w:sz w:val="24"/>
                <w:szCs w:val="24"/>
                <w:highlight w:val="none"/>
              </w:rPr>
              <w:t>集气罩收集，收集效率90%，</w:t>
            </w:r>
            <w:r>
              <w:rPr>
                <w:rFonts w:hint="default" w:ascii="Times New Roman" w:hAnsi="Times New Roman" w:cs="Times New Roman"/>
                <w:color w:val="000000"/>
                <w:sz w:val="24"/>
                <w:highlight w:val="none"/>
              </w:rPr>
              <w:t>灌装废气产生量为VOCs0.08t/a；甲醇0.03t/a；正己烷0.003t/a，灌装废气无组织产生量为VOCs0.008t/a；甲醇0.003t/a；正己烷0.0003t/a。</w:t>
            </w:r>
          </w:p>
          <w:p w14:paraId="34C13CE8">
            <w:pPr>
              <w:spacing w:line="360" w:lineRule="auto"/>
              <w:ind w:firstLine="482" w:firstLineChars="200"/>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3、废气环保措施经济技术论证</w:t>
            </w:r>
          </w:p>
          <w:p w14:paraId="744A6AA4">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根据《排污许可证申请与核发技术规范 专用化学产品制造工业》（HJ1103—2020）附录C中挥发性有机物治理可行技术包括：冷凝、吸收、吸附、燃烧（直接燃烧、热力燃烧、催化燃烧）、冷凝-吸附、冷凝-吸附-燃烧，项目使用2级活性炭吸附属于吸附技术；酸雾治理可行技术包括：碱液吸收、电除雾、多级水洗-多级碱洗，项目使用碱喷淋属于碱液吸收技术。</w:t>
            </w:r>
          </w:p>
          <w:p w14:paraId="65EA1807">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综上所述，项目采取废气治理措施为《排污许可证申请与核发技术规范 专用化学产品制造工业》（HJ1103—2020）附录C中可行技术，满足规范要求。</w:t>
            </w:r>
          </w:p>
          <w:p w14:paraId="197A4FD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排气筒风量核算：</w:t>
            </w:r>
          </w:p>
          <w:p w14:paraId="01C361D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各集气罩排风量按照《排风罩的分类及技术条件》（GB/T16758-2008）中的顶吸罩要求设计。</w:t>
            </w:r>
          </w:p>
          <w:p w14:paraId="189892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L1=Vo×F×3600</w:t>
            </w:r>
          </w:p>
          <w:p w14:paraId="6044D2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其中L1为顶吸罩风量，m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p>
          <w:p w14:paraId="1FEE96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Vo为罩口平均风速，m/s；</w:t>
            </w:r>
          </w:p>
          <w:p w14:paraId="56E3D7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F为罩口面积，m</w:t>
            </w:r>
            <w:r>
              <w:rPr>
                <w:rFonts w:hint="eastAsia" w:ascii="Times New Roman" w:hAnsi="Times New Roman" w:eastAsia="宋体" w:cs="Times New Roman"/>
                <w:color w:val="auto"/>
                <w:kern w:val="2"/>
                <w:sz w:val="24"/>
                <w:szCs w:val="24"/>
                <w:highlight w:val="none"/>
                <w:vertAlign w:val="super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w:t>
            </w:r>
          </w:p>
          <w:p w14:paraId="6AD0497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为保证收集效率，罩口设计风速为0.6m/s。</w:t>
            </w:r>
          </w:p>
          <w:p w14:paraId="22368029">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snapToGrid w:val="0"/>
                <w:color w:val="auto"/>
                <w:spacing w:val="0"/>
                <w:position w:val="0"/>
                <w:sz w:val="24"/>
                <w:szCs w:val="24"/>
                <w:highlight w:val="none"/>
                <w:lang w:val="en-US" w:eastAsia="zh-CN"/>
              </w:rPr>
              <w:t>灌装废气集气罩收集，项目建设4台灌装机，配备4个集气罩，每个集气罩面积0.25m</w:t>
            </w:r>
            <w:r>
              <w:rPr>
                <w:rFonts w:hint="eastAsia" w:ascii="Times New Roman" w:hAnsi="Times New Roman" w:eastAsia="宋体" w:cs="Times New Roman"/>
                <w:snapToGrid w:val="0"/>
                <w:color w:val="auto"/>
                <w:spacing w:val="0"/>
                <w:position w:val="0"/>
                <w:sz w:val="24"/>
                <w:szCs w:val="24"/>
                <w:highlight w:val="none"/>
                <w:vertAlign w:val="superscript"/>
                <w:lang w:val="en-US" w:eastAsia="zh-CN"/>
              </w:rPr>
              <w:t>2</w:t>
            </w:r>
            <w:r>
              <w:rPr>
                <w:rFonts w:hint="eastAsia" w:ascii="Times New Roman" w:hAnsi="Times New Roman" w:eastAsia="宋体" w:cs="Times New Roman"/>
                <w:snapToGrid w:val="0"/>
                <w:color w:val="auto"/>
                <w:spacing w:val="0"/>
                <w:position w:val="0"/>
                <w:sz w:val="24"/>
                <w:szCs w:val="24"/>
                <w:highlight w:val="none"/>
                <w:lang w:val="en-US" w:eastAsia="zh-CN"/>
              </w:rPr>
              <w:t>（0.5m*0.5m），每个集气罩排风量540m</w:t>
            </w:r>
            <w:r>
              <w:rPr>
                <w:rFonts w:hint="eastAsia" w:ascii="Times New Roman" w:hAnsi="Times New Roman" w:eastAsia="宋体" w:cs="Times New Roman"/>
                <w:snapToGrid w:val="0"/>
                <w:color w:val="auto"/>
                <w:spacing w:val="0"/>
                <w:position w:val="0"/>
                <w:sz w:val="24"/>
                <w:szCs w:val="24"/>
                <w:highlight w:val="none"/>
                <w:vertAlign w:val="superscript"/>
                <w:lang w:val="en-US" w:eastAsia="zh-CN"/>
              </w:rPr>
              <w:t>3</w:t>
            </w:r>
            <w:r>
              <w:rPr>
                <w:rFonts w:hint="eastAsia" w:ascii="Times New Roman" w:hAnsi="Times New Roman" w:eastAsia="宋体" w:cs="Times New Roman"/>
                <w:snapToGrid w:val="0"/>
                <w:color w:val="auto"/>
                <w:spacing w:val="0"/>
                <w:position w:val="0"/>
                <w:sz w:val="24"/>
                <w:szCs w:val="24"/>
                <w:highlight w:val="none"/>
                <w:lang w:val="en-US" w:eastAsia="zh-CN"/>
              </w:rPr>
              <w:t>/h，最低排风量合计2160m</w:t>
            </w:r>
            <w:r>
              <w:rPr>
                <w:rFonts w:hint="eastAsia" w:ascii="Times New Roman" w:hAnsi="Times New Roman" w:eastAsia="宋体" w:cs="Times New Roman"/>
                <w:snapToGrid w:val="0"/>
                <w:color w:val="auto"/>
                <w:spacing w:val="0"/>
                <w:position w:val="0"/>
                <w:sz w:val="24"/>
                <w:szCs w:val="24"/>
                <w:highlight w:val="none"/>
                <w:vertAlign w:val="superscript"/>
                <w:lang w:val="en-US" w:eastAsia="zh-CN"/>
              </w:rPr>
              <w:t>3</w:t>
            </w:r>
            <w:r>
              <w:rPr>
                <w:rFonts w:hint="eastAsia" w:ascii="Times New Roman" w:hAnsi="Times New Roman" w:eastAsia="宋体" w:cs="Times New Roman"/>
                <w:snapToGrid w:val="0"/>
                <w:color w:val="auto"/>
                <w:spacing w:val="0"/>
                <w:position w:val="0"/>
                <w:sz w:val="24"/>
                <w:szCs w:val="24"/>
                <w:highlight w:val="none"/>
                <w:lang w:val="en-US" w:eastAsia="zh-CN"/>
              </w:rPr>
              <w:t>/h，项目罐区建设10座储罐，每座储罐排风量200m</w:t>
            </w:r>
            <w:r>
              <w:rPr>
                <w:rFonts w:hint="eastAsia" w:ascii="Times New Roman" w:hAnsi="Times New Roman" w:eastAsia="宋体" w:cs="Times New Roman"/>
                <w:snapToGrid w:val="0"/>
                <w:color w:val="auto"/>
                <w:spacing w:val="0"/>
                <w:position w:val="0"/>
                <w:sz w:val="24"/>
                <w:szCs w:val="24"/>
                <w:highlight w:val="none"/>
                <w:vertAlign w:val="superscript"/>
                <w:lang w:val="en-US" w:eastAsia="zh-CN"/>
              </w:rPr>
              <w:t>3</w:t>
            </w:r>
            <w:r>
              <w:rPr>
                <w:rFonts w:hint="eastAsia" w:ascii="Times New Roman" w:hAnsi="Times New Roman" w:eastAsia="宋体" w:cs="Times New Roman"/>
                <w:snapToGrid w:val="0"/>
                <w:color w:val="auto"/>
                <w:spacing w:val="0"/>
                <w:position w:val="0"/>
                <w:sz w:val="24"/>
                <w:szCs w:val="24"/>
                <w:highlight w:val="none"/>
                <w:lang w:val="en-US" w:eastAsia="zh-CN"/>
              </w:rPr>
              <w:t>/h，罐区最低排风量合计2000m</w:t>
            </w:r>
            <w:r>
              <w:rPr>
                <w:rFonts w:hint="eastAsia" w:ascii="Times New Roman" w:hAnsi="Times New Roman" w:eastAsia="宋体" w:cs="Times New Roman"/>
                <w:snapToGrid w:val="0"/>
                <w:color w:val="auto"/>
                <w:spacing w:val="0"/>
                <w:position w:val="0"/>
                <w:sz w:val="24"/>
                <w:szCs w:val="24"/>
                <w:highlight w:val="none"/>
                <w:vertAlign w:val="superscript"/>
                <w:lang w:val="en-US" w:eastAsia="zh-CN"/>
              </w:rPr>
              <w:t>3</w:t>
            </w:r>
            <w:r>
              <w:rPr>
                <w:rFonts w:hint="eastAsia" w:ascii="Times New Roman" w:hAnsi="Times New Roman" w:eastAsia="宋体" w:cs="Times New Roman"/>
                <w:snapToGrid w:val="0"/>
                <w:color w:val="auto"/>
                <w:spacing w:val="0"/>
                <w:position w:val="0"/>
                <w:sz w:val="24"/>
                <w:szCs w:val="24"/>
                <w:highlight w:val="none"/>
                <w:lang w:val="en-US" w:eastAsia="zh-CN"/>
              </w:rPr>
              <w:t>/h；项目设计风机排</w:t>
            </w:r>
            <w:r>
              <w:rPr>
                <w:rFonts w:hint="eastAsia" w:ascii="Times New Roman" w:hAnsi="Times New Roman" w:eastAsia="宋体" w:cs="Times New Roman"/>
                <w:color w:val="auto"/>
                <w:sz w:val="24"/>
                <w:highlight w:val="none"/>
                <w:lang w:val="en-US" w:eastAsia="zh-CN"/>
              </w:rPr>
              <w:t>气量5000m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/h，可以满足排气需求。</w:t>
            </w:r>
          </w:p>
          <w:p w14:paraId="60A8A786">
            <w:pPr>
              <w:spacing w:line="360" w:lineRule="auto"/>
              <w:ind w:firstLine="482" w:firstLineChars="200"/>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4、非正常工况</w:t>
            </w:r>
          </w:p>
          <w:p w14:paraId="412F977F">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非正常排放主要是指设备开、停运行检修以及废气治理措施故障。其中，设备检修及区域性计划停电时的停车，企业会事先安排好设备正常的停车。本报告重点分析突发性故障造成的废气排放。项目事故废气排放工况主要为废气治理措施发生故障时，导致废气不处理或处理不达标，持续时间1h，年发生频为1次，去除效率为0，则非正常排放下污染物排放最大情况见下表。</w:t>
            </w:r>
          </w:p>
          <w:p w14:paraId="59D3B87B">
            <w:pPr>
              <w:spacing w:line="360" w:lineRule="auto"/>
              <w:ind w:firstLine="482" w:firstLineChars="200"/>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 w:val="24"/>
                <w:highlight w:val="none"/>
              </w:rPr>
              <w:t>表4-8  项目非正常排放废气排放情况汇总表</w:t>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1115"/>
              <w:gridCol w:w="1191"/>
              <w:gridCol w:w="1156"/>
              <w:gridCol w:w="1032"/>
              <w:gridCol w:w="950"/>
              <w:gridCol w:w="1124"/>
              <w:gridCol w:w="1375"/>
            </w:tblGrid>
            <w:tr w14:paraId="4DB68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67" w:type="dxa"/>
                  <w:vMerge w:val="restart"/>
                  <w:tcMar>
                    <w:top w:w="0" w:type="dxa"/>
                    <w:left w:w="0" w:type="dxa"/>
                    <w:bottom w:w="0" w:type="dxa"/>
                    <w:right w:w="0" w:type="dxa"/>
                  </w:tcMar>
                  <w:vAlign w:val="center"/>
                </w:tcPr>
                <w:p w14:paraId="2A591C41">
                  <w:pPr>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排气筒</w:t>
                  </w:r>
                </w:p>
              </w:tc>
              <w:tc>
                <w:tcPr>
                  <w:tcW w:w="1115" w:type="dxa"/>
                  <w:vMerge w:val="restart"/>
                  <w:vAlign w:val="center"/>
                </w:tcPr>
                <w:p w14:paraId="379DADB9">
                  <w:pPr>
                    <w:jc w:val="center"/>
                    <w:rPr>
                      <w:rFonts w:hint="default" w:ascii="Times New Roman" w:hAnsi="Times New Roman" w:cs="Times New Roman"/>
                      <w:bCs/>
                      <w:color w:val="000000"/>
                      <w:szCs w:val="21"/>
                      <w:highlight w:val="none"/>
                    </w:rPr>
                  </w:pPr>
                  <w:r>
                    <w:rPr>
                      <w:rFonts w:hint="default" w:ascii="Times New Roman" w:hAnsi="Times New Roman" w:cs="Times New Roman"/>
                      <w:color w:val="000000"/>
                      <w:szCs w:val="21"/>
                      <w:highlight w:val="none"/>
                    </w:rPr>
                    <w:t>污染物</w:t>
                  </w:r>
                </w:p>
              </w:tc>
              <w:tc>
                <w:tcPr>
                  <w:tcW w:w="1191" w:type="dxa"/>
                  <w:vMerge w:val="restart"/>
                  <w:vAlign w:val="center"/>
                </w:tcPr>
                <w:p w14:paraId="371E7051">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排放浓度（mg/m</w:t>
                  </w:r>
                  <w:r>
                    <w:rPr>
                      <w:rFonts w:hint="default" w:ascii="Times New Roman" w:hAnsi="Times New Roman" w:cs="Times New Roman"/>
                      <w:color w:val="000000"/>
                      <w:szCs w:val="21"/>
                      <w:highlight w:val="none"/>
                      <w:vertAlign w:val="superscript"/>
                    </w:rPr>
                    <w:t>3</w:t>
                  </w:r>
                  <w:r>
                    <w:rPr>
                      <w:rFonts w:hint="default" w:ascii="Times New Roman" w:hAnsi="Times New Roman" w:cs="Times New Roman"/>
                      <w:color w:val="000000"/>
                      <w:szCs w:val="21"/>
                      <w:highlight w:val="none"/>
                    </w:rPr>
                    <w:t>）</w:t>
                  </w:r>
                </w:p>
              </w:tc>
              <w:tc>
                <w:tcPr>
                  <w:tcW w:w="1156" w:type="dxa"/>
                  <w:vMerge w:val="restart"/>
                  <w:vAlign w:val="center"/>
                </w:tcPr>
                <w:p w14:paraId="25C7B2A9">
                  <w:pPr>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排放速率（</w:t>
                  </w:r>
                  <w:r>
                    <w:rPr>
                      <w:rFonts w:hint="default" w:ascii="Times New Roman" w:hAnsi="Times New Roman" w:cs="Times New Roman"/>
                      <w:color w:val="000000"/>
                      <w:szCs w:val="21"/>
                      <w:highlight w:val="none"/>
                    </w:rPr>
                    <w:t>kg/h）</w:t>
                  </w:r>
                </w:p>
              </w:tc>
              <w:tc>
                <w:tcPr>
                  <w:tcW w:w="1032" w:type="dxa"/>
                  <w:vMerge w:val="restart"/>
                  <w:vAlign w:val="center"/>
                </w:tcPr>
                <w:p w14:paraId="791DD20F">
                  <w:pPr>
                    <w:jc w:val="center"/>
                    <w:rPr>
                      <w:rFonts w:hint="default" w:ascii="Times New Roman" w:hAnsi="Times New Roman" w:cs="Times New Roman"/>
                      <w:bCs/>
                      <w:color w:val="000000"/>
                      <w:szCs w:val="21"/>
                      <w:highlight w:val="none"/>
                    </w:rPr>
                  </w:pPr>
                  <w:r>
                    <w:rPr>
                      <w:rFonts w:hint="default" w:ascii="Times New Roman" w:hAnsi="Times New Roman" w:cs="Times New Roman"/>
                      <w:bCs/>
                      <w:color w:val="000000"/>
                      <w:szCs w:val="21"/>
                      <w:highlight w:val="none"/>
                    </w:rPr>
                    <w:t>排放量（</w:t>
                  </w:r>
                  <w:r>
                    <w:rPr>
                      <w:rFonts w:hint="default" w:ascii="Times New Roman" w:hAnsi="Times New Roman" w:cs="Times New Roman"/>
                      <w:color w:val="000000"/>
                      <w:szCs w:val="21"/>
                      <w:highlight w:val="none"/>
                    </w:rPr>
                    <w:t>kg/次）</w:t>
                  </w:r>
                </w:p>
              </w:tc>
              <w:tc>
                <w:tcPr>
                  <w:tcW w:w="2074" w:type="dxa"/>
                  <w:gridSpan w:val="2"/>
                  <w:vAlign w:val="center"/>
                </w:tcPr>
                <w:p w14:paraId="08109365">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排放标准</w:t>
                  </w:r>
                </w:p>
              </w:tc>
              <w:tc>
                <w:tcPr>
                  <w:tcW w:w="1375" w:type="dxa"/>
                  <w:vMerge w:val="restart"/>
                  <w:vAlign w:val="center"/>
                </w:tcPr>
                <w:p w14:paraId="7EF34C99">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是否</w:t>
                  </w:r>
                </w:p>
                <w:p w14:paraId="56CE91A7">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超标</w:t>
                  </w:r>
                </w:p>
              </w:tc>
            </w:tr>
            <w:tr w14:paraId="08F5D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267" w:type="dxa"/>
                  <w:vMerge w:val="continue"/>
                  <w:tcMar>
                    <w:top w:w="0" w:type="dxa"/>
                    <w:left w:w="0" w:type="dxa"/>
                    <w:bottom w:w="0" w:type="dxa"/>
                    <w:right w:w="0" w:type="dxa"/>
                  </w:tcMar>
                  <w:vAlign w:val="center"/>
                </w:tcPr>
                <w:p w14:paraId="6E908F35">
                  <w:pPr>
                    <w:jc w:val="center"/>
                    <w:rPr>
                      <w:rFonts w:hint="default" w:ascii="Times New Roman" w:hAnsi="Times New Roman" w:cs="Times New Roman"/>
                      <w:color w:val="000000"/>
                      <w:szCs w:val="21"/>
                      <w:highlight w:val="none"/>
                    </w:rPr>
                  </w:pPr>
                </w:p>
              </w:tc>
              <w:tc>
                <w:tcPr>
                  <w:tcW w:w="1115" w:type="dxa"/>
                  <w:vMerge w:val="continue"/>
                  <w:vAlign w:val="center"/>
                </w:tcPr>
                <w:p w14:paraId="3AD2D9D1">
                  <w:pPr>
                    <w:jc w:val="center"/>
                    <w:rPr>
                      <w:rFonts w:hint="default" w:ascii="Times New Roman" w:hAnsi="Times New Roman" w:cs="Times New Roman"/>
                      <w:color w:val="000000"/>
                      <w:szCs w:val="21"/>
                      <w:highlight w:val="none"/>
                    </w:rPr>
                  </w:pPr>
                </w:p>
              </w:tc>
              <w:tc>
                <w:tcPr>
                  <w:tcW w:w="1191" w:type="dxa"/>
                  <w:vMerge w:val="continue"/>
                  <w:vAlign w:val="center"/>
                </w:tcPr>
                <w:p w14:paraId="45FB009D">
                  <w:pPr>
                    <w:jc w:val="center"/>
                    <w:rPr>
                      <w:rFonts w:hint="default" w:ascii="Times New Roman" w:hAnsi="Times New Roman" w:cs="Times New Roman"/>
                      <w:color w:val="000000"/>
                      <w:szCs w:val="21"/>
                      <w:highlight w:val="none"/>
                    </w:rPr>
                  </w:pPr>
                </w:p>
              </w:tc>
              <w:tc>
                <w:tcPr>
                  <w:tcW w:w="1156" w:type="dxa"/>
                  <w:vMerge w:val="continue"/>
                  <w:vAlign w:val="center"/>
                </w:tcPr>
                <w:p w14:paraId="49537122">
                  <w:pPr>
                    <w:jc w:val="center"/>
                    <w:rPr>
                      <w:rFonts w:hint="default" w:ascii="Times New Roman" w:hAnsi="Times New Roman" w:cs="Times New Roman"/>
                      <w:color w:val="000000"/>
                      <w:szCs w:val="21"/>
                      <w:highlight w:val="none"/>
                    </w:rPr>
                  </w:pPr>
                </w:p>
              </w:tc>
              <w:tc>
                <w:tcPr>
                  <w:tcW w:w="1032" w:type="dxa"/>
                  <w:vMerge w:val="continue"/>
                  <w:vAlign w:val="center"/>
                </w:tcPr>
                <w:p w14:paraId="212806FC">
                  <w:pPr>
                    <w:jc w:val="center"/>
                    <w:rPr>
                      <w:rFonts w:hint="default" w:ascii="Times New Roman" w:hAnsi="Times New Roman" w:cs="Times New Roman"/>
                      <w:color w:val="000000"/>
                      <w:szCs w:val="21"/>
                      <w:highlight w:val="none"/>
                    </w:rPr>
                  </w:pPr>
                </w:p>
              </w:tc>
              <w:tc>
                <w:tcPr>
                  <w:tcW w:w="950" w:type="dxa"/>
                  <w:vAlign w:val="center"/>
                </w:tcPr>
                <w:p w14:paraId="17A0BF07">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浓度</w:t>
                  </w:r>
                </w:p>
                <w:p w14:paraId="0CCD1BFB">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mg/m</w:t>
                  </w:r>
                  <w:r>
                    <w:rPr>
                      <w:rFonts w:hint="default" w:ascii="Times New Roman" w:hAnsi="Times New Roman" w:cs="Times New Roman"/>
                      <w:color w:val="000000"/>
                      <w:szCs w:val="21"/>
                      <w:highlight w:val="none"/>
                      <w:vertAlign w:val="superscript"/>
                    </w:rPr>
                    <w:t>3</w:t>
                  </w:r>
                </w:p>
              </w:tc>
              <w:tc>
                <w:tcPr>
                  <w:tcW w:w="1124" w:type="dxa"/>
                  <w:vAlign w:val="center"/>
                </w:tcPr>
                <w:p w14:paraId="33B714A5">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速率</w:t>
                  </w:r>
                </w:p>
                <w:p w14:paraId="119FDB15">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kg/h</w:t>
                  </w:r>
                </w:p>
              </w:tc>
              <w:tc>
                <w:tcPr>
                  <w:tcW w:w="1375" w:type="dxa"/>
                  <w:vMerge w:val="continue"/>
                  <w:vAlign w:val="center"/>
                </w:tcPr>
                <w:p w14:paraId="3CA45FA3">
                  <w:pPr>
                    <w:jc w:val="center"/>
                    <w:rPr>
                      <w:rFonts w:hint="default" w:ascii="Times New Roman" w:hAnsi="Times New Roman" w:cs="Times New Roman"/>
                      <w:color w:val="000000"/>
                      <w:szCs w:val="21"/>
                      <w:highlight w:val="none"/>
                    </w:rPr>
                  </w:pPr>
                </w:p>
              </w:tc>
            </w:tr>
            <w:tr w14:paraId="20E22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67" w:type="dxa"/>
                  <w:vMerge w:val="restart"/>
                  <w:shd w:val="clear" w:color="auto" w:fill="auto"/>
                  <w:tcMar>
                    <w:top w:w="0" w:type="dxa"/>
                    <w:left w:w="0" w:type="dxa"/>
                    <w:bottom w:w="0" w:type="dxa"/>
                    <w:right w:w="0" w:type="dxa"/>
                  </w:tcMar>
                  <w:vAlign w:val="center"/>
                </w:tcPr>
                <w:p w14:paraId="59D67B6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P1</w:t>
                  </w:r>
                </w:p>
              </w:tc>
              <w:tc>
                <w:tcPr>
                  <w:tcW w:w="1115" w:type="dxa"/>
                  <w:shd w:val="clear" w:color="auto" w:fill="auto"/>
                  <w:vAlign w:val="center"/>
                </w:tcPr>
                <w:p w14:paraId="1449F538">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VOCs</w:t>
                  </w:r>
                </w:p>
              </w:tc>
              <w:tc>
                <w:tcPr>
                  <w:tcW w:w="1191" w:type="dxa"/>
                  <w:shd w:val="clear" w:color="auto" w:fill="auto"/>
                  <w:vAlign w:val="center"/>
                </w:tcPr>
                <w:p w14:paraId="7451190B">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164.75</w:t>
                  </w:r>
                </w:p>
              </w:tc>
              <w:tc>
                <w:tcPr>
                  <w:tcW w:w="1156" w:type="dxa"/>
                  <w:shd w:val="clear" w:color="auto" w:fill="auto"/>
                  <w:vAlign w:val="center"/>
                </w:tcPr>
                <w:p w14:paraId="663AA192">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0.824</w:t>
                  </w:r>
                </w:p>
              </w:tc>
              <w:tc>
                <w:tcPr>
                  <w:tcW w:w="1032" w:type="dxa"/>
                  <w:shd w:val="clear" w:color="auto" w:fill="auto"/>
                  <w:vAlign w:val="center"/>
                </w:tcPr>
                <w:p w14:paraId="7255518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0.824</w:t>
                  </w:r>
                </w:p>
              </w:tc>
              <w:tc>
                <w:tcPr>
                  <w:tcW w:w="950" w:type="dxa"/>
                  <w:shd w:val="clear" w:color="auto" w:fill="auto"/>
                  <w:vAlign w:val="center"/>
                </w:tcPr>
                <w:p w14:paraId="4E24982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60</w:t>
                  </w:r>
                </w:p>
              </w:tc>
              <w:tc>
                <w:tcPr>
                  <w:tcW w:w="1124" w:type="dxa"/>
                  <w:shd w:val="clear" w:color="auto" w:fill="auto"/>
                  <w:vAlign w:val="center"/>
                </w:tcPr>
                <w:p w14:paraId="6CEF002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3.0</w:t>
                  </w:r>
                </w:p>
              </w:tc>
              <w:tc>
                <w:tcPr>
                  <w:tcW w:w="1375" w:type="dxa"/>
                  <w:vAlign w:val="center"/>
                </w:tcPr>
                <w:p w14:paraId="27E54058">
                  <w:pPr>
                    <w:spacing w:line="280" w:lineRule="exac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超标</w:t>
                  </w:r>
                </w:p>
              </w:tc>
            </w:tr>
            <w:tr w14:paraId="1BE63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67" w:type="dxa"/>
                  <w:vMerge w:val="continue"/>
                  <w:shd w:val="clear" w:color="auto" w:fill="auto"/>
                  <w:tcMar>
                    <w:top w:w="0" w:type="dxa"/>
                    <w:left w:w="0" w:type="dxa"/>
                    <w:bottom w:w="0" w:type="dxa"/>
                    <w:right w:w="0" w:type="dxa"/>
                  </w:tcMar>
                  <w:vAlign w:val="center"/>
                </w:tcPr>
                <w:p w14:paraId="1FDB0E0D">
                  <w:pPr>
                    <w:adjustRightInd w:val="0"/>
                    <w:snapToGrid w:val="0"/>
                    <w:jc w:val="center"/>
                    <w:rPr>
                      <w:rFonts w:hint="default" w:ascii="Times New Roman" w:hAnsi="Times New Roman" w:cs="Times New Roman"/>
                      <w:szCs w:val="21"/>
                      <w:highlight w:val="none"/>
                    </w:rPr>
                  </w:pPr>
                </w:p>
              </w:tc>
              <w:tc>
                <w:tcPr>
                  <w:tcW w:w="1115" w:type="dxa"/>
                  <w:shd w:val="clear" w:color="auto" w:fill="auto"/>
                  <w:vAlign w:val="center"/>
                </w:tcPr>
                <w:p w14:paraId="31B6D5D3">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甲醇</w:t>
                  </w:r>
                </w:p>
              </w:tc>
              <w:tc>
                <w:tcPr>
                  <w:tcW w:w="1191" w:type="dxa"/>
                  <w:shd w:val="clear" w:color="auto" w:fill="auto"/>
                  <w:vAlign w:val="center"/>
                </w:tcPr>
                <w:p w14:paraId="4E35D5F8">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74.917</w:t>
                  </w:r>
                </w:p>
              </w:tc>
              <w:tc>
                <w:tcPr>
                  <w:tcW w:w="1156" w:type="dxa"/>
                  <w:shd w:val="clear" w:color="auto" w:fill="auto"/>
                  <w:vAlign w:val="center"/>
                </w:tcPr>
                <w:p w14:paraId="025E6E87">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0.375</w:t>
                  </w:r>
                </w:p>
              </w:tc>
              <w:tc>
                <w:tcPr>
                  <w:tcW w:w="1032" w:type="dxa"/>
                  <w:shd w:val="clear" w:color="auto" w:fill="auto"/>
                  <w:vAlign w:val="center"/>
                </w:tcPr>
                <w:p w14:paraId="7BC2E5F0">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0.375</w:t>
                  </w:r>
                </w:p>
              </w:tc>
              <w:tc>
                <w:tcPr>
                  <w:tcW w:w="950" w:type="dxa"/>
                  <w:shd w:val="clear" w:color="auto" w:fill="auto"/>
                  <w:vAlign w:val="center"/>
                </w:tcPr>
                <w:p w14:paraId="7EFC318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50</w:t>
                  </w:r>
                </w:p>
              </w:tc>
              <w:tc>
                <w:tcPr>
                  <w:tcW w:w="1124" w:type="dxa"/>
                  <w:shd w:val="clear" w:color="auto" w:fill="auto"/>
                  <w:vAlign w:val="center"/>
                </w:tcPr>
                <w:p w14:paraId="2C051D3A">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375" w:type="dxa"/>
                  <w:vAlign w:val="center"/>
                </w:tcPr>
                <w:p w14:paraId="5B3F066C">
                  <w:pPr>
                    <w:spacing w:line="280" w:lineRule="exact"/>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超标</w:t>
                  </w:r>
                </w:p>
              </w:tc>
            </w:tr>
            <w:tr w14:paraId="7DF25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267" w:type="dxa"/>
                  <w:vMerge w:val="continue"/>
                  <w:shd w:val="clear" w:color="auto" w:fill="auto"/>
                  <w:vAlign w:val="center"/>
                </w:tcPr>
                <w:p w14:paraId="6A62BF7E">
                  <w:pPr>
                    <w:adjustRightInd w:val="0"/>
                    <w:snapToGrid w:val="0"/>
                    <w:jc w:val="center"/>
                    <w:rPr>
                      <w:rFonts w:hint="default" w:ascii="Times New Roman" w:hAnsi="Times New Roman" w:cs="Times New Roman"/>
                      <w:szCs w:val="21"/>
                      <w:highlight w:val="none"/>
                    </w:rPr>
                  </w:pPr>
                </w:p>
              </w:tc>
              <w:tc>
                <w:tcPr>
                  <w:tcW w:w="1115" w:type="dxa"/>
                  <w:shd w:val="clear" w:color="auto" w:fill="auto"/>
                  <w:vAlign w:val="center"/>
                </w:tcPr>
                <w:p w14:paraId="695942A7">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正己烷</w:t>
                  </w:r>
                </w:p>
              </w:tc>
              <w:tc>
                <w:tcPr>
                  <w:tcW w:w="1191" w:type="dxa"/>
                  <w:shd w:val="clear" w:color="auto" w:fill="auto"/>
                  <w:vAlign w:val="center"/>
                </w:tcPr>
                <w:p w14:paraId="205EE081">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23.9</w:t>
                  </w:r>
                </w:p>
              </w:tc>
              <w:tc>
                <w:tcPr>
                  <w:tcW w:w="1156" w:type="dxa"/>
                  <w:shd w:val="clear" w:color="auto" w:fill="auto"/>
                  <w:vAlign w:val="center"/>
                </w:tcPr>
                <w:p w14:paraId="72D7748D">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0.12</w:t>
                  </w:r>
                </w:p>
              </w:tc>
              <w:tc>
                <w:tcPr>
                  <w:tcW w:w="1032" w:type="dxa"/>
                  <w:shd w:val="clear" w:color="auto" w:fill="auto"/>
                  <w:vAlign w:val="center"/>
                </w:tcPr>
                <w:p w14:paraId="4E9F2E32">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0.12</w:t>
                  </w:r>
                </w:p>
              </w:tc>
              <w:tc>
                <w:tcPr>
                  <w:tcW w:w="950" w:type="dxa"/>
                  <w:shd w:val="clear" w:color="auto" w:fill="auto"/>
                  <w:vAlign w:val="center"/>
                </w:tcPr>
                <w:p w14:paraId="4BBC206F">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50</w:t>
                  </w:r>
                </w:p>
              </w:tc>
              <w:tc>
                <w:tcPr>
                  <w:tcW w:w="1124" w:type="dxa"/>
                  <w:shd w:val="clear" w:color="auto" w:fill="auto"/>
                  <w:vAlign w:val="center"/>
                </w:tcPr>
                <w:p w14:paraId="0B352E39">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1375" w:type="dxa"/>
                  <w:vAlign w:val="center"/>
                </w:tcPr>
                <w:p w14:paraId="123B09C4">
                  <w:pPr>
                    <w:spacing w:line="280" w:lineRule="exact"/>
                    <w:jc w:val="center"/>
                    <w:rPr>
                      <w:rFonts w:hint="eastAsia" w:ascii="Times New Roman" w:hAnsi="Times New Roman" w:eastAsia="宋体" w:cs="Times New Roman"/>
                      <w:color w:val="000000"/>
                      <w:szCs w:val="21"/>
                      <w:highlight w:val="none"/>
                      <w:lang w:eastAsia="zh-CN"/>
                    </w:rPr>
                  </w:pPr>
                  <w:r>
                    <w:rPr>
                      <w:rFonts w:hint="eastAsia" w:cs="Times New Roman"/>
                      <w:color w:val="000000"/>
                      <w:szCs w:val="21"/>
                      <w:highlight w:val="none"/>
                      <w:lang w:val="en-US" w:eastAsia="zh-CN"/>
                    </w:rPr>
                    <w:t>达标</w:t>
                  </w:r>
                </w:p>
              </w:tc>
            </w:tr>
          </w:tbl>
          <w:p w14:paraId="55AD1949">
            <w:pPr>
              <w:tabs>
                <w:tab w:val="left" w:pos="1680"/>
              </w:tabs>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bCs/>
                <w:color w:val="000000"/>
                <w:sz w:val="24"/>
                <w:highlight w:val="none"/>
              </w:rPr>
              <w:t>由上表可知，本项目废气处理措施非正常工况下，不能达标排放，企业应加强环保设施的检修工作，确保环保设施有效运行，防止非正常工况现象发生。</w:t>
            </w:r>
          </w:p>
          <w:p w14:paraId="6CAFF2FD">
            <w:pPr>
              <w:adjustRightInd w:val="0"/>
              <w:snapToGrid w:val="0"/>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非正常排放应对措施：强化生产设备和环保设备的运行管理、定期对其进行检修，一旦发现环保设备运转不正常，或无法运转，需立即停止生产，减少对周围大气环境造成的影响。</w:t>
            </w:r>
          </w:p>
          <w:p w14:paraId="3509BC36">
            <w:pPr>
              <w:spacing w:line="360" w:lineRule="auto"/>
              <w:ind w:firstLine="482" w:firstLineChars="200"/>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6、监测计划</w:t>
            </w:r>
          </w:p>
          <w:p w14:paraId="51863776">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color w:val="000000"/>
                <w:sz w:val="24"/>
                <w:highlight w:val="none"/>
              </w:rPr>
              <w:t>根据《排污单位自行监测技术指南 总则》（HJ819-2017），项目废气监测计划见下表。</w:t>
            </w:r>
          </w:p>
          <w:p w14:paraId="250A8D86">
            <w:pPr>
              <w:spacing w:line="360" w:lineRule="auto"/>
              <w:ind w:firstLine="482" w:firstLineChars="200"/>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表4-9  废气监测计划一览表</w:t>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9"/>
              <w:gridCol w:w="2660"/>
              <w:gridCol w:w="2304"/>
              <w:gridCol w:w="2777"/>
            </w:tblGrid>
            <w:tr w14:paraId="672B0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9" w:type="dxa"/>
                  <w:tcBorders>
                    <w:top w:val="single" w:color="auto" w:sz="4" w:space="0"/>
                    <w:left w:val="single" w:color="auto" w:sz="4" w:space="0"/>
                    <w:bottom w:val="single" w:color="auto" w:sz="4" w:space="0"/>
                    <w:right w:val="single" w:color="auto" w:sz="4" w:space="0"/>
                  </w:tcBorders>
                  <w:vAlign w:val="center"/>
                </w:tcPr>
                <w:p w14:paraId="20E4177C">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环境要素</w:t>
                  </w:r>
                </w:p>
              </w:tc>
              <w:tc>
                <w:tcPr>
                  <w:tcW w:w="2660" w:type="dxa"/>
                  <w:tcBorders>
                    <w:top w:val="single" w:color="auto" w:sz="4" w:space="0"/>
                    <w:left w:val="single" w:color="auto" w:sz="4" w:space="0"/>
                    <w:bottom w:val="single" w:color="auto" w:sz="4" w:space="0"/>
                    <w:right w:val="single" w:color="auto" w:sz="4" w:space="0"/>
                  </w:tcBorders>
                  <w:vAlign w:val="center"/>
                </w:tcPr>
                <w:p w14:paraId="6965C6A9">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监测位置</w:t>
                  </w:r>
                </w:p>
              </w:tc>
              <w:tc>
                <w:tcPr>
                  <w:tcW w:w="2304" w:type="dxa"/>
                  <w:tcBorders>
                    <w:top w:val="single" w:color="auto" w:sz="4" w:space="0"/>
                    <w:left w:val="single" w:color="auto" w:sz="4" w:space="0"/>
                    <w:bottom w:val="single" w:color="auto" w:sz="4" w:space="0"/>
                    <w:right w:val="single" w:color="auto" w:sz="4" w:space="0"/>
                  </w:tcBorders>
                  <w:vAlign w:val="center"/>
                </w:tcPr>
                <w:p w14:paraId="008340B4">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监测项目</w:t>
                  </w:r>
                </w:p>
              </w:tc>
              <w:tc>
                <w:tcPr>
                  <w:tcW w:w="2777" w:type="dxa"/>
                  <w:tcBorders>
                    <w:top w:val="single" w:color="auto" w:sz="4" w:space="0"/>
                    <w:left w:val="single" w:color="auto" w:sz="4" w:space="0"/>
                    <w:bottom w:val="single" w:color="auto" w:sz="4" w:space="0"/>
                    <w:right w:val="single" w:color="auto" w:sz="4" w:space="0"/>
                  </w:tcBorders>
                  <w:vAlign w:val="center"/>
                </w:tcPr>
                <w:p w14:paraId="4655DDCE">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监测频次</w:t>
                  </w:r>
                </w:p>
              </w:tc>
            </w:tr>
            <w:tr w14:paraId="24D76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9" w:type="dxa"/>
                  <w:vMerge w:val="restart"/>
                  <w:tcBorders>
                    <w:top w:val="single" w:color="auto" w:sz="4" w:space="0"/>
                    <w:left w:val="single" w:color="auto" w:sz="4" w:space="0"/>
                    <w:right w:val="single" w:color="auto" w:sz="4" w:space="0"/>
                  </w:tcBorders>
                  <w:vAlign w:val="center"/>
                </w:tcPr>
                <w:p w14:paraId="7984549E">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废气</w:t>
                  </w:r>
                </w:p>
              </w:tc>
              <w:tc>
                <w:tcPr>
                  <w:tcW w:w="2660" w:type="dxa"/>
                  <w:tcBorders>
                    <w:top w:val="single" w:color="auto" w:sz="4" w:space="0"/>
                    <w:left w:val="single" w:color="auto" w:sz="4" w:space="0"/>
                    <w:right w:val="single" w:color="auto" w:sz="4" w:space="0"/>
                  </w:tcBorders>
                  <w:shd w:val="clear" w:color="auto" w:fill="auto"/>
                  <w:vAlign w:val="center"/>
                </w:tcPr>
                <w:p w14:paraId="64AF1F64">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P1</w:t>
                  </w:r>
                </w:p>
              </w:tc>
              <w:tc>
                <w:tcPr>
                  <w:tcW w:w="2304" w:type="dxa"/>
                  <w:tcBorders>
                    <w:top w:val="single" w:color="auto" w:sz="4" w:space="0"/>
                    <w:left w:val="single" w:color="auto" w:sz="4" w:space="0"/>
                    <w:bottom w:val="single" w:color="auto" w:sz="4" w:space="0"/>
                    <w:right w:val="single" w:color="auto" w:sz="4" w:space="0"/>
                  </w:tcBorders>
                  <w:shd w:val="clear" w:color="auto" w:fill="auto"/>
                  <w:vAlign w:val="center"/>
                </w:tcPr>
                <w:p w14:paraId="2D54320B">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VOCs、甲醇、正己烷</w:t>
                  </w:r>
                </w:p>
              </w:tc>
              <w:tc>
                <w:tcPr>
                  <w:tcW w:w="2777" w:type="dxa"/>
                  <w:tcBorders>
                    <w:top w:val="single" w:color="auto" w:sz="4" w:space="0"/>
                    <w:left w:val="single" w:color="auto" w:sz="4" w:space="0"/>
                    <w:right w:val="single" w:color="auto" w:sz="4" w:space="0"/>
                  </w:tcBorders>
                  <w:vAlign w:val="center"/>
                </w:tcPr>
                <w:p w14:paraId="1210AD5C">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每半年一次</w:t>
                  </w:r>
                </w:p>
              </w:tc>
            </w:tr>
            <w:tr w14:paraId="44B52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9" w:type="dxa"/>
                  <w:vMerge w:val="continue"/>
                  <w:tcBorders>
                    <w:left w:val="single" w:color="auto" w:sz="4" w:space="0"/>
                    <w:right w:val="single" w:color="auto" w:sz="4" w:space="0"/>
                  </w:tcBorders>
                  <w:vAlign w:val="center"/>
                </w:tcPr>
                <w:p w14:paraId="75E454C1">
                  <w:pPr>
                    <w:overflowPunct w:val="0"/>
                    <w:jc w:val="center"/>
                    <w:rPr>
                      <w:rFonts w:hint="default" w:ascii="Times New Roman" w:hAnsi="Times New Roman" w:eastAsia="宋体" w:cs="Times New Roman"/>
                      <w:szCs w:val="21"/>
                      <w:highlight w:val="none"/>
                      <w:lang w:bidi="zh-CN"/>
                    </w:rPr>
                  </w:pPr>
                </w:p>
              </w:tc>
              <w:tc>
                <w:tcPr>
                  <w:tcW w:w="2660" w:type="dxa"/>
                  <w:tcBorders>
                    <w:top w:val="single" w:color="auto" w:sz="4" w:space="0"/>
                    <w:left w:val="single" w:color="auto" w:sz="4" w:space="0"/>
                    <w:bottom w:val="single" w:color="auto" w:sz="4" w:space="0"/>
                    <w:right w:val="single" w:color="auto" w:sz="4" w:space="0"/>
                  </w:tcBorders>
                  <w:vAlign w:val="center"/>
                </w:tcPr>
                <w:p w14:paraId="5394764F">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厂界无组织</w:t>
                  </w:r>
                </w:p>
              </w:tc>
              <w:tc>
                <w:tcPr>
                  <w:tcW w:w="2304" w:type="dxa"/>
                  <w:tcBorders>
                    <w:top w:val="single" w:color="auto" w:sz="4" w:space="0"/>
                    <w:left w:val="single" w:color="auto" w:sz="4" w:space="0"/>
                    <w:bottom w:val="single" w:color="auto" w:sz="4" w:space="0"/>
                    <w:right w:val="single" w:color="auto" w:sz="4" w:space="0"/>
                  </w:tcBorders>
                  <w:vAlign w:val="center"/>
                </w:tcPr>
                <w:p w14:paraId="018B9AD5">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VOCs、甲醇</w:t>
                  </w:r>
                </w:p>
              </w:tc>
              <w:tc>
                <w:tcPr>
                  <w:tcW w:w="2777" w:type="dxa"/>
                  <w:tcBorders>
                    <w:top w:val="single" w:color="auto" w:sz="4" w:space="0"/>
                    <w:left w:val="single" w:color="auto" w:sz="4" w:space="0"/>
                    <w:bottom w:val="single" w:color="auto" w:sz="4" w:space="0"/>
                    <w:right w:val="single" w:color="auto" w:sz="4" w:space="0"/>
                  </w:tcBorders>
                  <w:vAlign w:val="center"/>
                </w:tcPr>
                <w:p w14:paraId="63BF8098">
                  <w:pPr>
                    <w:overflowPunct w:val="0"/>
                    <w:jc w:val="center"/>
                    <w:rPr>
                      <w:rFonts w:hint="default" w:ascii="Times New Roman" w:hAnsi="Times New Roman" w:eastAsia="宋体" w:cs="Times New Roman"/>
                      <w:szCs w:val="21"/>
                      <w:highlight w:val="none"/>
                      <w:lang w:bidi="zh-CN"/>
                    </w:rPr>
                  </w:pPr>
                  <w:r>
                    <w:rPr>
                      <w:rFonts w:hint="default" w:ascii="Times New Roman" w:hAnsi="Times New Roman" w:eastAsia="宋体" w:cs="Times New Roman"/>
                      <w:szCs w:val="21"/>
                      <w:highlight w:val="none"/>
                      <w:lang w:bidi="zh-CN"/>
                    </w:rPr>
                    <w:t>每半年一次</w:t>
                  </w:r>
                </w:p>
              </w:tc>
            </w:tr>
          </w:tbl>
          <w:p w14:paraId="75E44103">
            <w:pPr>
              <w:adjustRightInd w:val="0"/>
              <w:snapToGrid w:val="0"/>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二、废水</w:t>
            </w:r>
          </w:p>
          <w:p w14:paraId="509EF817">
            <w:pPr>
              <w:spacing w:line="360" w:lineRule="auto"/>
              <w:ind w:firstLine="482" w:firstLineChars="200"/>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1、废水产生与排放情况</w:t>
            </w:r>
          </w:p>
          <w:p w14:paraId="7DA068B0">
            <w:pPr>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本项目采用雨污分流制。调配用水随产品带走，喷淋废水委托有资质单位处理。项目无废水外排。</w:t>
            </w:r>
          </w:p>
          <w:p w14:paraId="0DDD1C14">
            <w:pPr>
              <w:spacing w:line="360" w:lineRule="auto"/>
              <w:ind w:firstLine="482" w:firstLineChars="200"/>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三、噪声</w:t>
            </w:r>
          </w:p>
          <w:p w14:paraId="768AF3B8">
            <w:pPr>
              <w:widowControl/>
              <w:spacing w:line="360" w:lineRule="auto"/>
              <w:ind w:firstLine="482" w:firstLineChars="200"/>
              <w:jc w:val="left"/>
              <w:rPr>
                <w:rFonts w:hint="default" w:ascii="Times New Roman" w:hAnsi="Times New Roman" w:cs="Times New Roman"/>
                <w:color w:val="000000"/>
                <w:sz w:val="24"/>
                <w:highlight w:val="none"/>
              </w:rPr>
            </w:pPr>
            <w:r>
              <w:rPr>
                <w:rFonts w:hint="default" w:ascii="Times New Roman" w:hAnsi="Times New Roman" w:cs="Times New Roman"/>
                <w:b/>
                <w:bCs/>
                <w:color w:val="000000"/>
                <w:kern w:val="0"/>
                <w:sz w:val="24"/>
                <w:highlight w:val="none"/>
                <w:lang w:bidi="ar"/>
              </w:rPr>
              <w:t>1、噪声源</w:t>
            </w:r>
          </w:p>
          <w:p w14:paraId="4BB4CC7C">
            <w:pPr>
              <w:widowControl/>
              <w:spacing w:line="360" w:lineRule="auto"/>
              <w:ind w:firstLine="480" w:firstLineChars="200"/>
              <w:jc w:val="left"/>
              <w:rPr>
                <w:rFonts w:hint="default" w:ascii="Times New Roman" w:hAnsi="Times New Roman" w:cs="Times New Roman"/>
                <w:color w:val="000000"/>
                <w:kern w:val="0"/>
                <w:sz w:val="24"/>
                <w:highlight w:val="none"/>
                <w:lang w:bidi="ar"/>
              </w:rPr>
            </w:pPr>
            <w:r>
              <w:rPr>
                <w:rFonts w:hint="default" w:ascii="Times New Roman" w:hAnsi="Times New Roman" w:cs="Times New Roman"/>
                <w:color w:val="000000"/>
                <w:kern w:val="0"/>
                <w:sz w:val="24"/>
                <w:highlight w:val="none"/>
                <w:lang w:bidi="ar"/>
              </w:rPr>
              <w:t>项目噪声源主要为机械运转、各种风机、泵类等，设备噪声值约为65-85dB（A）之间。经设备基础减震后，加之厂房隔声、距离衰减等降噪措施，可实现厂界昼间噪声≤65dB（A）。</w:t>
            </w:r>
          </w:p>
          <w:p w14:paraId="72158796">
            <w:pPr>
              <w:widowControl/>
              <w:spacing w:line="360" w:lineRule="auto"/>
              <w:ind w:firstLine="480" w:firstLineChars="200"/>
              <w:jc w:val="left"/>
              <w:rPr>
                <w:rFonts w:hint="default" w:ascii="Times New Roman" w:hAnsi="Times New Roman" w:cs="Times New Roman"/>
                <w:color w:val="000000"/>
                <w:kern w:val="0"/>
                <w:sz w:val="24"/>
                <w:highlight w:val="none"/>
                <w:lang w:bidi="ar"/>
              </w:rPr>
            </w:pPr>
            <w:r>
              <w:rPr>
                <w:rFonts w:hint="default" w:ascii="Times New Roman" w:hAnsi="Times New Roman" w:cs="Times New Roman"/>
                <w:color w:val="000000"/>
                <w:kern w:val="0"/>
                <w:sz w:val="24"/>
                <w:highlight w:val="none"/>
                <w:lang w:bidi="ar"/>
              </w:rPr>
              <w:t>设备噪声治理措施及效果见下表：</w:t>
            </w:r>
          </w:p>
          <w:p w14:paraId="3EFF7DD4">
            <w:pPr>
              <w:widowControl/>
              <w:spacing w:line="360" w:lineRule="auto"/>
              <w:ind w:firstLine="482" w:firstLineChars="200"/>
              <w:jc w:val="center"/>
              <w:rPr>
                <w:rFonts w:hint="default" w:ascii="Times New Roman" w:hAnsi="Times New Roman" w:cs="Times New Roman"/>
                <w:color w:val="000000"/>
                <w:kern w:val="0"/>
                <w:sz w:val="24"/>
                <w:highlight w:val="none"/>
                <w:lang w:bidi="ar"/>
              </w:rPr>
            </w:pPr>
            <w:r>
              <w:rPr>
                <w:rFonts w:hint="default" w:ascii="Times New Roman" w:hAnsi="Times New Roman" w:cs="Times New Roman"/>
                <w:b/>
                <w:bCs/>
                <w:color w:val="000000"/>
                <w:sz w:val="24"/>
                <w:highlight w:val="none"/>
              </w:rPr>
              <w:t>表4-10  工业企业噪声源强调查清单（室内声源）</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0"/>
              <w:gridCol w:w="519"/>
              <w:gridCol w:w="706"/>
              <w:gridCol w:w="706"/>
              <w:gridCol w:w="690"/>
              <w:gridCol w:w="705"/>
              <w:gridCol w:w="510"/>
              <w:gridCol w:w="540"/>
              <w:gridCol w:w="540"/>
              <w:gridCol w:w="420"/>
              <w:gridCol w:w="564"/>
              <w:gridCol w:w="564"/>
              <w:gridCol w:w="564"/>
              <w:gridCol w:w="564"/>
              <w:gridCol w:w="564"/>
              <w:gridCol w:w="564"/>
            </w:tblGrid>
            <w:tr w14:paraId="1DEF4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vMerge w:val="restart"/>
                  <w:vAlign w:val="center"/>
                </w:tcPr>
                <w:p w14:paraId="6A8AFD10">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序号</w:t>
                  </w:r>
                </w:p>
              </w:tc>
              <w:tc>
                <w:tcPr>
                  <w:tcW w:w="519" w:type="dxa"/>
                  <w:vMerge w:val="restart"/>
                  <w:vAlign w:val="center"/>
                </w:tcPr>
                <w:p w14:paraId="711B40DA">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建筑物名称</w:t>
                  </w:r>
                </w:p>
              </w:tc>
              <w:tc>
                <w:tcPr>
                  <w:tcW w:w="706" w:type="dxa"/>
                  <w:vMerge w:val="restart"/>
                  <w:shd w:val="clear" w:color="auto" w:fill="auto"/>
                  <w:vAlign w:val="center"/>
                </w:tcPr>
                <w:p w14:paraId="3D93D691">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声源名称</w:t>
                  </w:r>
                </w:p>
              </w:tc>
              <w:tc>
                <w:tcPr>
                  <w:tcW w:w="706" w:type="dxa"/>
                  <w:vMerge w:val="restart"/>
                  <w:shd w:val="clear" w:color="auto" w:fill="auto"/>
                  <w:vAlign w:val="center"/>
                </w:tcPr>
                <w:p w14:paraId="6B9B5DC0">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型号</w:t>
                  </w:r>
                </w:p>
              </w:tc>
              <w:tc>
                <w:tcPr>
                  <w:tcW w:w="690" w:type="dxa"/>
                  <w:vMerge w:val="restart"/>
                  <w:vAlign w:val="center"/>
                </w:tcPr>
                <w:p w14:paraId="4268903A">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声源</w:t>
                  </w:r>
                </w:p>
                <w:p w14:paraId="4071D61D">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数量</w:t>
                  </w:r>
                </w:p>
                <w:p w14:paraId="6A2FF697">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（台/套）</w:t>
                  </w:r>
                </w:p>
              </w:tc>
              <w:tc>
                <w:tcPr>
                  <w:tcW w:w="705" w:type="dxa"/>
                  <w:vMerge w:val="restart"/>
                  <w:shd w:val="clear" w:color="auto" w:fill="auto"/>
                  <w:vAlign w:val="center"/>
                </w:tcPr>
                <w:p w14:paraId="4D13F9D0">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声源源强</w:t>
                  </w:r>
                </w:p>
              </w:tc>
              <w:tc>
                <w:tcPr>
                  <w:tcW w:w="510" w:type="dxa"/>
                  <w:vMerge w:val="restart"/>
                  <w:shd w:val="clear" w:color="auto" w:fill="auto"/>
                  <w:vAlign w:val="center"/>
                </w:tcPr>
                <w:p w14:paraId="12637D2D">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声源控制措施</w:t>
                  </w:r>
                </w:p>
              </w:tc>
              <w:tc>
                <w:tcPr>
                  <w:tcW w:w="1500" w:type="dxa"/>
                  <w:gridSpan w:val="3"/>
                  <w:vMerge w:val="restart"/>
                  <w:vAlign w:val="center"/>
                </w:tcPr>
                <w:p w14:paraId="0DC5EE4F">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空间相对位置/m</w:t>
                  </w:r>
                </w:p>
              </w:tc>
              <w:tc>
                <w:tcPr>
                  <w:tcW w:w="564" w:type="dxa"/>
                  <w:vMerge w:val="restart"/>
                  <w:shd w:val="clear" w:color="auto" w:fill="auto"/>
                  <w:vAlign w:val="center"/>
                </w:tcPr>
                <w:p w14:paraId="7D5400B2">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距室内边界距离/m</w:t>
                  </w:r>
                </w:p>
              </w:tc>
              <w:tc>
                <w:tcPr>
                  <w:tcW w:w="564" w:type="dxa"/>
                  <w:vMerge w:val="restart"/>
                  <w:shd w:val="clear" w:color="auto" w:fill="auto"/>
                  <w:vAlign w:val="center"/>
                </w:tcPr>
                <w:p w14:paraId="1AABAF1E">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室内边界声级/dB(A)</w:t>
                  </w:r>
                </w:p>
              </w:tc>
              <w:tc>
                <w:tcPr>
                  <w:tcW w:w="564" w:type="dxa"/>
                  <w:vMerge w:val="restart"/>
                  <w:shd w:val="clear" w:color="auto" w:fill="auto"/>
                  <w:vAlign w:val="center"/>
                </w:tcPr>
                <w:p w14:paraId="4769CE84">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运行时段</w:t>
                  </w:r>
                </w:p>
              </w:tc>
              <w:tc>
                <w:tcPr>
                  <w:tcW w:w="564" w:type="dxa"/>
                  <w:vMerge w:val="restart"/>
                  <w:shd w:val="clear" w:color="auto" w:fill="auto"/>
                  <w:vAlign w:val="center"/>
                </w:tcPr>
                <w:p w14:paraId="412475C5">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建筑物插入损失/dB(A)</w:t>
                  </w:r>
                </w:p>
              </w:tc>
              <w:tc>
                <w:tcPr>
                  <w:tcW w:w="1128" w:type="dxa"/>
                  <w:gridSpan w:val="2"/>
                  <w:vAlign w:val="center"/>
                </w:tcPr>
                <w:p w14:paraId="2EC6DBE9">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建筑物外噪声</w:t>
                  </w:r>
                </w:p>
              </w:tc>
            </w:tr>
            <w:tr w14:paraId="3B446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vMerge w:val="continue"/>
                  <w:vAlign w:val="center"/>
                </w:tcPr>
                <w:p w14:paraId="00BEB518">
                  <w:pPr>
                    <w:overflowPunct w:val="0"/>
                    <w:jc w:val="center"/>
                    <w:rPr>
                      <w:rFonts w:hint="default" w:ascii="Times New Roman" w:hAnsi="Times New Roman" w:cs="Times New Roman"/>
                      <w:highlight w:val="none"/>
                    </w:rPr>
                  </w:pPr>
                </w:p>
              </w:tc>
              <w:tc>
                <w:tcPr>
                  <w:tcW w:w="519" w:type="dxa"/>
                  <w:vMerge w:val="continue"/>
                  <w:vAlign w:val="center"/>
                </w:tcPr>
                <w:p w14:paraId="2F361177">
                  <w:pPr>
                    <w:overflowPunct w:val="0"/>
                    <w:jc w:val="center"/>
                    <w:rPr>
                      <w:rFonts w:hint="default" w:ascii="Times New Roman" w:hAnsi="Times New Roman" w:cs="Times New Roman"/>
                      <w:highlight w:val="none"/>
                    </w:rPr>
                  </w:pPr>
                </w:p>
              </w:tc>
              <w:tc>
                <w:tcPr>
                  <w:tcW w:w="706" w:type="dxa"/>
                  <w:vMerge w:val="continue"/>
                  <w:shd w:val="clear" w:color="auto" w:fill="auto"/>
                  <w:vAlign w:val="center"/>
                </w:tcPr>
                <w:p w14:paraId="4848E177">
                  <w:pPr>
                    <w:overflowPunct w:val="0"/>
                    <w:jc w:val="center"/>
                    <w:rPr>
                      <w:rFonts w:hint="default" w:ascii="Times New Roman" w:hAnsi="Times New Roman" w:cs="Times New Roman"/>
                      <w:highlight w:val="none"/>
                    </w:rPr>
                  </w:pPr>
                </w:p>
              </w:tc>
              <w:tc>
                <w:tcPr>
                  <w:tcW w:w="706" w:type="dxa"/>
                  <w:vMerge w:val="continue"/>
                  <w:shd w:val="clear" w:color="auto" w:fill="auto"/>
                  <w:vAlign w:val="center"/>
                </w:tcPr>
                <w:p w14:paraId="2EFE7267">
                  <w:pPr>
                    <w:overflowPunct w:val="0"/>
                    <w:jc w:val="center"/>
                    <w:rPr>
                      <w:rFonts w:hint="default" w:ascii="Times New Roman" w:hAnsi="Times New Roman" w:cs="Times New Roman"/>
                      <w:highlight w:val="none"/>
                    </w:rPr>
                  </w:pPr>
                </w:p>
              </w:tc>
              <w:tc>
                <w:tcPr>
                  <w:tcW w:w="690" w:type="dxa"/>
                  <w:vMerge w:val="continue"/>
                  <w:vAlign w:val="center"/>
                </w:tcPr>
                <w:p w14:paraId="7277A53E">
                  <w:pPr>
                    <w:overflowPunct w:val="0"/>
                    <w:jc w:val="center"/>
                    <w:rPr>
                      <w:rFonts w:hint="default" w:ascii="Times New Roman" w:hAnsi="Times New Roman" w:cs="Times New Roman"/>
                      <w:highlight w:val="none"/>
                    </w:rPr>
                  </w:pPr>
                </w:p>
              </w:tc>
              <w:tc>
                <w:tcPr>
                  <w:tcW w:w="705" w:type="dxa"/>
                  <w:vMerge w:val="continue"/>
                  <w:shd w:val="clear" w:color="auto" w:fill="auto"/>
                  <w:vAlign w:val="center"/>
                </w:tcPr>
                <w:p w14:paraId="730B34D4">
                  <w:pPr>
                    <w:overflowPunct w:val="0"/>
                    <w:jc w:val="center"/>
                    <w:rPr>
                      <w:rFonts w:hint="default" w:ascii="Times New Roman" w:hAnsi="Times New Roman" w:cs="Times New Roman"/>
                      <w:highlight w:val="none"/>
                    </w:rPr>
                  </w:pPr>
                </w:p>
              </w:tc>
              <w:tc>
                <w:tcPr>
                  <w:tcW w:w="510" w:type="dxa"/>
                  <w:vMerge w:val="continue"/>
                  <w:shd w:val="clear" w:color="auto" w:fill="auto"/>
                  <w:vAlign w:val="center"/>
                </w:tcPr>
                <w:p w14:paraId="0FF6AC38">
                  <w:pPr>
                    <w:overflowPunct w:val="0"/>
                    <w:jc w:val="center"/>
                    <w:rPr>
                      <w:rFonts w:hint="default" w:ascii="Times New Roman" w:hAnsi="Times New Roman" w:cs="Times New Roman"/>
                      <w:highlight w:val="none"/>
                    </w:rPr>
                  </w:pPr>
                </w:p>
              </w:tc>
              <w:tc>
                <w:tcPr>
                  <w:tcW w:w="1500" w:type="dxa"/>
                  <w:gridSpan w:val="3"/>
                  <w:vMerge w:val="continue"/>
                  <w:vAlign w:val="center"/>
                </w:tcPr>
                <w:p w14:paraId="053995EC">
                  <w:pPr>
                    <w:overflowPunct w:val="0"/>
                    <w:jc w:val="center"/>
                    <w:rPr>
                      <w:rFonts w:hint="default" w:ascii="Times New Roman" w:hAnsi="Times New Roman" w:cs="Times New Roman"/>
                      <w:highlight w:val="none"/>
                    </w:rPr>
                  </w:pPr>
                </w:p>
              </w:tc>
              <w:tc>
                <w:tcPr>
                  <w:tcW w:w="564" w:type="dxa"/>
                  <w:vMerge w:val="continue"/>
                  <w:shd w:val="clear" w:color="auto" w:fill="auto"/>
                  <w:vAlign w:val="center"/>
                </w:tcPr>
                <w:p w14:paraId="0D392D58">
                  <w:pPr>
                    <w:overflowPunct w:val="0"/>
                    <w:jc w:val="center"/>
                    <w:rPr>
                      <w:rFonts w:hint="default" w:ascii="Times New Roman" w:hAnsi="Times New Roman" w:cs="Times New Roman"/>
                      <w:sz w:val="18"/>
                      <w:szCs w:val="18"/>
                      <w:highlight w:val="none"/>
                      <w:lang w:bidi="zh-CN"/>
                    </w:rPr>
                  </w:pPr>
                </w:p>
              </w:tc>
              <w:tc>
                <w:tcPr>
                  <w:tcW w:w="564" w:type="dxa"/>
                  <w:vMerge w:val="continue"/>
                  <w:shd w:val="clear" w:color="auto" w:fill="auto"/>
                  <w:vAlign w:val="center"/>
                </w:tcPr>
                <w:p w14:paraId="658D3BB1">
                  <w:pPr>
                    <w:overflowPunct w:val="0"/>
                    <w:jc w:val="center"/>
                    <w:rPr>
                      <w:rFonts w:hint="default" w:ascii="Times New Roman" w:hAnsi="Times New Roman" w:cs="Times New Roman"/>
                      <w:sz w:val="18"/>
                      <w:szCs w:val="18"/>
                      <w:highlight w:val="none"/>
                      <w:lang w:bidi="zh-CN"/>
                    </w:rPr>
                  </w:pPr>
                </w:p>
              </w:tc>
              <w:tc>
                <w:tcPr>
                  <w:tcW w:w="564" w:type="dxa"/>
                  <w:vMerge w:val="continue"/>
                  <w:shd w:val="clear" w:color="auto" w:fill="auto"/>
                  <w:vAlign w:val="center"/>
                </w:tcPr>
                <w:p w14:paraId="7637F460">
                  <w:pPr>
                    <w:overflowPunct w:val="0"/>
                    <w:jc w:val="center"/>
                    <w:rPr>
                      <w:rFonts w:hint="default" w:ascii="Times New Roman" w:hAnsi="Times New Roman" w:cs="Times New Roman"/>
                      <w:sz w:val="18"/>
                      <w:szCs w:val="18"/>
                      <w:highlight w:val="none"/>
                      <w:lang w:bidi="zh-CN"/>
                    </w:rPr>
                  </w:pPr>
                </w:p>
              </w:tc>
              <w:tc>
                <w:tcPr>
                  <w:tcW w:w="564" w:type="dxa"/>
                  <w:vMerge w:val="continue"/>
                  <w:shd w:val="clear" w:color="auto" w:fill="auto"/>
                  <w:vAlign w:val="center"/>
                </w:tcPr>
                <w:p w14:paraId="5BA70979">
                  <w:pPr>
                    <w:overflowPunct w:val="0"/>
                    <w:jc w:val="center"/>
                    <w:rPr>
                      <w:rFonts w:hint="default" w:ascii="Times New Roman" w:hAnsi="Times New Roman" w:cs="Times New Roman"/>
                      <w:sz w:val="18"/>
                      <w:szCs w:val="18"/>
                      <w:highlight w:val="none"/>
                      <w:lang w:bidi="zh-CN"/>
                    </w:rPr>
                  </w:pPr>
                </w:p>
              </w:tc>
              <w:tc>
                <w:tcPr>
                  <w:tcW w:w="564" w:type="dxa"/>
                  <w:vMerge w:val="restart"/>
                  <w:vAlign w:val="center"/>
                </w:tcPr>
                <w:p w14:paraId="322357E0">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声压级dB(A)</w:t>
                  </w:r>
                </w:p>
              </w:tc>
              <w:tc>
                <w:tcPr>
                  <w:tcW w:w="564" w:type="dxa"/>
                  <w:vMerge w:val="restart"/>
                  <w:vAlign w:val="center"/>
                </w:tcPr>
                <w:p w14:paraId="10EEFBF4">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建筑物外距离</w:t>
                  </w:r>
                </w:p>
              </w:tc>
            </w:tr>
            <w:tr w14:paraId="2429C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vMerge w:val="continue"/>
                  <w:vAlign w:val="center"/>
                </w:tcPr>
                <w:p w14:paraId="4B715E09">
                  <w:pPr>
                    <w:overflowPunct w:val="0"/>
                    <w:jc w:val="center"/>
                    <w:rPr>
                      <w:rFonts w:hint="default" w:ascii="Times New Roman" w:hAnsi="Times New Roman" w:cs="Times New Roman"/>
                      <w:sz w:val="18"/>
                      <w:szCs w:val="18"/>
                      <w:highlight w:val="none"/>
                      <w:lang w:bidi="zh-CN"/>
                    </w:rPr>
                  </w:pPr>
                </w:p>
              </w:tc>
              <w:tc>
                <w:tcPr>
                  <w:tcW w:w="519" w:type="dxa"/>
                  <w:vMerge w:val="continue"/>
                  <w:vAlign w:val="center"/>
                </w:tcPr>
                <w:p w14:paraId="573166E5">
                  <w:pPr>
                    <w:overflowPunct w:val="0"/>
                    <w:jc w:val="center"/>
                    <w:rPr>
                      <w:rFonts w:hint="default" w:ascii="Times New Roman" w:hAnsi="Times New Roman" w:cs="Times New Roman"/>
                      <w:sz w:val="18"/>
                      <w:szCs w:val="18"/>
                      <w:highlight w:val="none"/>
                      <w:lang w:bidi="zh-CN"/>
                    </w:rPr>
                  </w:pPr>
                </w:p>
              </w:tc>
              <w:tc>
                <w:tcPr>
                  <w:tcW w:w="706" w:type="dxa"/>
                  <w:vMerge w:val="continue"/>
                  <w:shd w:val="clear" w:color="auto" w:fill="auto"/>
                  <w:vAlign w:val="center"/>
                </w:tcPr>
                <w:p w14:paraId="1D45410D">
                  <w:pPr>
                    <w:overflowPunct w:val="0"/>
                    <w:jc w:val="center"/>
                    <w:rPr>
                      <w:rFonts w:hint="default" w:ascii="Times New Roman" w:hAnsi="Times New Roman" w:cs="Times New Roman"/>
                      <w:sz w:val="18"/>
                      <w:szCs w:val="18"/>
                      <w:highlight w:val="none"/>
                      <w:lang w:bidi="zh-CN"/>
                    </w:rPr>
                  </w:pPr>
                </w:p>
              </w:tc>
              <w:tc>
                <w:tcPr>
                  <w:tcW w:w="706" w:type="dxa"/>
                  <w:vMerge w:val="continue"/>
                  <w:shd w:val="clear" w:color="auto" w:fill="auto"/>
                  <w:vAlign w:val="center"/>
                </w:tcPr>
                <w:p w14:paraId="04DD4BBF">
                  <w:pPr>
                    <w:overflowPunct w:val="0"/>
                    <w:jc w:val="center"/>
                    <w:rPr>
                      <w:rFonts w:hint="default" w:ascii="Times New Roman" w:hAnsi="Times New Roman" w:cs="Times New Roman"/>
                      <w:sz w:val="18"/>
                      <w:szCs w:val="18"/>
                      <w:highlight w:val="none"/>
                      <w:lang w:bidi="zh-CN"/>
                    </w:rPr>
                  </w:pPr>
                </w:p>
              </w:tc>
              <w:tc>
                <w:tcPr>
                  <w:tcW w:w="690" w:type="dxa"/>
                  <w:vMerge w:val="continue"/>
                  <w:vAlign w:val="center"/>
                </w:tcPr>
                <w:p w14:paraId="38AF7E75">
                  <w:pPr>
                    <w:overflowPunct w:val="0"/>
                    <w:jc w:val="center"/>
                    <w:rPr>
                      <w:rFonts w:hint="default" w:ascii="Times New Roman" w:hAnsi="Times New Roman" w:cs="Times New Roman"/>
                      <w:sz w:val="18"/>
                      <w:szCs w:val="18"/>
                      <w:highlight w:val="none"/>
                      <w:lang w:bidi="zh-CN"/>
                    </w:rPr>
                  </w:pPr>
                </w:p>
              </w:tc>
              <w:tc>
                <w:tcPr>
                  <w:tcW w:w="705" w:type="dxa"/>
                  <w:shd w:val="clear" w:color="auto" w:fill="auto"/>
                  <w:vAlign w:val="center"/>
                </w:tcPr>
                <w:p w14:paraId="3F931E74">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声功率级/dB（A）</w:t>
                  </w:r>
                </w:p>
              </w:tc>
              <w:tc>
                <w:tcPr>
                  <w:tcW w:w="510" w:type="dxa"/>
                  <w:vMerge w:val="continue"/>
                  <w:shd w:val="clear" w:color="auto" w:fill="auto"/>
                  <w:vAlign w:val="center"/>
                </w:tcPr>
                <w:p w14:paraId="0A041AB7">
                  <w:pPr>
                    <w:overflowPunct w:val="0"/>
                    <w:jc w:val="center"/>
                    <w:rPr>
                      <w:rFonts w:hint="default" w:ascii="Times New Roman" w:hAnsi="Times New Roman" w:cs="Times New Roman"/>
                      <w:sz w:val="18"/>
                      <w:szCs w:val="18"/>
                      <w:highlight w:val="none"/>
                      <w:lang w:bidi="zh-CN"/>
                    </w:rPr>
                  </w:pPr>
                </w:p>
              </w:tc>
              <w:tc>
                <w:tcPr>
                  <w:tcW w:w="540" w:type="dxa"/>
                  <w:vAlign w:val="center"/>
                </w:tcPr>
                <w:p w14:paraId="5A819866">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X</w:t>
                  </w:r>
                </w:p>
              </w:tc>
              <w:tc>
                <w:tcPr>
                  <w:tcW w:w="540" w:type="dxa"/>
                  <w:vAlign w:val="center"/>
                </w:tcPr>
                <w:p w14:paraId="38C06A8E">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Y</w:t>
                  </w:r>
                </w:p>
              </w:tc>
              <w:tc>
                <w:tcPr>
                  <w:tcW w:w="420" w:type="dxa"/>
                  <w:vAlign w:val="center"/>
                </w:tcPr>
                <w:p w14:paraId="48C499D5">
                  <w:pPr>
                    <w:overflowPunct w:val="0"/>
                    <w:jc w:val="center"/>
                    <w:rPr>
                      <w:rFonts w:hint="default" w:ascii="Times New Roman" w:hAnsi="Times New Roman" w:cs="Times New Roman"/>
                      <w:sz w:val="18"/>
                      <w:szCs w:val="18"/>
                      <w:highlight w:val="none"/>
                      <w:lang w:bidi="zh-CN"/>
                    </w:rPr>
                  </w:pPr>
                  <w:r>
                    <w:rPr>
                      <w:rFonts w:hint="default" w:ascii="Times New Roman" w:hAnsi="Times New Roman" w:cs="Times New Roman"/>
                      <w:sz w:val="18"/>
                      <w:szCs w:val="18"/>
                      <w:highlight w:val="none"/>
                      <w:lang w:bidi="zh-CN"/>
                    </w:rPr>
                    <w:t>Z</w:t>
                  </w:r>
                </w:p>
              </w:tc>
              <w:tc>
                <w:tcPr>
                  <w:tcW w:w="564" w:type="dxa"/>
                  <w:vMerge w:val="continue"/>
                  <w:vAlign w:val="center"/>
                </w:tcPr>
                <w:p w14:paraId="394E6ED3">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10FE6474">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0A607AC7">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3252E675">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315FD8E4">
                  <w:pPr>
                    <w:overflowPunct w:val="0"/>
                    <w:jc w:val="center"/>
                    <w:rPr>
                      <w:rFonts w:hint="default" w:ascii="Times New Roman" w:hAnsi="Times New Roman" w:cs="Times New Roman"/>
                      <w:sz w:val="18"/>
                      <w:szCs w:val="18"/>
                      <w:highlight w:val="none"/>
                      <w:lang w:bidi="zh-CN"/>
                    </w:rPr>
                  </w:pPr>
                </w:p>
              </w:tc>
              <w:tc>
                <w:tcPr>
                  <w:tcW w:w="564" w:type="dxa"/>
                  <w:vMerge w:val="continue"/>
                  <w:vAlign w:val="center"/>
                </w:tcPr>
                <w:p w14:paraId="45107A1F">
                  <w:pPr>
                    <w:overflowPunct w:val="0"/>
                    <w:jc w:val="center"/>
                    <w:rPr>
                      <w:rFonts w:hint="default" w:ascii="Times New Roman" w:hAnsi="Times New Roman" w:cs="Times New Roman"/>
                      <w:sz w:val="18"/>
                      <w:szCs w:val="18"/>
                      <w:highlight w:val="none"/>
                      <w:lang w:bidi="zh-CN"/>
                    </w:rPr>
                  </w:pPr>
                </w:p>
              </w:tc>
            </w:tr>
            <w:tr w14:paraId="5FB54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0" w:type="dxa"/>
                  <w:shd w:val="clear" w:color="auto" w:fill="auto"/>
                  <w:vAlign w:val="center"/>
                </w:tcPr>
                <w:p w14:paraId="710B9DDA">
                  <w:pPr>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w:t>
                  </w:r>
                </w:p>
              </w:tc>
              <w:tc>
                <w:tcPr>
                  <w:tcW w:w="519" w:type="dxa"/>
                  <w:shd w:val="clear" w:color="auto" w:fill="auto"/>
                  <w:vAlign w:val="center"/>
                </w:tcPr>
                <w:p w14:paraId="65B39C0B">
                  <w:pPr>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生产车间</w:t>
                  </w:r>
                </w:p>
              </w:tc>
              <w:tc>
                <w:tcPr>
                  <w:tcW w:w="706" w:type="dxa"/>
                  <w:shd w:val="clear" w:color="auto" w:fill="auto"/>
                  <w:vAlign w:val="center"/>
                </w:tcPr>
                <w:p w14:paraId="367648E8">
                  <w:pPr>
                    <w:autoSpaceDE w:val="0"/>
                    <w:autoSpaceDN w:val="0"/>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灌装机</w:t>
                  </w:r>
                </w:p>
              </w:tc>
              <w:tc>
                <w:tcPr>
                  <w:tcW w:w="706" w:type="dxa"/>
                  <w:shd w:val="clear" w:color="auto" w:fill="auto"/>
                  <w:vAlign w:val="center"/>
                </w:tcPr>
                <w:p w14:paraId="72D7D03C">
                  <w:pPr>
                    <w:autoSpaceDE w:val="0"/>
                    <w:autoSpaceDN w:val="0"/>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FZH-100</w:t>
                  </w:r>
                </w:p>
              </w:tc>
              <w:tc>
                <w:tcPr>
                  <w:tcW w:w="690" w:type="dxa"/>
                  <w:shd w:val="clear" w:color="auto" w:fill="auto"/>
                  <w:vAlign w:val="center"/>
                </w:tcPr>
                <w:p w14:paraId="5C5C7379">
                  <w:pPr>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4</w:t>
                  </w:r>
                </w:p>
              </w:tc>
              <w:tc>
                <w:tcPr>
                  <w:tcW w:w="705" w:type="dxa"/>
                  <w:shd w:val="clear" w:color="auto" w:fill="auto"/>
                  <w:vAlign w:val="center"/>
                </w:tcPr>
                <w:p w14:paraId="61C6D587">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65</w:t>
                  </w:r>
                </w:p>
              </w:tc>
              <w:tc>
                <w:tcPr>
                  <w:tcW w:w="510" w:type="dxa"/>
                  <w:shd w:val="clear" w:color="auto" w:fill="auto"/>
                  <w:vAlign w:val="center"/>
                </w:tcPr>
                <w:p w14:paraId="23FA7D74">
                  <w:pPr>
                    <w:overflowPunct w:val="0"/>
                    <w:jc w:val="center"/>
                    <w:rPr>
                      <w:rFonts w:hint="default" w:ascii="Times New Roman" w:hAnsi="Times New Roman" w:eastAsia="宋体" w:cs="Times New Roman"/>
                      <w:kern w:val="2"/>
                      <w:sz w:val="18"/>
                      <w:szCs w:val="18"/>
                      <w:highlight w:val="none"/>
                      <w:lang w:val="en-US" w:eastAsia="zh-CN" w:bidi="zh-CN"/>
                    </w:rPr>
                  </w:pPr>
                </w:p>
              </w:tc>
              <w:tc>
                <w:tcPr>
                  <w:tcW w:w="540" w:type="dxa"/>
                  <w:shd w:val="clear" w:color="auto" w:fill="auto"/>
                  <w:vAlign w:val="center"/>
                </w:tcPr>
                <w:p w14:paraId="5BAB83B6">
                  <w:pPr>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42</w:t>
                  </w:r>
                </w:p>
              </w:tc>
              <w:tc>
                <w:tcPr>
                  <w:tcW w:w="540" w:type="dxa"/>
                  <w:shd w:val="clear" w:color="auto" w:fill="auto"/>
                  <w:vAlign w:val="center"/>
                </w:tcPr>
                <w:p w14:paraId="5DE8BC46">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35</w:t>
                  </w:r>
                </w:p>
              </w:tc>
              <w:tc>
                <w:tcPr>
                  <w:tcW w:w="420" w:type="dxa"/>
                  <w:shd w:val="clear" w:color="auto" w:fill="auto"/>
                  <w:vAlign w:val="center"/>
                </w:tcPr>
                <w:p w14:paraId="448BBD7E">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1</w:t>
                  </w:r>
                </w:p>
              </w:tc>
              <w:tc>
                <w:tcPr>
                  <w:tcW w:w="564" w:type="dxa"/>
                  <w:shd w:val="clear" w:color="auto" w:fill="auto"/>
                  <w:vAlign w:val="center"/>
                </w:tcPr>
                <w:p w14:paraId="3FF17279">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10</w:t>
                  </w:r>
                </w:p>
              </w:tc>
              <w:tc>
                <w:tcPr>
                  <w:tcW w:w="564" w:type="dxa"/>
                  <w:shd w:val="clear" w:color="auto" w:fill="auto"/>
                  <w:vAlign w:val="center"/>
                </w:tcPr>
                <w:p w14:paraId="2CC174C9">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45</w:t>
                  </w:r>
                </w:p>
              </w:tc>
              <w:tc>
                <w:tcPr>
                  <w:tcW w:w="564" w:type="dxa"/>
                  <w:shd w:val="clear" w:color="auto" w:fill="auto"/>
                  <w:vAlign w:val="center"/>
                </w:tcPr>
                <w:p w14:paraId="14A9FAEB">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昼间</w:t>
                  </w:r>
                </w:p>
              </w:tc>
              <w:tc>
                <w:tcPr>
                  <w:tcW w:w="564" w:type="dxa"/>
                  <w:shd w:val="clear" w:color="auto" w:fill="auto"/>
                  <w:vAlign w:val="center"/>
                </w:tcPr>
                <w:p w14:paraId="580BD02D">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20</w:t>
                  </w:r>
                </w:p>
              </w:tc>
              <w:tc>
                <w:tcPr>
                  <w:tcW w:w="564" w:type="dxa"/>
                  <w:shd w:val="clear" w:color="auto" w:fill="auto"/>
                  <w:vAlign w:val="center"/>
                </w:tcPr>
                <w:p w14:paraId="583E4123">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43</w:t>
                  </w:r>
                </w:p>
              </w:tc>
              <w:tc>
                <w:tcPr>
                  <w:tcW w:w="564" w:type="dxa"/>
                  <w:shd w:val="clear" w:color="auto" w:fill="auto"/>
                  <w:vAlign w:val="center"/>
                </w:tcPr>
                <w:p w14:paraId="6755C00B">
                  <w:pPr>
                    <w:overflowPunct w:val="0"/>
                    <w:jc w:val="center"/>
                    <w:rPr>
                      <w:rFonts w:hint="default" w:ascii="Times New Roman" w:hAnsi="Times New Roman" w:eastAsia="宋体" w:cs="Times New Roman"/>
                      <w:kern w:val="2"/>
                      <w:sz w:val="18"/>
                      <w:szCs w:val="18"/>
                      <w:highlight w:val="none"/>
                      <w:lang w:val="en-US" w:eastAsia="zh-CN" w:bidi="zh-CN"/>
                    </w:rPr>
                  </w:pPr>
                  <w:r>
                    <w:rPr>
                      <w:rFonts w:hint="default" w:ascii="Times New Roman" w:hAnsi="Times New Roman" w:cs="Times New Roman"/>
                      <w:sz w:val="18"/>
                      <w:szCs w:val="18"/>
                      <w:highlight w:val="none"/>
                      <w:lang w:bidi="zh-CN"/>
                    </w:rPr>
                    <w:t>1</w:t>
                  </w:r>
                </w:p>
              </w:tc>
            </w:tr>
          </w:tbl>
          <w:p w14:paraId="009433E0">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表4-11  工业企业噪声源强调查清单（室外声源）</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9"/>
              <w:gridCol w:w="1343"/>
              <w:gridCol w:w="823"/>
              <w:gridCol w:w="1024"/>
              <w:gridCol w:w="610"/>
              <w:gridCol w:w="542"/>
              <w:gridCol w:w="577"/>
              <w:gridCol w:w="1122"/>
              <w:gridCol w:w="1941"/>
              <w:gridCol w:w="679"/>
            </w:tblGrid>
            <w:tr w14:paraId="59B3B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Merge w:val="restart"/>
                  <w:vAlign w:val="center"/>
                </w:tcPr>
                <w:p w14:paraId="5096C628">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序号</w:t>
                  </w:r>
                </w:p>
              </w:tc>
              <w:tc>
                <w:tcPr>
                  <w:tcW w:w="1343" w:type="dxa"/>
                  <w:vMerge w:val="restart"/>
                  <w:vAlign w:val="center"/>
                </w:tcPr>
                <w:p w14:paraId="433CC5B2">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声源名称</w:t>
                  </w:r>
                </w:p>
              </w:tc>
              <w:tc>
                <w:tcPr>
                  <w:tcW w:w="823" w:type="dxa"/>
                  <w:vMerge w:val="restart"/>
                  <w:vAlign w:val="center"/>
                </w:tcPr>
                <w:p w14:paraId="0D7928D1">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型号</w:t>
                  </w:r>
                </w:p>
              </w:tc>
              <w:tc>
                <w:tcPr>
                  <w:tcW w:w="1024" w:type="dxa"/>
                  <w:vMerge w:val="restart"/>
                  <w:vAlign w:val="center"/>
                </w:tcPr>
                <w:p w14:paraId="7C1F83A8">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声源</w:t>
                  </w:r>
                </w:p>
                <w:p w14:paraId="600ACAE7">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数量</w:t>
                  </w:r>
                </w:p>
                <w:p w14:paraId="1916D7F6">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（台/套）</w:t>
                  </w:r>
                </w:p>
              </w:tc>
              <w:tc>
                <w:tcPr>
                  <w:tcW w:w="1729" w:type="dxa"/>
                  <w:gridSpan w:val="3"/>
                  <w:vAlign w:val="center"/>
                </w:tcPr>
                <w:p w14:paraId="1C67BC41">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空间相对位置/m</w:t>
                  </w:r>
                </w:p>
              </w:tc>
              <w:tc>
                <w:tcPr>
                  <w:tcW w:w="1122" w:type="dxa"/>
                  <w:vAlign w:val="center"/>
                </w:tcPr>
                <w:p w14:paraId="52ADD2D1">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声源源强</w:t>
                  </w:r>
                </w:p>
              </w:tc>
              <w:tc>
                <w:tcPr>
                  <w:tcW w:w="1941" w:type="dxa"/>
                  <w:vMerge w:val="restart"/>
                  <w:vAlign w:val="center"/>
                </w:tcPr>
                <w:p w14:paraId="717D8785">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声源控制措施</w:t>
                  </w:r>
                </w:p>
              </w:tc>
              <w:tc>
                <w:tcPr>
                  <w:tcW w:w="679" w:type="dxa"/>
                  <w:vMerge w:val="restart"/>
                  <w:vAlign w:val="center"/>
                </w:tcPr>
                <w:p w14:paraId="77C4F339">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运行时段</w:t>
                  </w:r>
                </w:p>
              </w:tc>
            </w:tr>
            <w:tr w14:paraId="00ACB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Merge w:val="continue"/>
                  <w:vAlign w:val="center"/>
                </w:tcPr>
                <w:p w14:paraId="5FD6C86E">
                  <w:pPr>
                    <w:overflowPunct w:val="0"/>
                    <w:jc w:val="center"/>
                    <w:rPr>
                      <w:rFonts w:hint="default" w:ascii="Times New Roman" w:hAnsi="Times New Roman" w:cs="Times New Roman"/>
                      <w:szCs w:val="21"/>
                      <w:highlight w:val="none"/>
                      <w:lang w:bidi="zh-CN"/>
                    </w:rPr>
                  </w:pPr>
                </w:p>
              </w:tc>
              <w:tc>
                <w:tcPr>
                  <w:tcW w:w="1343" w:type="dxa"/>
                  <w:vMerge w:val="continue"/>
                  <w:vAlign w:val="center"/>
                </w:tcPr>
                <w:p w14:paraId="4DD3FBED">
                  <w:pPr>
                    <w:overflowPunct w:val="0"/>
                    <w:jc w:val="center"/>
                    <w:rPr>
                      <w:rFonts w:hint="default" w:ascii="Times New Roman" w:hAnsi="Times New Roman" w:cs="Times New Roman"/>
                      <w:szCs w:val="21"/>
                      <w:highlight w:val="none"/>
                      <w:lang w:bidi="zh-CN"/>
                    </w:rPr>
                  </w:pPr>
                </w:p>
              </w:tc>
              <w:tc>
                <w:tcPr>
                  <w:tcW w:w="823" w:type="dxa"/>
                  <w:vMerge w:val="continue"/>
                  <w:vAlign w:val="center"/>
                </w:tcPr>
                <w:p w14:paraId="58749660">
                  <w:pPr>
                    <w:overflowPunct w:val="0"/>
                    <w:jc w:val="center"/>
                    <w:rPr>
                      <w:rFonts w:hint="default" w:ascii="Times New Roman" w:hAnsi="Times New Roman" w:cs="Times New Roman"/>
                      <w:szCs w:val="21"/>
                      <w:highlight w:val="none"/>
                      <w:lang w:bidi="zh-CN"/>
                    </w:rPr>
                  </w:pPr>
                </w:p>
              </w:tc>
              <w:tc>
                <w:tcPr>
                  <w:tcW w:w="1024" w:type="dxa"/>
                  <w:vMerge w:val="continue"/>
                  <w:vAlign w:val="center"/>
                </w:tcPr>
                <w:p w14:paraId="0BB9D491">
                  <w:pPr>
                    <w:overflowPunct w:val="0"/>
                    <w:jc w:val="center"/>
                    <w:rPr>
                      <w:rFonts w:hint="default" w:ascii="Times New Roman" w:hAnsi="Times New Roman" w:cs="Times New Roman"/>
                      <w:szCs w:val="21"/>
                      <w:highlight w:val="none"/>
                      <w:lang w:bidi="zh-CN"/>
                    </w:rPr>
                  </w:pPr>
                </w:p>
              </w:tc>
              <w:tc>
                <w:tcPr>
                  <w:tcW w:w="610" w:type="dxa"/>
                  <w:vAlign w:val="center"/>
                </w:tcPr>
                <w:p w14:paraId="731C8388">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X</w:t>
                  </w:r>
                </w:p>
              </w:tc>
              <w:tc>
                <w:tcPr>
                  <w:tcW w:w="542" w:type="dxa"/>
                  <w:vAlign w:val="center"/>
                </w:tcPr>
                <w:p w14:paraId="27EEF5D7">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Y</w:t>
                  </w:r>
                </w:p>
              </w:tc>
              <w:tc>
                <w:tcPr>
                  <w:tcW w:w="577" w:type="dxa"/>
                  <w:vAlign w:val="center"/>
                </w:tcPr>
                <w:p w14:paraId="1559EF48">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Z</w:t>
                  </w:r>
                </w:p>
              </w:tc>
              <w:tc>
                <w:tcPr>
                  <w:tcW w:w="1122" w:type="dxa"/>
                  <w:vAlign w:val="center"/>
                </w:tcPr>
                <w:p w14:paraId="363D5D25">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声功率级/dB（A）</w:t>
                  </w:r>
                </w:p>
              </w:tc>
              <w:tc>
                <w:tcPr>
                  <w:tcW w:w="1941" w:type="dxa"/>
                  <w:vMerge w:val="continue"/>
                  <w:vAlign w:val="center"/>
                </w:tcPr>
                <w:p w14:paraId="6B2B32EC">
                  <w:pPr>
                    <w:overflowPunct w:val="0"/>
                    <w:jc w:val="center"/>
                    <w:rPr>
                      <w:rFonts w:hint="default" w:ascii="Times New Roman" w:hAnsi="Times New Roman" w:cs="Times New Roman"/>
                      <w:szCs w:val="21"/>
                      <w:highlight w:val="none"/>
                      <w:lang w:bidi="zh-CN"/>
                    </w:rPr>
                  </w:pPr>
                </w:p>
              </w:tc>
              <w:tc>
                <w:tcPr>
                  <w:tcW w:w="679" w:type="dxa"/>
                  <w:vMerge w:val="continue"/>
                  <w:vAlign w:val="center"/>
                </w:tcPr>
                <w:p w14:paraId="734D89CF">
                  <w:pPr>
                    <w:overflowPunct w:val="0"/>
                    <w:jc w:val="center"/>
                    <w:rPr>
                      <w:rFonts w:hint="default" w:ascii="Times New Roman" w:hAnsi="Times New Roman" w:cs="Times New Roman"/>
                      <w:szCs w:val="21"/>
                      <w:highlight w:val="none"/>
                      <w:lang w:bidi="zh-CN"/>
                    </w:rPr>
                  </w:pPr>
                </w:p>
              </w:tc>
            </w:tr>
            <w:tr w14:paraId="285B5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shd w:val="clear" w:color="auto" w:fill="auto"/>
                  <w:vAlign w:val="center"/>
                </w:tcPr>
                <w:p w14:paraId="7C00CFA6">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1343" w:type="dxa"/>
                  <w:shd w:val="clear" w:color="auto" w:fill="auto"/>
                  <w:vAlign w:val="center"/>
                </w:tcPr>
                <w:p w14:paraId="462B183B">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甲醇卸车泵</w:t>
                  </w:r>
                </w:p>
              </w:tc>
              <w:tc>
                <w:tcPr>
                  <w:tcW w:w="823" w:type="dxa"/>
                  <w:shd w:val="clear" w:color="auto" w:fill="auto"/>
                  <w:vAlign w:val="center"/>
                </w:tcPr>
                <w:p w14:paraId="7E4D5749">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7.5kW</w:t>
                  </w:r>
                </w:p>
              </w:tc>
              <w:tc>
                <w:tcPr>
                  <w:tcW w:w="1024" w:type="dxa"/>
                  <w:shd w:val="clear" w:color="auto" w:fill="auto"/>
                  <w:vAlign w:val="center"/>
                </w:tcPr>
                <w:p w14:paraId="781A9323">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10" w:type="dxa"/>
                  <w:shd w:val="clear" w:color="auto" w:fill="auto"/>
                  <w:vAlign w:val="center"/>
                </w:tcPr>
                <w:p w14:paraId="2E8B9D3A">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88</w:t>
                  </w:r>
                </w:p>
              </w:tc>
              <w:tc>
                <w:tcPr>
                  <w:tcW w:w="542" w:type="dxa"/>
                  <w:shd w:val="clear" w:color="auto" w:fill="auto"/>
                  <w:vAlign w:val="center"/>
                </w:tcPr>
                <w:p w14:paraId="3D1B891F">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149</w:t>
                  </w:r>
                </w:p>
              </w:tc>
              <w:tc>
                <w:tcPr>
                  <w:tcW w:w="577" w:type="dxa"/>
                  <w:shd w:val="clear" w:color="auto" w:fill="auto"/>
                  <w:vAlign w:val="center"/>
                </w:tcPr>
                <w:p w14:paraId="646835F0">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w:t>
                  </w:r>
                </w:p>
              </w:tc>
              <w:tc>
                <w:tcPr>
                  <w:tcW w:w="1122" w:type="dxa"/>
                  <w:shd w:val="clear" w:color="auto" w:fill="auto"/>
                  <w:vAlign w:val="center"/>
                </w:tcPr>
                <w:p w14:paraId="0CEA2390">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80</w:t>
                  </w:r>
                </w:p>
              </w:tc>
              <w:tc>
                <w:tcPr>
                  <w:tcW w:w="1941" w:type="dxa"/>
                  <w:shd w:val="clear" w:color="auto" w:fill="auto"/>
                  <w:vAlign w:val="center"/>
                </w:tcPr>
                <w:p w14:paraId="0D6309F5">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基础减振、消声</w:t>
                  </w:r>
                </w:p>
              </w:tc>
              <w:tc>
                <w:tcPr>
                  <w:tcW w:w="679" w:type="dxa"/>
                  <w:shd w:val="clear" w:color="auto" w:fill="auto"/>
                  <w:vAlign w:val="center"/>
                </w:tcPr>
                <w:p w14:paraId="2B81A9C9">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昼间</w:t>
                  </w:r>
                </w:p>
              </w:tc>
            </w:tr>
            <w:tr w14:paraId="5FA76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Align w:val="center"/>
                </w:tcPr>
                <w:p w14:paraId="5412B3C2">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w:t>
                  </w:r>
                </w:p>
              </w:tc>
              <w:tc>
                <w:tcPr>
                  <w:tcW w:w="1343" w:type="dxa"/>
                  <w:shd w:val="clear" w:color="auto" w:fill="auto"/>
                  <w:vAlign w:val="center"/>
                </w:tcPr>
                <w:p w14:paraId="6C86F197">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乙醇卸车泵</w:t>
                  </w:r>
                </w:p>
              </w:tc>
              <w:tc>
                <w:tcPr>
                  <w:tcW w:w="823" w:type="dxa"/>
                  <w:shd w:val="clear" w:color="auto" w:fill="auto"/>
                  <w:vAlign w:val="center"/>
                </w:tcPr>
                <w:p w14:paraId="0FEF1F13">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7.5kW</w:t>
                  </w:r>
                </w:p>
              </w:tc>
              <w:tc>
                <w:tcPr>
                  <w:tcW w:w="1024" w:type="dxa"/>
                  <w:shd w:val="clear" w:color="auto" w:fill="auto"/>
                  <w:vAlign w:val="center"/>
                </w:tcPr>
                <w:p w14:paraId="6387E10F">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10" w:type="dxa"/>
                  <w:vAlign w:val="center"/>
                </w:tcPr>
                <w:p w14:paraId="6ED1EF63">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94</w:t>
                  </w:r>
                </w:p>
              </w:tc>
              <w:tc>
                <w:tcPr>
                  <w:tcW w:w="542" w:type="dxa"/>
                  <w:vAlign w:val="center"/>
                </w:tcPr>
                <w:p w14:paraId="06D99B3C">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149</w:t>
                  </w:r>
                </w:p>
              </w:tc>
              <w:tc>
                <w:tcPr>
                  <w:tcW w:w="577" w:type="dxa"/>
                  <w:vAlign w:val="center"/>
                </w:tcPr>
                <w:p w14:paraId="6525006C">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w:t>
                  </w:r>
                </w:p>
              </w:tc>
              <w:tc>
                <w:tcPr>
                  <w:tcW w:w="1122" w:type="dxa"/>
                  <w:vAlign w:val="center"/>
                </w:tcPr>
                <w:p w14:paraId="578E0ED7">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80</w:t>
                  </w:r>
                </w:p>
              </w:tc>
              <w:tc>
                <w:tcPr>
                  <w:tcW w:w="1941" w:type="dxa"/>
                  <w:vAlign w:val="center"/>
                </w:tcPr>
                <w:p w14:paraId="7FDC459D">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基础减振、消声</w:t>
                  </w:r>
                </w:p>
              </w:tc>
              <w:tc>
                <w:tcPr>
                  <w:tcW w:w="679" w:type="dxa"/>
                  <w:vAlign w:val="center"/>
                </w:tcPr>
                <w:p w14:paraId="40678D60">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昼间</w:t>
                  </w:r>
                </w:p>
              </w:tc>
            </w:tr>
            <w:tr w14:paraId="683D7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Align w:val="center"/>
                </w:tcPr>
                <w:p w14:paraId="3336E35D">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w:t>
                  </w:r>
                </w:p>
              </w:tc>
              <w:tc>
                <w:tcPr>
                  <w:tcW w:w="1343" w:type="dxa"/>
                  <w:shd w:val="clear" w:color="auto" w:fill="auto"/>
                  <w:vAlign w:val="center"/>
                </w:tcPr>
                <w:p w14:paraId="5BBD432C">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丙二醇卸车泵</w:t>
                  </w:r>
                </w:p>
              </w:tc>
              <w:tc>
                <w:tcPr>
                  <w:tcW w:w="823" w:type="dxa"/>
                  <w:shd w:val="clear" w:color="auto" w:fill="auto"/>
                  <w:vAlign w:val="center"/>
                </w:tcPr>
                <w:p w14:paraId="06C6C767">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7.5kW</w:t>
                  </w:r>
                </w:p>
              </w:tc>
              <w:tc>
                <w:tcPr>
                  <w:tcW w:w="1024" w:type="dxa"/>
                  <w:shd w:val="clear" w:color="auto" w:fill="auto"/>
                  <w:vAlign w:val="center"/>
                </w:tcPr>
                <w:p w14:paraId="12DC7AC9">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10" w:type="dxa"/>
                  <w:vAlign w:val="center"/>
                </w:tcPr>
                <w:p w14:paraId="2F5F259F">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100</w:t>
                  </w:r>
                </w:p>
              </w:tc>
              <w:tc>
                <w:tcPr>
                  <w:tcW w:w="542" w:type="dxa"/>
                  <w:vAlign w:val="center"/>
                </w:tcPr>
                <w:p w14:paraId="70330BDE">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149</w:t>
                  </w:r>
                </w:p>
              </w:tc>
              <w:tc>
                <w:tcPr>
                  <w:tcW w:w="577" w:type="dxa"/>
                  <w:vAlign w:val="center"/>
                </w:tcPr>
                <w:p w14:paraId="715B2BF2">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w:t>
                  </w:r>
                </w:p>
              </w:tc>
              <w:tc>
                <w:tcPr>
                  <w:tcW w:w="1122" w:type="dxa"/>
                  <w:vAlign w:val="center"/>
                </w:tcPr>
                <w:p w14:paraId="51B1DD1F">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80</w:t>
                  </w:r>
                </w:p>
              </w:tc>
              <w:tc>
                <w:tcPr>
                  <w:tcW w:w="1941" w:type="dxa"/>
                  <w:vAlign w:val="center"/>
                </w:tcPr>
                <w:p w14:paraId="2F7CD1FE">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基础减振、消声</w:t>
                  </w:r>
                </w:p>
              </w:tc>
              <w:tc>
                <w:tcPr>
                  <w:tcW w:w="679" w:type="dxa"/>
                  <w:vAlign w:val="center"/>
                </w:tcPr>
                <w:p w14:paraId="6290CE0B">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昼间</w:t>
                  </w:r>
                </w:p>
              </w:tc>
            </w:tr>
            <w:tr w14:paraId="6976B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Align w:val="center"/>
                </w:tcPr>
                <w:p w14:paraId="18B8CEE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w:t>
                  </w:r>
                </w:p>
              </w:tc>
              <w:tc>
                <w:tcPr>
                  <w:tcW w:w="1343" w:type="dxa"/>
                  <w:shd w:val="clear" w:color="auto" w:fill="auto"/>
                  <w:vAlign w:val="center"/>
                </w:tcPr>
                <w:p w14:paraId="04E52EA3">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丙三醇卸车泵</w:t>
                  </w:r>
                </w:p>
              </w:tc>
              <w:tc>
                <w:tcPr>
                  <w:tcW w:w="823" w:type="dxa"/>
                  <w:shd w:val="clear" w:color="auto" w:fill="auto"/>
                  <w:vAlign w:val="center"/>
                </w:tcPr>
                <w:p w14:paraId="673ACCB9">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7.5kW</w:t>
                  </w:r>
                </w:p>
              </w:tc>
              <w:tc>
                <w:tcPr>
                  <w:tcW w:w="1024" w:type="dxa"/>
                  <w:shd w:val="clear" w:color="auto" w:fill="auto"/>
                  <w:vAlign w:val="center"/>
                </w:tcPr>
                <w:p w14:paraId="55CCC72C">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10" w:type="dxa"/>
                  <w:vAlign w:val="center"/>
                </w:tcPr>
                <w:p w14:paraId="2C01C76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106</w:t>
                  </w:r>
                </w:p>
              </w:tc>
              <w:tc>
                <w:tcPr>
                  <w:tcW w:w="542" w:type="dxa"/>
                  <w:vAlign w:val="center"/>
                </w:tcPr>
                <w:p w14:paraId="5B4B0A17">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149</w:t>
                  </w:r>
                </w:p>
              </w:tc>
              <w:tc>
                <w:tcPr>
                  <w:tcW w:w="577" w:type="dxa"/>
                  <w:vAlign w:val="center"/>
                </w:tcPr>
                <w:p w14:paraId="68CEE820">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w:t>
                  </w:r>
                </w:p>
              </w:tc>
              <w:tc>
                <w:tcPr>
                  <w:tcW w:w="1122" w:type="dxa"/>
                  <w:vAlign w:val="center"/>
                </w:tcPr>
                <w:p w14:paraId="64ABF04F">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80</w:t>
                  </w:r>
                </w:p>
              </w:tc>
              <w:tc>
                <w:tcPr>
                  <w:tcW w:w="1941" w:type="dxa"/>
                  <w:vAlign w:val="center"/>
                </w:tcPr>
                <w:p w14:paraId="332EFAFD">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基础减振、消声</w:t>
                  </w:r>
                </w:p>
              </w:tc>
              <w:tc>
                <w:tcPr>
                  <w:tcW w:w="679" w:type="dxa"/>
                  <w:vAlign w:val="center"/>
                </w:tcPr>
                <w:p w14:paraId="2C5F9227">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昼间</w:t>
                  </w:r>
                </w:p>
              </w:tc>
            </w:tr>
            <w:tr w14:paraId="5986E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Align w:val="center"/>
                </w:tcPr>
                <w:p w14:paraId="0B7C05E0">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w:t>
                  </w:r>
                </w:p>
              </w:tc>
              <w:tc>
                <w:tcPr>
                  <w:tcW w:w="1343" w:type="dxa"/>
                  <w:shd w:val="clear" w:color="auto" w:fill="auto"/>
                  <w:vAlign w:val="center"/>
                </w:tcPr>
                <w:p w14:paraId="2FFA1E9E">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丁二醇卸车泵</w:t>
                  </w:r>
                </w:p>
              </w:tc>
              <w:tc>
                <w:tcPr>
                  <w:tcW w:w="823" w:type="dxa"/>
                  <w:shd w:val="clear" w:color="auto" w:fill="auto"/>
                  <w:vAlign w:val="center"/>
                </w:tcPr>
                <w:p w14:paraId="29756EBD">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7.5kW</w:t>
                  </w:r>
                </w:p>
              </w:tc>
              <w:tc>
                <w:tcPr>
                  <w:tcW w:w="1024" w:type="dxa"/>
                  <w:shd w:val="clear" w:color="auto" w:fill="auto"/>
                  <w:vAlign w:val="center"/>
                </w:tcPr>
                <w:p w14:paraId="19260C40">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10" w:type="dxa"/>
                  <w:vAlign w:val="center"/>
                </w:tcPr>
                <w:p w14:paraId="63B0A094">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112</w:t>
                  </w:r>
                </w:p>
              </w:tc>
              <w:tc>
                <w:tcPr>
                  <w:tcW w:w="542" w:type="dxa"/>
                  <w:vAlign w:val="center"/>
                </w:tcPr>
                <w:p w14:paraId="0A0D49DA">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149</w:t>
                  </w:r>
                </w:p>
              </w:tc>
              <w:tc>
                <w:tcPr>
                  <w:tcW w:w="577" w:type="dxa"/>
                  <w:vAlign w:val="center"/>
                </w:tcPr>
                <w:p w14:paraId="3AD6DBE1">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w:t>
                  </w:r>
                </w:p>
              </w:tc>
              <w:tc>
                <w:tcPr>
                  <w:tcW w:w="1122" w:type="dxa"/>
                  <w:vAlign w:val="center"/>
                </w:tcPr>
                <w:p w14:paraId="5FBE1C9B">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80</w:t>
                  </w:r>
                </w:p>
              </w:tc>
              <w:tc>
                <w:tcPr>
                  <w:tcW w:w="1941" w:type="dxa"/>
                  <w:vAlign w:val="center"/>
                </w:tcPr>
                <w:p w14:paraId="1B5C464B">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基础减振、消声</w:t>
                  </w:r>
                </w:p>
              </w:tc>
              <w:tc>
                <w:tcPr>
                  <w:tcW w:w="679" w:type="dxa"/>
                  <w:vAlign w:val="center"/>
                </w:tcPr>
                <w:p w14:paraId="3E0178DF">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昼间</w:t>
                  </w:r>
                </w:p>
              </w:tc>
            </w:tr>
            <w:tr w14:paraId="4FC94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Align w:val="center"/>
                </w:tcPr>
                <w:p w14:paraId="26DBDCF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6</w:t>
                  </w:r>
                </w:p>
              </w:tc>
              <w:tc>
                <w:tcPr>
                  <w:tcW w:w="1343" w:type="dxa"/>
                  <w:shd w:val="clear" w:color="auto" w:fill="auto"/>
                  <w:vAlign w:val="center"/>
                </w:tcPr>
                <w:p w14:paraId="5BB8F3FA">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乙酸卸车泵</w:t>
                  </w:r>
                </w:p>
              </w:tc>
              <w:tc>
                <w:tcPr>
                  <w:tcW w:w="823" w:type="dxa"/>
                  <w:shd w:val="clear" w:color="auto" w:fill="auto"/>
                  <w:vAlign w:val="center"/>
                </w:tcPr>
                <w:p w14:paraId="6174AE83">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7.5kW</w:t>
                  </w:r>
                </w:p>
              </w:tc>
              <w:tc>
                <w:tcPr>
                  <w:tcW w:w="1024" w:type="dxa"/>
                  <w:shd w:val="clear" w:color="auto" w:fill="auto"/>
                  <w:vAlign w:val="center"/>
                </w:tcPr>
                <w:p w14:paraId="5457B89F">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10" w:type="dxa"/>
                  <w:shd w:val="clear" w:color="auto" w:fill="auto"/>
                  <w:vAlign w:val="center"/>
                </w:tcPr>
                <w:p w14:paraId="44528E38">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88</w:t>
                  </w:r>
                </w:p>
              </w:tc>
              <w:tc>
                <w:tcPr>
                  <w:tcW w:w="542" w:type="dxa"/>
                  <w:vAlign w:val="center"/>
                </w:tcPr>
                <w:p w14:paraId="2E26C7BF">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139</w:t>
                  </w:r>
                </w:p>
              </w:tc>
              <w:tc>
                <w:tcPr>
                  <w:tcW w:w="577" w:type="dxa"/>
                  <w:vAlign w:val="center"/>
                </w:tcPr>
                <w:p w14:paraId="20C9B637">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w:t>
                  </w:r>
                </w:p>
              </w:tc>
              <w:tc>
                <w:tcPr>
                  <w:tcW w:w="1122" w:type="dxa"/>
                  <w:vAlign w:val="center"/>
                </w:tcPr>
                <w:p w14:paraId="75602EEC">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80</w:t>
                  </w:r>
                </w:p>
              </w:tc>
              <w:tc>
                <w:tcPr>
                  <w:tcW w:w="1941" w:type="dxa"/>
                  <w:vAlign w:val="center"/>
                </w:tcPr>
                <w:p w14:paraId="05F516DD">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基础减振、消声</w:t>
                  </w:r>
                </w:p>
              </w:tc>
              <w:tc>
                <w:tcPr>
                  <w:tcW w:w="679" w:type="dxa"/>
                  <w:vAlign w:val="center"/>
                </w:tcPr>
                <w:p w14:paraId="267ACAF8">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昼间</w:t>
                  </w:r>
                </w:p>
              </w:tc>
            </w:tr>
            <w:tr w14:paraId="54D35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49" w:type="dxa"/>
                  <w:vAlign w:val="center"/>
                </w:tcPr>
                <w:p w14:paraId="77872AF9">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w:t>
                  </w:r>
                </w:p>
              </w:tc>
              <w:tc>
                <w:tcPr>
                  <w:tcW w:w="1343" w:type="dxa"/>
                  <w:shd w:val="clear" w:color="auto" w:fill="auto"/>
                  <w:vAlign w:val="center"/>
                </w:tcPr>
                <w:p w14:paraId="1788956F">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环保风机</w:t>
                  </w:r>
                </w:p>
              </w:tc>
              <w:tc>
                <w:tcPr>
                  <w:tcW w:w="823" w:type="dxa"/>
                  <w:shd w:val="clear" w:color="auto" w:fill="auto"/>
                  <w:vAlign w:val="center"/>
                </w:tcPr>
                <w:p w14:paraId="6DD98A47">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5000m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/h</w:t>
                  </w:r>
                </w:p>
              </w:tc>
              <w:tc>
                <w:tcPr>
                  <w:tcW w:w="1024" w:type="dxa"/>
                  <w:shd w:val="clear" w:color="auto" w:fill="auto"/>
                  <w:vAlign w:val="center"/>
                </w:tcPr>
                <w:p w14:paraId="4D9AC685">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610" w:type="dxa"/>
                  <w:vAlign w:val="center"/>
                </w:tcPr>
                <w:p w14:paraId="45BEB88E">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108</w:t>
                  </w:r>
                </w:p>
              </w:tc>
              <w:tc>
                <w:tcPr>
                  <w:tcW w:w="542" w:type="dxa"/>
                  <w:vAlign w:val="center"/>
                </w:tcPr>
                <w:p w14:paraId="40BAEA11">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124</w:t>
                  </w:r>
                </w:p>
              </w:tc>
              <w:tc>
                <w:tcPr>
                  <w:tcW w:w="577" w:type="dxa"/>
                  <w:vAlign w:val="center"/>
                </w:tcPr>
                <w:p w14:paraId="5DB256C8">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1</w:t>
                  </w:r>
                </w:p>
              </w:tc>
              <w:tc>
                <w:tcPr>
                  <w:tcW w:w="1122" w:type="dxa"/>
                  <w:vAlign w:val="center"/>
                </w:tcPr>
                <w:p w14:paraId="1DB810DF">
                  <w:pPr>
                    <w:overflowPunct w:val="0"/>
                    <w:jc w:val="center"/>
                    <w:rPr>
                      <w:rFonts w:hint="default" w:ascii="Times New Roman" w:hAnsi="Times New Roman" w:cs="Times New Roman"/>
                      <w:szCs w:val="21"/>
                      <w:highlight w:val="none"/>
                      <w:lang w:val="en-US" w:bidi="zh-CN"/>
                    </w:rPr>
                  </w:pPr>
                  <w:r>
                    <w:rPr>
                      <w:rFonts w:hint="eastAsia" w:cs="Times New Roman"/>
                      <w:szCs w:val="21"/>
                      <w:highlight w:val="none"/>
                      <w:lang w:val="en-US" w:bidi="zh-CN"/>
                    </w:rPr>
                    <w:t>95</w:t>
                  </w:r>
                </w:p>
              </w:tc>
              <w:tc>
                <w:tcPr>
                  <w:tcW w:w="1941" w:type="dxa"/>
                  <w:vAlign w:val="center"/>
                </w:tcPr>
                <w:p w14:paraId="396C092A">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基础减振、消声</w:t>
                  </w:r>
                </w:p>
              </w:tc>
              <w:tc>
                <w:tcPr>
                  <w:tcW w:w="679" w:type="dxa"/>
                  <w:vAlign w:val="center"/>
                </w:tcPr>
                <w:p w14:paraId="00A8550C">
                  <w:pPr>
                    <w:overflowPunct w:val="0"/>
                    <w:jc w:val="center"/>
                    <w:rPr>
                      <w:rFonts w:hint="default" w:ascii="Times New Roman" w:hAnsi="Times New Roman" w:cs="Times New Roman"/>
                      <w:szCs w:val="21"/>
                      <w:highlight w:val="none"/>
                      <w:lang w:bidi="zh-CN"/>
                    </w:rPr>
                  </w:pPr>
                  <w:r>
                    <w:rPr>
                      <w:rFonts w:hint="default" w:ascii="Times New Roman" w:hAnsi="Times New Roman" w:cs="Times New Roman"/>
                      <w:szCs w:val="21"/>
                      <w:highlight w:val="none"/>
                      <w:lang w:bidi="zh-CN"/>
                    </w:rPr>
                    <w:t>昼间</w:t>
                  </w:r>
                </w:p>
              </w:tc>
            </w:tr>
          </w:tbl>
          <w:p w14:paraId="4AC1143A">
            <w:pPr>
              <w:widowControl/>
              <w:spacing w:line="360" w:lineRule="auto"/>
              <w:ind w:firstLine="482" w:firstLineChars="200"/>
              <w:jc w:val="left"/>
              <w:rPr>
                <w:rFonts w:hint="default" w:ascii="Times New Roman" w:hAnsi="Times New Roman" w:cs="Times New Roman"/>
                <w:b/>
                <w:bCs/>
                <w:color w:val="000000"/>
                <w:kern w:val="0"/>
                <w:sz w:val="24"/>
                <w:highlight w:val="none"/>
                <w:lang w:bidi="ar"/>
              </w:rPr>
            </w:pPr>
            <w:r>
              <w:rPr>
                <w:rFonts w:hint="default" w:ascii="Times New Roman" w:hAnsi="Times New Roman" w:cs="Times New Roman"/>
                <w:b/>
                <w:bCs/>
                <w:color w:val="000000"/>
                <w:kern w:val="0"/>
                <w:sz w:val="24"/>
                <w:highlight w:val="none"/>
                <w:lang w:bidi="ar"/>
              </w:rPr>
              <w:t>2、噪声影响预测分析</w:t>
            </w:r>
          </w:p>
          <w:p w14:paraId="6C31D893">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（1）预测方法</w:t>
            </w:r>
          </w:p>
          <w:p w14:paraId="4F4E61A2">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本次评价采用《环境影响评价技术导则 声环境》（HJ2.4-2021）中推荐的模式进行预测，采用A声级计算，模式如下：</w:t>
            </w:r>
          </w:p>
          <w:p w14:paraId="0D0462CA">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①由建设项目自身声源在预测点产生的声级，噪声贡献值（L</w:t>
            </w:r>
            <w:r>
              <w:rPr>
                <w:rFonts w:hint="default" w:ascii="Times New Roman" w:hAnsi="Times New Roman" w:cs="Times New Roman"/>
                <w:color w:val="000000"/>
                <w:highlight w:val="none"/>
                <w:vertAlign w:val="subscript"/>
              </w:rPr>
              <w:t>eqg）</w:t>
            </w:r>
            <w:r>
              <w:rPr>
                <w:rFonts w:hint="default" w:ascii="Times New Roman" w:hAnsi="Times New Roman" w:cs="Times New Roman"/>
                <w:color w:val="000000"/>
                <w:highlight w:val="none"/>
              </w:rPr>
              <w:t>计算公式：</w:t>
            </w:r>
          </w:p>
          <w:p w14:paraId="7C4E982D">
            <w:pPr>
              <w:spacing w:line="360" w:lineRule="auto"/>
              <w:ind w:firstLine="1200" w:firstLineChars="500"/>
              <w:rPr>
                <w:rFonts w:hint="default" w:ascii="Times New Roman" w:hAnsi="Times New Roman" w:cs="Times New Roman"/>
                <w:color w:val="000000"/>
                <w:sz w:val="24"/>
                <w:highlight w:val="none"/>
              </w:rPr>
            </w:pPr>
            <w:r>
              <w:rPr>
                <w:rFonts w:hint="default" w:ascii="Times New Roman" w:hAnsi="Times New Roman" w:cs="Times New Roman"/>
                <w:color w:val="000000"/>
                <w:position w:val="-28"/>
                <w:sz w:val="24"/>
                <w:highlight w:val="none"/>
              </w:rPr>
              <w:object>
                <v:shape id="_x0000_i1031" o:spt="75" type="#_x0000_t75" style="height:33.3pt;width:131.1pt;" o:ole="t" filled="f" o:preferrelative="t" stroked="f" coordsize="21600,21600">
                  <v:path/>
                  <v:fill on="f" focussize="0,0"/>
                  <v:stroke on="f" joinstyle="miter"/>
                  <v:imagedata r:id="rId31" o:title=""/>
                  <o:lock v:ext="edit" aspectratio="t"/>
                  <w10:wrap type="none"/>
                  <w10:anchorlock/>
                </v:shape>
                <o:OLEObject Type="Embed" ProgID="Equation.3" ShapeID="_x0000_i1031" DrawAspect="Content" ObjectID="_1468075731" r:id="rId30">
                  <o:LockedField>false</o:LockedField>
                </o:OLEObject>
              </w:object>
            </w:r>
          </w:p>
          <w:p w14:paraId="6E30EA69">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式中：L</w:t>
            </w:r>
            <w:r>
              <w:rPr>
                <w:rFonts w:hint="default" w:ascii="Times New Roman" w:hAnsi="Times New Roman" w:cs="Times New Roman"/>
                <w:color w:val="000000"/>
                <w:highlight w:val="none"/>
                <w:vertAlign w:val="subscript"/>
              </w:rPr>
              <w:t>eqg</w:t>
            </w:r>
            <w:r>
              <w:rPr>
                <w:rFonts w:hint="default" w:ascii="Times New Roman" w:hAnsi="Times New Roman" w:cs="Times New Roman"/>
                <w:color w:val="000000"/>
                <w:highlight w:val="none"/>
              </w:rPr>
              <w:t>—噪声贡献值，dB；</w:t>
            </w:r>
          </w:p>
          <w:p w14:paraId="659DA5EB">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T—预测计算的时间段，s；</w:t>
            </w:r>
          </w:p>
          <w:p w14:paraId="6BF3183D">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t</w:t>
            </w:r>
            <w:r>
              <w:rPr>
                <w:rFonts w:hint="default" w:ascii="Times New Roman" w:hAnsi="Times New Roman" w:cs="Times New Roman"/>
                <w:color w:val="000000"/>
                <w:highlight w:val="none"/>
                <w:vertAlign w:val="subscript"/>
              </w:rPr>
              <w:t>i</w:t>
            </w:r>
            <w:r>
              <w:rPr>
                <w:rFonts w:hint="default" w:ascii="Times New Roman" w:hAnsi="Times New Roman" w:cs="Times New Roman"/>
                <w:color w:val="000000"/>
                <w:highlight w:val="none"/>
              </w:rPr>
              <w:t>—i声源在T时段内的运行时间，s；</w:t>
            </w:r>
          </w:p>
          <w:p w14:paraId="67F5BD44">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Ai</w:t>
            </w:r>
            <w:r>
              <w:rPr>
                <w:rFonts w:hint="default" w:ascii="Times New Roman" w:hAnsi="Times New Roman" w:cs="Times New Roman"/>
                <w:color w:val="000000"/>
                <w:highlight w:val="none"/>
              </w:rPr>
              <w:t>—i声源在预测点产生的等效连续A声级，dB。</w:t>
            </w:r>
          </w:p>
          <w:p w14:paraId="596AC320">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②预测点的贡献值和背景值按能量叠加方法计算得到的声级。</w:t>
            </w:r>
          </w:p>
          <w:p w14:paraId="6FCC9244">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噪声预测值（L</w:t>
            </w:r>
            <w:r>
              <w:rPr>
                <w:rFonts w:hint="default" w:ascii="Times New Roman" w:hAnsi="Times New Roman" w:cs="Times New Roman"/>
                <w:color w:val="000000"/>
                <w:highlight w:val="none"/>
                <w:vertAlign w:val="subscript"/>
              </w:rPr>
              <w:t>eq）</w:t>
            </w:r>
            <w:r>
              <w:rPr>
                <w:rFonts w:hint="default" w:ascii="Times New Roman" w:hAnsi="Times New Roman" w:cs="Times New Roman"/>
                <w:color w:val="000000"/>
                <w:highlight w:val="none"/>
              </w:rPr>
              <w:t>计算公式：</w:t>
            </w:r>
          </w:p>
          <w:p w14:paraId="16142D45">
            <w:pPr>
              <w:spacing w:line="360" w:lineRule="auto"/>
              <w:ind w:firstLine="1200" w:firstLineChars="500"/>
              <w:rPr>
                <w:rFonts w:hint="default" w:ascii="Times New Roman" w:hAnsi="Times New Roman" w:cs="Times New Roman"/>
                <w:color w:val="000000"/>
                <w:sz w:val="24"/>
                <w:highlight w:val="none"/>
              </w:rPr>
            </w:pPr>
            <w:r>
              <w:rPr>
                <w:rFonts w:hint="default" w:ascii="Times New Roman" w:hAnsi="Times New Roman" w:cs="Times New Roman"/>
                <w:color w:val="000000"/>
                <w:position w:val="-14"/>
                <w:sz w:val="24"/>
                <w:highlight w:val="none"/>
              </w:rPr>
              <w:object>
                <v:shape id="_x0000_i1032" o:spt="75" type="#_x0000_t75" style="height:21.05pt;width:141.3pt;" o:ole="t" filled="f" o:preferrelative="t" stroked="f" coordsize="21600,21600">
                  <v:path/>
                  <v:fill on="f" focussize="0,0"/>
                  <v:stroke on="f" joinstyle="miter"/>
                  <v:imagedata r:id="rId33" o:title=""/>
                  <o:lock v:ext="edit" aspectratio="t"/>
                  <w10:wrap type="none"/>
                  <w10:anchorlock/>
                </v:shape>
                <o:OLEObject Type="Embed" ProgID="Equation.3" ShapeID="_x0000_i1032" DrawAspect="Content" ObjectID="_1468075732" r:id="rId32">
                  <o:LockedField>false</o:LockedField>
                </o:OLEObject>
              </w:object>
            </w:r>
          </w:p>
          <w:p w14:paraId="1F197F91">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w:t>
            </w:r>
            <w:r>
              <w:rPr>
                <w:rFonts w:hint="default" w:ascii="Times New Roman" w:hAnsi="Times New Roman" w:cs="Times New Roman"/>
                <w:color w:val="000000"/>
                <w:highlight w:val="none"/>
              </w:rPr>
              <w:tab/>
            </w: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eq</w:t>
            </w:r>
            <w:r>
              <w:rPr>
                <w:rFonts w:hint="default" w:ascii="Times New Roman" w:hAnsi="Times New Roman" w:cs="Times New Roman"/>
                <w:color w:val="000000"/>
                <w:highlight w:val="none"/>
              </w:rPr>
              <w:t>—预测点的噪声预测值，dB；</w:t>
            </w:r>
          </w:p>
          <w:p w14:paraId="303FACCD">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eqg</w:t>
            </w:r>
            <w:r>
              <w:rPr>
                <w:rFonts w:hint="default" w:ascii="Times New Roman" w:hAnsi="Times New Roman" w:cs="Times New Roman"/>
                <w:color w:val="000000"/>
                <w:highlight w:val="none"/>
              </w:rPr>
              <w:t>—建设项目声源在预测点产生的噪声贡献值，dB；</w:t>
            </w:r>
          </w:p>
          <w:p w14:paraId="15D5071F">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eqb</w:t>
            </w:r>
            <w:r>
              <w:rPr>
                <w:rFonts w:hint="default" w:ascii="Times New Roman" w:hAnsi="Times New Roman" w:cs="Times New Roman"/>
                <w:color w:val="000000"/>
                <w:highlight w:val="none"/>
              </w:rPr>
              <w:t>—预测点的背景噪声值，dB。</w:t>
            </w:r>
          </w:p>
          <w:p w14:paraId="287EF127">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③户外声传播衰减计算</w:t>
            </w:r>
          </w:p>
          <w:p w14:paraId="28F6242F">
            <w:pPr>
              <w:pStyle w:val="20"/>
              <w:adjustRightInd w:val="0"/>
              <w:spacing w:after="0" w:line="360" w:lineRule="auto"/>
              <w:ind w:firstLine="720" w:firstLineChars="300"/>
              <w:rPr>
                <w:rFonts w:hint="default" w:ascii="Times New Roman" w:hAnsi="Times New Roman" w:cs="Times New Roman"/>
                <w:color w:val="000000"/>
                <w:szCs w:val="24"/>
                <w:highlight w:val="none"/>
              </w:rPr>
            </w:pPr>
            <w:r>
              <w:rPr>
                <w:rFonts w:hint="default" w:ascii="Times New Roman" w:hAnsi="Times New Roman" w:cs="Times New Roman"/>
                <w:color w:val="000000"/>
                <w:position w:val="-14"/>
                <w:szCs w:val="24"/>
                <w:highlight w:val="none"/>
              </w:rPr>
              <w:object>
                <v:shape id="_x0000_i1033" o:spt="75" type="#_x0000_t75" style="height:19pt;width:254.7pt;" o:ole="t" filled="f" o:preferrelative="t" stroked="f" coordsize="21600,21600">
                  <v:path/>
                  <v:fill on="f" focussize="0,0"/>
                  <v:stroke on="f" joinstyle="miter"/>
                  <v:imagedata r:id="rId35" o:title=""/>
                  <o:lock v:ext="edit" aspectratio="t"/>
                  <w10:wrap type="none"/>
                  <w10:anchorlock/>
                </v:shape>
                <o:OLEObject Type="Embed" ProgID="Equation.3" ShapeID="_x0000_i1033" DrawAspect="Content" ObjectID="_1468075733" r:id="rId34">
                  <o:LockedField>false</o:LockedField>
                </o:OLEObject>
              </w:object>
            </w:r>
          </w:p>
          <w:p w14:paraId="05D6EFB3">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w:t>
            </w:r>
            <w:r>
              <w:rPr>
                <w:rFonts w:hint="default" w:ascii="Times New Roman" w:hAnsi="Times New Roman" w:cs="Times New Roman"/>
                <w:color w:val="000000"/>
                <w:position w:val="-10"/>
                <w:highlight w:val="none"/>
              </w:rPr>
              <w:object>
                <v:shape id="_x0000_i1034" o:spt="75" type="#_x0000_t75" style="height:16.3pt;width:29.2pt;" o:ole="t" filled="f" o:preferrelative="t" stroked="f" coordsize="21600,21600">
                  <v:path/>
                  <v:fill on="f" focussize="0,0"/>
                  <v:stroke on="f" joinstyle="miter"/>
                  <v:imagedata r:id="rId37" o:title=""/>
                  <o:lock v:ext="edit" aspectratio="t"/>
                  <w10:wrap type="none"/>
                  <w10:anchorlock/>
                </v:shape>
                <o:OLEObject Type="Embed" ProgID="Equation.3" ShapeID="_x0000_i1034" DrawAspect="Content" ObjectID="_1468075734" r:id="rId36">
                  <o:LockedField>false</o:LockedField>
                </o:OLEObject>
              </w:object>
            </w:r>
            <w:r>
              <w:rPr>
                <w:rFonts w:hint="default" w:ascii="Times New Roman" w:hAnsi="Times New Roman" w:cs="Times New Roman"/>
                <w:color w:val="000000"/>
                <w:highlight w:val="none"/>
              </w:rPr>
              <w:t>―预测点处声压级，dB；</w:t>
            </w:r>
          </w:p>
          <w:p w14:paraId="21B66A97">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position w:val="-12"/>
                <w:highlight w:val="none"/>
              </w:rPr>
              <w:object>
                <v:shape id="_x0000_i1035" o:spt="75" type="#_x0000_t75" style="height:17.65pt;width:31.9pt;" o:ole="t" filled="f" o:preferrelative="t" stroked="f" coordsize="21600,21600">
                  <v:path/>
                  <v:fill on="f" focussize="0,0"/>
                  <v:stroke on="f" joinstyle="miter"/>
                  <v:imagedata r:id="rId39" o:title=""/>
                  <o:lock v:ext="edit" aspectratio="t"/>
                  <w10:wrap type="none"/>
                  <w10:anchorlock/>
                </v:shape>
                <o:OLEObject Type="Embed" ProgID="Equation.3" ShapeID="_x0000_i1035" DrawAspect="Content" ObjectID="_1468075735" r:id="rId38">
                  <o:LockedField>false</o:LockedField>
                </o:OLEObject>
              </w:object>
            </w:r>
            <w:r>
              <w:rPr>
                <w:rFonts w:hint="default" w:ascii="Times New Roman" w:hAnsi="Times New Roman" w:cs="Times New Roman"/>
                <w:color w:val="000000"/>
                <w:highlight w:val="none"/>
              </w:rPr>
              <w:t>―参考位置r</w:t>
            </w:r>
            <w:r>
              <w:rPr>
                <w:rFonts w:hint="default" w:ascii="Times New Roman" w:hAnsi="Times New Roman" w:cs="Times New Roman"/>
                <w:color w:val="000000"/>
                <w:highlight w:val="none"/>
                <w:vertAlign w:val="subscript"/>
              </w:rPr>
              <w:t>0</w:t>
            </w:r>
            <w:r>
              <w:rPr>
                <w:rFonts w:hint="default" w:ascii="Times New Roman" w:hAnsi="Times New Roman" w:cs="Times New Roman"/>
                <w:color w:val="000000"/>
                <w:highlight w:val="none"/>
              </w:rPr>
              <w:t>处的声压级，dB；</w:t>
            </w:r>
          </w:p>
          <w:p w14:paraId="6E23DE0C">
            <w:pPr>
              <w:pStyle w:val="268"/>
              <w:spacing w:line="360" w:lineRule="auto"/>
              <w:ind w:firstLine="1200" w:firstLineChars="500"/>
              <w:rPr>
                <w:rFonts w:hint="default" w:ascii="Times New Roman" w:hAnsi="Times New Roman" w:cs="Times New Roman"/>
                <w:color w:val="000000"/>
                <w:highlight w:val="none"/>
              </w:rPr>
            </w:pPr>
            <w:r>
              <w:rPr>
                <w:rFonts w:hint="default" w:ascii="Times New Roman" w:hAnsi="Times New Roman" w:cs="Times New Roman"/>
                <w:color w:val="000000"/>
                <w:highlight w:val="none"/>
              </w:rPr>
              <w:t>D</w:t>
            </w:r>
            <w:r>
              <w:rPr>
                <w:rFonts w:hint="default" w:ascii="Times New Roman" w:hAnsi="Times New Roman" w:cs="Times New Roman"/>
                <w:color w:val="000000"/>
                <w:highlight w:val="none"/>
                <w:vertAlign w:val="subscript"/>
              </w:rPr>
              <w:t>C</w:t>
            </w:r>
            <w:r>
              <w:rPr>
                <w:rFonts w:hint="default" w:ascii="Times New Roman" w:hAnsi="Times New Roman" w:cs="Times New Roman"/>
                <w:color w:val="000000"/>
                <w:highlight w:val="none"/>
              </w:rPr>
              <w:t>―指向性校正，它描述点声源的等效连续声压级与产生声功率级Lw的全向点声源在规定方向的声级的偏差程度，dB；</w:t>
            </w:r>
          </w:p>
          <w:p w14:paraId="710A5F3A">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div</w:t>
            </w:r>
            <w:r>
              <w:rPr>
                <w:rFonts w:hint="default" w:ascii="Times New Roman" w:hAnsi="Times New Roman" w:cs="Times New Roman"/>
                <w:color w:val="000000"/>
                <w:highlight w:val="none"/>
              </w:rPr>
              <w:t>―几何发散引起的衰减，dB；</w:t>
            </w:r>
          </w:p>
          <w:p w14:paraId="35F4316D">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atm</w:t>
            </w:r>
            <w:r>
              <w:rPr>
                <w:rFonts w:hint="default" w:ascii="Times New Roman" w:hAnsi="Times New Roman" w:cs="Times New Roman"/>
                <w:color w:val="000000"/>
                <w:highlight w:val="none"/>
              </w:rPr>
              <w:t>－大气吸收引起的衰减，dB；</w:t>
            </w:r>
          </w:p>
          <w:p w14:paraId="7418F817">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gr</w:t>
            </w:r>
            <w:r>
              <w:rPr>
                <w:rFonts w:hint="default" w:ascii="Times New Roman" w:hAnsi="Times New Roman" w:cs="Times New Roman"/>
                <w:color w:val="000000"/>
                <w:highlight w:val="none"/>
              </w:rPr>
              <w:t>－地面效应引起的衰减，dB；</w:t>
            </w:r>
          </w:p>
          <w:p w14:paraId="7CF26DDB">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bar</w:t>
            </w:r>
            <w:r>
              <w:rPr>
                <w:rFonts w:hint="default" w:ascii="Times New Roman" w:hAnsi="Times New Roman" w:cs="Times New Roman"/>
                <w:color w:val="000000"/>
                <w:highlight w:val="none"/>
              </w:rPr>
              <w:t>－障碍物屏蔽引起的衰减，dB；</w:t>
            </w:r>
          </w:p>
          <w:p w14:paraId="7B6D7326">
            <w:pPr>
              <w:pStyle w:val="268"/>
              <w:spacing w:line="360" w:lineRule="auto"/>
              <w:ind w:firstLine="1680" w:firstLineChars="700"/>
              <w:rPr>
                <w:rFonts w:hint="default" w:ascii="Times New Roman" w:hAnsi="Times New Roman" w:cs="Times New Roman"/>
                <w:color w:val="000000"/>
                <w:highlight w:val="none"/>
              </w:rPr>
            </w:pPr>
            <w:r>
              <w:rPr>
                <w:rFonts w:hint="default" w:ascii="Times New Roman" w:hAnsi="Times New Roman" w:cs="Times New Roman"/>
                <w:color w:val="000000"/>
                <w:highlight w:val="none"/>
              </w:rPr>
              <w:t>A</w:t>
            </w:r>
            <w:r>
              <w:rPr>
                <w:rFonts w:hint="default" w:ascii="Times New Roman" w:hAnsi="Times New Roman" w:cs="Times New Roman"/>
                <w:color w:val="000000"/>
                <w:highlight w:val="none"/>
                <w:vertAlign w:val="subscript"/>
              </w:rPr>
              <w:t>misc</w:t>
            </w:r>
            <w:r>
              <w:rPr>
                <w:rFonts w:hint="default" w:ascii="Times New Roman" w:hAnsi="Times New Roman" w:cs="Times New Roman"/>
                <w:color w:val="000000"/>
                <w:highlight w:val="none"/>
              </w:rPr>
              <w:t>－其他多方面效应引起的衰减，dB。</w:t>
            </w:r>
          </w:p>
          <w:p w14:paraId="30E77E1A">
            <w:pPr>
              <w:spacing w:line="360" w:lineRule="auto"/>
              <w:ind w:firstLine="1680" w:firstLineChars="700"/>
              <w:rPr>
                <w:rFonts w:hint="default" w:ascii="Times New Roman" w:hAnsi="Times New Roman" w:cs="Times New Roman"/>
                <w:color w:val="000000"/>
                <w:sz w:val="24"/>
                <w:highlight w:val="none"/>
              </w:rPr>
            </w:pPr>
            <w:r>
              <w:rPr>
                <w:rFonts w:hint="default" w:ascii="Times New Roman" w:hAnsi="Times New Roman" w:cs="Times New Roman"/>
                <w:color w:val="000000"/>
                <w:position w:val="-30"/>
                <w:sz w:val="24"/>
                <w:highlight w:val="none"/>
              </w:rPr>
              <w:object>
                <v:shape id="_x0000_i1036" o:spt="75" type="#_x0000_t75" style="height:36pt;width:146.05pt;" o:ole="t" filled="f" o:preferrelative="t" stroked="f" coordsize="21600,21600">
                  <v:path/>
                  <v:fill on="f" focussize="0,0"/>
                  <v:stroke on="f" joinstyle="miter"/>
                  <v:imagedata r:id="rId41" o:title=""/>
                  <o:lock v:ext="edit" aspectratio="t"/>
                  <w10:wrap type="none"/>
                  <w10:anchorlock/>
                </v:shape>
                <o:OLEObject Type="Embed" ProgID="Equation.3" ShapeID="_x0000_i1036" DrawAspect="Content" ObjectID="_1468075736" r:id="rId40">
                  <o:LockedField>false</o:LockedField>
                </o:OLEObject>
              </w:object>
            </w:r>
          </w:p>
          <w:p w14:paraId="3BDD8AAE">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w:t>
            </w:r>
            <w:r>
              <w:rPr>
                <w:rFonts w:hint="default" w:ascii="Times New Roman" w:hAnsi="Times New Roman" w:cs="Times New Roman"/>
                <w:color w:val="000000"/>
                <w:highlight w:val="none"/>
              </w:rPr>
              <w:object>
                <v:shape id="_x0000_i1037" o:spt="75" type="#_x0000_t75" style="height:17.65pt;width:30.55pt;" o:ole="t" filled="f" o:preferrelative="t" stroked="f" coordsize="21600,21600">
                  <v:path/>
                  <v:fill on="f" focussize="0,0"/>
                  <v:stroke on="f" joinstyle="miter"/>
                  <v:imagedata r:id="rId43" o:title=""/>
                  <o:lock v:ext="edit" aspectratio="t"/>
                  <w10:wrap type="none"/>
                  <w10:anchorlock/>
                </v:shape>
                <o:OLEObject Type="Embed" ProgID="Equation.3" ShapeID="_x0000_i1037" DrawAspect="Content" ObjectID="_1468075737" r:id="rId42">
                  <o:LockedField>false</o:LockedField>
                </o:OLEObject>
              </w:object>
            </w:r>
            <w:r>
              <w:rPr>
                <w:rFonts w:hint="default" w:ascii="Times New Roman" w:hAnsi="Times New Roman" w:cs="Times New Roman"/>
                <w:color w:val="000000"/>
                <w:highlight w:val="none"/>
              </w:rPr>
              <w:t>―距声源r处的A声级，dB（A）；</w:t>
            </w:r>
          </w:p>
          <w:p w14:paraId="3D1E09E1">
            <w:pPr>
              <w:pStyle w:val="268"/>
              <w:spacing w:line="360" w:lineRule="auto"/>
              <w:ind w:firstLine="1656" w:firstLineChars="69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pi</w:t>
            </w:r>
            <w:r>
              <w:rPr>
                <w:rFonts w:hint="default" w:ascii="Times New Roman" w:hAnsi="Times New Roman" w:cs="Times New Roman"/>
                <w:color w:val="000000"/>
                <w:highlight w:val="none"/>
              </w:rPr>
              <w:t>(r)—预测点（r）处，第i倍频带声压级，dB；</w:t>
            </w:r>
          </w:p>
          <w:p w14:paraId="446DE051">
            <w:pPr>
              <w:pStyle w:val="268"/>
              <w:spacing w:line="360" w:lineRule="auto"/>
              <w:ind w:left="482" w:firstLine="1140" w:firstLineChars="475"/>
              <w:rPr>
                <w:rFonts w:hint="default" w:ascii="Times New Roman" w:hAnsi="Times New Roman" w:cs="Times New Roman"/>
                <w:color w:val="000000"/>
                <w:highlight w:val="none"/>
              </w:rPr>
            </w:pPr>
            <w:r>
              <w:rPr>
                <w:rFonts w:hint="default" w:ascii="Times New Roman" w:hAnsi="Times New Roman" w:cs="Times New Roman"/>
                <w:color w:val="000000"/>
                <w:highlight w:val="none"/>
              </w:rPr>
              <w:t>ΔL</w:t>
            </w:r>
            <w:r>
              <w:rPr>
                <w:rFonts w:hint="default" w:ascii="Times New Roman" w:hAnsi="Times New Roman" w:cs="Times New Roman"/>
                <w:color w:val="000000"/>
                <w:highlight w:val="none"/>
                <w:vertAlign w:val="subscript"/>
              </w:rPr>
              <w:t>i</w:t>
            </w:r>
            <w:r>
              <w:rPr>
                <w:rFonts w:hint="default" w:ascii="Times New Roman" w:hAnsi="Times New Roman" w:cs="Times New Roman"/>
                <w:color w:val="000000"/>
                <w:highlight w:val="none"/>
              </w:rPr>
              <w:t>—第i倍频带的A计权网络修正值，dB。</w:t>
            </w:r>
          </w:p>
          <w:p w14:paraId="46436CA0">
            <w:pPr>
              <w:pStyle w:val="268"/>
              <w:spacing w:line="360" w:lineRule="auto"/>
              <w:ind w:firstLine="420" w:firstLineChars="0"/>
              <w:rPr>
                <w:rFonts w:hint="default" w:ascii="Times New Roman" w:hAnsi="Times New Roman" w:cs="Times New Roman"/>
                <w:color w:val="000000"/>
                <w:highlight w:val="none"/>
              </w:rPr>
            </w:pPr>
            <w:r>
              <w:rPr>
                <w:rFonts w:hint="default" w:ascii="Times New Roman" w:hAnsi="Times New Roman" w:cs="Times New Roman"/>
                <w:color w:val="000000"/>
                <w:highlight w:val="none"/>
              </w:rPr>
              <w:t>④室内声源等效室外声源功率级计算方法</w:t>
            </w:r>
          </w:p>
          <w:p w14:paraId="23AB10DD">
            <w:pPr>
              <w:pStyle w:val="268"/>
              <w:spacing w:line="360" w:lineRule="auto"/>
              <w:ind w:firstLine="1056" w:firstLineChars="44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p2i</w:t>
            </w:r>
            <w:r>
              <w:rPr>
                <w:rFonts w:hint="default" w:ascii="Times New Roman" w:hAnsi="Times New Roman" w:cs="Times New Roman"/>
                <w:color w:val="000000"/>
                <w:highlight w:val="none"/>
              </w:rPr>
              <w:t>(T)=L</w:t>
            </w:r>
            <w:r>
              <w:rPr>
                <w:rFonts w:hint="default" w:ascii="Times New Roman" w:hAnsi="Times New Roman" w:cs="Times New Roman"/>
                <w:color w:val="000000"/>
                <w:highlight w:val="none"/>
                <w:vertAlign w:val="subscript"/>
              </w:rPr>
              <w:t>p1i</w:t>
            </w:r>
            <w:r>
              <w:rPr>
                <w:rFonts w:hint="default" w:ascii="Times New Roman" w:hAnsi="Times New Roman" w:cs="Times New Roman"/>
                <w:color w:val="000000"/>
                <w:highlight w:val="none"/>
              </w:rPr>
              <w:t>(T)－（TL</w:t>
            </w:r>
            <w:r>
              <w:rPr>
                <w:rFonts w:hint="default" w:ascii="Times New Roman" w:hAnsi="Times New Roman" w:cs="Times New Roman"/>
                <w:color w:val="000000"/>
                <w:highlight w:val="none"/>
                <w:vertAlign w:val="subscript"/>
              </w:rPr>
              <w:t>i</w:t>
            </w:r>
            <w:r>
              <w:rPr>
                <w:rFonts w:hint="default" w:ascii="Times New Roman" w:hAnsi="Times New Roman" w:cs="Times New Roman"/>
                <w:color w:val="000000"/>
                <w:highlight w:val="none"/>
              </w:rPr>
              <w:t>+6）</w:t>
            </w:r>
          </w:p>
          <w:p w14:paraId="74B2C6D9">
            <w:pPr>
              <w:pStyle w:val="268"/>
              <w:spacing w:line="360" w:lineRule="auto"/>
              <w:ind w:firstLine="480"/>
              <w:rPr>
                <w:rFonts w:hint="default" w:ascii="Times New Roman" w:hAnsi="Times New Roman" w:cs="Times New Roman"/>
                <w:color w:val="000000"/>
                <w:highlight w:val="none"/>
              </w:rPr>
            </w:pPr>
            <w:r>
              <w:rPr>
                <w:rFonts w:hint="default" w:ascii="Times New Roman" w:hAnsi="Times New Roman" w:cs="Times New Roman"/>
                <w:color w:val="000000"/>
                <w:highlight w:val="none"/>
              </w:rPr>
              <w:t>式中：L</w:t>
            </w:r>
            <w:r>
              <w:rPr>
                <w:rFonts w:hint="default" w:ascii="Times New Roman" w:hAnsi="Times New Roman" w:cs="Times New Roman"/>
                <w:color w:val="000000"/>
                <w:highlight w:val="none"/>
                <w:vertAlign w:val="subscript"/>
              </w:rPr>
              <w:t>p2i</w:t>
            </w:r>
            <w:r>
              <w:rPr>
                <w:rFonts w:hint="default" w:ascii="Times New Roman" w:hAnsi="Times New Roman" w:cs="Times New Roman"/>
                <w:color w:val="000000"/>
                <w:highlight w:val="none"/>
              </w:rPr>
              <w:t>(T)—靠近围护结构处室外N个声源i倍频带的叠加声压级，dB；</w:t>
            </w:r>
          </w:p>
          <w:p w14:paraId="09836780">
            <w:pPr>
              <w:pStyle w:val="268"/>
              <w:spacing w:line="360" w:lineRule="auto"/>
              <w:ind w:left="960" w:leftChars="457" w:firstLine="240" w:firstLineChars="100"/>
              <w:rPr>
                <w:rFonts w:hint="default" w:ascii="Times New Roman" w:hAnsi="Times New Roman" w:cs="Times New Roman"/>
                <w:color w:val="000000"/>
                <w:highlight w:val="none"/>
              </w:rPr>
            </w:pPr>
            <w:r>
              <w:rPr>
                <w:rFonts w:hint="default" w:ascii="Times New Roman" w:hAnsi="Times New Roman" w:cs="Times New Roman"/>
                <w:color w:val="000000"/>
                <w:highlight w:val="none"/>
              </w:rPr>
              <w:t>L</w:t>
            </w:r>
            <w:r>
              <w:rPr>
                <w:rFonts w:hint="default" w:ascii="Times New Roman" w:hAnsi="Times New Roman" w:cs="Times New Roman"/>
                <w:color w:val="000000"/>
                <w:highlight w:val="none"/>
                <w:vertAlign w:val="subscript"/>
              </w:rPr>
              <w:t>p1i</w:t>
            </w:r>
            <w:r>
              <w:rPr>
                <w:rFonts w:hint="default" w:ascii="Times New Roman" w:hAnsi="Times New Roman" w:cs="Times New Roman"/>
                <w:color w:val="000000"/>
                <w:highlight w:val="none"/>
              </w:rPr>
              <w:t>(T)—靠近围护结构处室内N个声源i倍频带的叠加声压级，dB；</w:t>
            </w:r>
          </w:p>
          <w:p w14:paraId="112645F0">
            <w:pPr>
              <w:pStyle w:val="26"/>
              <w:adjustRightInd w:val="0"/>
              <w:spacing w:after="0" w:line="360" w:lineRule="auto"/>
              <w:ind w:left="0" w:leftChars="0" w:firstLine="1200" w:firstLineChars="5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TL</w:t>
            </w:r>
            <w:r>
              <w:rPr>
                <w:rFonts w:hint="default" w:ascii="Times New Roman" w:hAnsi="Times New Roman" w:cs="Times New Roman"/>
                <w:color w:val="000000"/>
                <w:sz w:val="24"/>
                <w:highlight w:val="none"/>
                <w:vertAlign w:val="subscript"/>
              </w:rPr>
              <w:t>i</w:t>
            </w:r>
            <w:r>
              <w:rPr>
                <w:rFonts w:hint="default" w:ascii="Times New Roman" w:hAnsi="Times New Roman" w:cs="Times New Roman"/>
                <w:color w:val="000000"/>
                <w:sz w:val="24"/>
                <w:highlight w:val="none"/>
              </w:rPr>
              <w:t>—围护结构i倍频带的隔声量，dB。</w:t>
            </w:r>
          </w:p>
          <w:p w14:paraId="0455B0A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（2）预测结果</w:t>
            </w:r>
          </w:p>
          <w:p w14:paraId="6666AD70">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根据项目主要噪声源的位置，利用以上预测模式和参数计算确定了各主要噪声源对各厂界外1m处的噪声贡献情况。主要噪声源对各厂界的噪声预测结果与达标分析见下表。</w:t>
            </w:r>
          </w:p>
          <w:p w14:paraId="0C18996D">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表4-12  项目主要噪声源对各厂界噪声贡献情况表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5"/>
              <w:gridCol w:w="1535"/>
              <w:gridCol w:w="1534"/>
              <w:gridCol w:w="1534"/>
              <w:gridCol w:w="1534"/>
              <w:gridCol w:w="1538"/>
            </w:tblGrid>
            <w:tr w14:paraId="69D72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vAlign w:val="center"/>
                </w:tcPr>
                <w:p w14:paraId="26C2A81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预测点位</w:t>
                  </w:r>
                </w:p>
              </w:tc>
              <w:tc>
                <w:tcPr>
                  <w:tcW w:w="833" w:type="pct"/>
                  <w:vAlign w:val="center"/>
                </w:tcPr>
                <w:p w14:paraId="14B83F3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贡献值</w:t>
                  </w:r>
                </w:p>
                <w:p w14:paraId="7B5F1E2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dB（A）</w:t>
                  </w:r>
                </w:p>
              </w:tc>
              <w:tc>
                <w:tcPr>
                  <w:tcW w:w="833" w:type="pct"/>
                  <w:vAlign w:val="center"/>
                </w:tcPr>
                <w:p w14:paraId="0B14252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现状值</w:t>
                  </w:r>
                </w:p>
                <w:p w14:paraId="1EE1BCC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dB（A）</w:t>
                  </w:r>
                </w:p>
              </w:tc>
              <w:tc>
                <w:tcPr>
                  <w:tcW w:w="833" w:type="pct"/>
                  <w:vAlign w:val="center"/>
                </w:tcPr>
                <w:p w14:paraId="551505C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叠加值</w:t>
                  </w:r>
                </w:p>
                <w:p w14:paraId="228C509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dB（A）</w:t>
                  </w:r>
                </w:p>
              </w:tc>
              <w:tc>
                <w:tcPr>
                  <w:tcW w:w="833" w:type="pct"/>
                  <w:vAlign w:val="center"/>
                </w:tcPr>
                <w:p w14:paraId="7BFC2610">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标准值</w:t>
                  </w:r>
                </w:p>
                <w:p w14:paraId="134D2E0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dB（A）</w:t>
                  </w:r>
                </w:p>
              </w:tc>
              <w:tc>
                <w:tcPr>
                  <w:tcW w:w="833" w:type="pct"/>
                  <w:vAlign w:val="center"/>
                </w:tcPr>
                <w:p w14:paraId="12EB598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是否达标</w:t>
                  </w:r>
                </w:p>
              </w:tc>
            </w:tr>
            <w:tr w14:paraId="788C1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vAlign w:val="center"/>
                </w:tcPr>
                <w:p w14:paraId="7D0BB95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1#东厂界</w:t>
                  </w:r>
                </w:p>
              </w:tc>
              <w:tc>
                <w:tcPr>
                  <w:tcW w:w="833" w:type="pct"/>
                  <w:shd w:val="clear" w:color="auto" w:fill="auto"/>
                  <w:vAlign w:val="center"/>
                </w:tcPr>
                <w:p w14:paraId="45D264A6">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40.7</w:t>
                  </w:r>
                </w:p>
              </w:tc>
              <w:tc>
                <w:tcPr>
                  <w:tcW w:w="833" w:type="pct"/>
                  <w:shd w:val="clear" w:color="auto" w:fill="auto"/>
                  <w:vAlign w:val="center"/>
                </w:tcPr>
                <w:p w14:paraId="336BFB90">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57.7</w:t>
                  </w:r>
                </w:p>
              </w:tc>
              <w:tc>
                <w:tcPr>
                  <w:tcW w:w="833" w:type="pct"/>
                  <w:shd w:val="clear" w:color="auto" w:fill="auto"/>
                  <w:vAlign w:val="center"/>
                </w:tcPr>
                <w:p w14:paraId="509E932F">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57.9</w:t>
                  </w:r>
                </w:p>
              </w:tc>
              <w:tc>
                <w:tcPr>
                  <w:tcW w:w="833" w:type="pct"/>
                  <w:vAlign w:val="center"/>
                </w:tcPr>
                <w:p w14:paraId="6E81640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65</w:t>
                  </w:r>
                </w:p>
              </w:tc>
              <w:tc>
                <w:tcPr>
                  <w:tcW w:w="833" w:type="pct"/>
                  <w:vAlign w:val="center"/>
                </w:tcPr>
                <w:p w14:paraId="74E7B80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12D38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vAlign w:val="center"/>
                </w:tcPr>
                <w:p w14:paraId="31DD688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2#南厂界</w:t>
                  </w:r>
                </w:p>
              </w:tc>
              <w:tc>
                <w:tcPr>
                  <w:tcW w:w="833" w:type="pct"/>
                  <w:shd w:val="clear" w:color="auto" w:fill="auto"/>
                  <w:vAlign w:val="center"/>
                </w:tcPr>
                <w:p w14:paraId="16003381">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40.5</w:t>
                  </w:r>
                </w:p>
              </w:tc>
              <w:tc>
                <w:tcPr>
                  <w:tcW w:w="833" w:type="pct"/>
                  <w:shd w:val="clear" w:color="auto" w:fill="auto"/>
                  <w:vAlign w:val="center"/>
                </w:tcPr>
                <w:p w14:paraId="20C48646">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53</w:t>
                  </w:r>
                </w:p>
              </w:tc>
              <w:tc>
                <w:tcPr>
                  <w:tcW w:w="833" w:type="pct"/>
                  <w:shd w:val="clear" w:color="auto" w:fill="auto"/>
                  <w:vAlign w:val="center"/>
                </w:tcPr>
                <w:p w14:paraId="2E5FFDED">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53.2</w:t>
                  </w:r>
                </w:p>
              </w:tc>
              <w:tc>
                <w:tcPr>
                  <w:tcW w:w="833" w:type="pct"/>
                  <w:vAlign w:val="center"/>
                </w:tcPr>
                <w:p w14:paraId="339D466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65</w:t>
                  </w:r>
                </w:p>
              </w:tc>
              <w:tc>
                <w:tcPr>
                  <w:tcW w:w="833" w:type="pct"/>
                  <w:vAlign w:val="center"/>
                </w:tcPr>
                <w:p w14:paraId="33A317C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7955E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vAlign w:val="center"/>
                </w:tcPr>
                <w:p w14:paraId="5864ECD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3#西厂界</w:t>
                  </w:r>
                </w:p>
              </w:tc>
              <w:tc>
                <w:tcPr>
                  <w:tcW w:w="833" w:type="pct"/>
                  <w:shd w:val="clear" w:color="auto" w:fill="auto"/>
                  <w:vAlign w:val="center"/>
                </w:tcPr>
                <w:p w14:paraId="32DFE50E">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38.3</w:t>
                  </w:r>
                </w:p>
              </w:tc>
              <w:tc>
                <w:tcPr>
                  <w:tcW w:w="833" w:type="pct"/>
                  <w:shd w:val="clear" w:color="auto" w:fill="auto"/>
                  <w:vAlign w:val="center"/>
                </w:tcPr>
                <w:p w14:paraId="52630CD9">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55.5</w:t>
                  </w:r>
                </w:p>
              </w:tc>
              <w:tc>
                <w:tcPr>
                  <w:tcW w:w="833" w:type="pct"/>
                  <w:shd w:val="clear" w:color="auto" w:fill="auto"/>
                  <w:vAlign w:val="center"/>
                </w:tcPr>
                <w:p w14:paraId="3CF0B49A">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55.6</w:t>
                  </w:r>
                </w:p>
              </w:tc>
              <w:tc>
                <w:tcPr>
                  <w:tcW w:w="833" w:type="pct"/>
                  <w:vAlign w:val="center"/>
                </w:tcPr>
                <w:p w14:paraId="794D54A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65</w:t>
                  </w:r>
                </w:p>
              </w:tc>
              <w:tc>
                <w:tcPr>
                  <w:tcW w:w="833" w:type="pct"/>
                  <w:vAlign w:val="center"/>
                </w:tcPr>
                <w:p w14:paraId="26B498C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56DF5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vAlign w:val="center"/>
                </w:tcPr>
                <w:p w14:paraId="6E93C43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4#北厂界</w:t>
                  </w:r>
                </w:p>
              </w:tc>
              <w:tc>
                <w:tcPr>
                  <w:tcW w:w="833" w:type="pct"/>
                  <w:shd w:val="clear" w:color="auto" w:fill="auto"/>
                  <w:vAlign w:val="center"/>
                </w:tcPr>
                <w:p w14:paraId="35DBEAF8">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42.4</w:t>
                  </w:r>
                </w:p>
              </w:tc>
              <w:tc>
                <w:tcPr>
                  <w:tcW w:w="833" w:type="pct"/>
                  <w:shd w:val="clear" w:color="auto" w:fill="auto"/>
                  <w:vAlign w:val="center"/>
                </w:tcPr>
                <w:p w14:paraId="50D1F659">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54.6</w:t>
                  </w:r>
                </w:p>
              </w:tc>
              <w:tc>
                <w:tcPr>
                  <w:tcW w:w="833" w:type="pct"/>
                  <w:shd w:val="clear" w:color="auto" w:fill="auto"/>
                  <w:vAlign w:val="center"/>
                </w:tcPr>
                <w:p w14:paraId="21E48E66">
                  <w:pPr>
                    <w:widowControl/>
                    <w:jc w:val="center"/>
                    <w:textAlignment w:val="center"/>
                    <w:rPr>
                      <w:rFonts w:hint="default" w:ascii="Times New Roman" w:hAnsi="Times New Roman" w:cs="Times New Roman"/>
                      <w:color w:val="000000"/>
                      <w:kern w:val="0"/>
                      <w:szCs w:val="21"/>
                      <w:highlight w:val="none"/>
                      <w:lang w:bidi="ar"/>
                    </w:rPr>
                  </w:pPr>
                  <w:r>
                    <w:rPr>
                      <w:rFonts w:hint="default" w:ascii="Times New Roman" w:hAnsi="Times New Roman" w:cs="Times New Roman"/>
                      <w:color w:val="000000"/>
                      <w:kern w:val="0"/>
                      <w:szCs w:val="21"/>
                      <w:highlight w:val="none"/>
                      <w:lang w:bidi="ar"/>
                    </w:rPr>
                    <w:t>55.0</w:t>
                  </w:r>
                </w:p>
              </w:tc>
              <w:tc>
                <w:tcPr>
                  <w:tcW w:w="833" w:type="pct"/>
                  <w:vAlign w:val="center"/>
                </w:tcPr>
                <w:p w14:paraId="58379F4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65</w:t>
                  </w:r>
                </w:p>
              </w:tc>
              <w:tc>
                <w:tcPr>
                  <w:tcW w:w="833" w:type="pct"/>
                  <w:vAlign w:val="center"/>
                </w:tcPr>
                <w:p w14:paraId="68E5E71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达标</w:t>
                  </w:r>
                </w:p>
              </w:tc>
            </w:tr>
            <w:tr w14:paraId="3D76A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14:paraId="50829AB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拟建项目为新建项目，但项目在现有厂区内建设，噪声预测需考虑与现状值叠加。现状值来自山东中熙环境检测服务有限公司2026年1月19日出具的检测报告，报告编号：ZXJC/BG202601074。</w:t>
                  </w:r>
                </w:p>
              </w:tc>
            </w:tr>
          </w:tbl>
          <w:p w14:paraId="0CC2EB0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根据预测，本项目采取降噪、减振措施后，各厂界昼间噪声满足《工业企业厂界环境噪声排放标准》（GB12348-2008）中的3类区噪声排放限值（昼间：65dB（A）），本项目噪声对周围环境影响较小。</w:t>
            </w:r>
          </w:p>
          <w:p w14:paraId="2CBE71C9">
            <w:p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四、固体废弃物</w:t>
            </w:r>
          </w:p>
          <w:p w14:paraId="211FFF7E">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项目产生的固体废物主要为废活性炭、喷淋废水等。</w:t>
            </w:r>
          </w:p>
          <w:p w14:paraId="63994596">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（1）废活性炭</w:t>
            </w:r>
          </w:p>
          <w:p w14:paraId="0A0F69E8">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废活性炭：项目产生的有机废气拟采用“二级活性炭吸附”装置进行处理，处理效率90%。废气处理装置产生废活性炭，参照《简明通风设计手册》（中国建筑工业出版社 孙一坚主编），常用的颗粒状活性炭的吸附性能指标为0.12~0.37g/g活性炭，本次环评取0.25g/g活性炭。每100kg活性炭吸附25kg有机物即达到饱和状态，活性炭吸附装置的装填材料选用颗粒活性炭。</w:t>
            </w:r>
          </w:p>
          <w:p w14:paraId="0C5E97A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P1排气筒配置单个活性炭箱体尺寸为2m×2m×2m，活性炭密度为400kg/m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，2个活性炭箱一次填充量约为6.4t，P1排气筒活性炭吸附有机废气量为</w:t>
            </w:r>
            <w:r>
              <w:rPr>
                <w:rFonts w:hint="eastAsia" w:cs="Times New Roman"/>
                <w:sz w:val="24"/>
                <w:highlight w:val="none"/>
                <w:lang w:val="en-US" w:eastAsia="zh-CN"/>
              </w:rPr>
              <w:t>1.585</w:t>
            </w:r>
            <w:r>
              <w:rPr>
                <w:rFonts w:hint="default" w:ascii="Times New Roman" w:hAnsi="Times New Roman" w:cs="Times New Roman"/>
                <w:sz w:val="24"/>
                <w:highlight w:val="none"/>
              </w:rPr>
              <w:t>t/a（VOCs产生量为1.</w:t>
            </w:r>
            <w:r>
              <w:rPr>
                <w:rFonts w:hint="eastAsia" w:cs="Times New Roman"/>
                <w:sz w:val="24"/>
                <w:highlight w:val="none"/>
                <w:lang w:val="en-US" w:eastAsia="zh-CN"/>
              </w:rPr>
              <w:t>761</w:t>
            </w:r>
            <w:r>
              <w:rPr>
                <w:rFonts w:hint="default" w:ascii="Times New Roman" w:hAnsi="Times New Roman" w:cs="Times New Roman"/>
                <w:sz w:val="24"/>
                <w:highlight w:val="none"/>
              </w:rPr>
              <w:t>t/a，排放量为0.1</w:t>
            </w:r>
            <w:r>
              <w:rPr>
                <w:rFonts w:hint="eastAsia" w:cs="Times New Roman"/>
                <w:sz w:val="24"/>
                <w:highlight w:val="none"/>
                <w:lang w:val="en-US" w:eastAsia="zh-CN"/>
              </w:rPr>
              <w:t>76</w:t>
            </w:r>
            <w:r>
              <w:rPr>
                <w:rFonts w:hint="default" w:ascii="Times New Roman" w:hAnsi="Times New Roman" w:cs="Times New Roman"/>
                <w:sz w:val="24"/>
                <w:highlight w:val="none"/>
              </w:rPr>
              <w:t>t/a），所需活性炭量</w:t>
            </w:r>
            <w:r>
              <w:rPr>
                <w:rFonts w:hint="eastAsia" w:cs="Times New Roman"/>
                <w:sz w:val="24"/>
                <w:highlight w:val="none"/>
                <w:lang w:val="en-US" w:eastAsia="zh-CN"/>
              </w:rPr>
              <w:t>6.34</w:t>
            </w:r>
            <w:r>
              <w:rPr>
                <w:rFonts w:hint="default" w:ascii="Times New Roman" w:hAnsi="Times New Roman" w:cs="Times New Roman"/>
                <w:sz w:val="24"/>
                <w:highlight w:val="none"/>
              </w:rPr>
              <w:t>t/a。项目活性炭每年更换1次（更换量为6.4t/a，大于所需活性炭</w:t>
            </w:r>
            <w:r>
              <w:rPr>
                <w:rFonts w:hint="eastAsia" w:cs="Times New Roman"/>
                <w:sz w:val="24"/>
                <w:highlight w:val="none"/>
                <w:lang w:val="en-US" w:eastAsia="zh-CN"/>
              </w:rPr>
              <w:t>6.34</w:t>
            </w:r>
            <w:r>
              <w:rPr>
                <w:rFonts w:hint="default" w:ascii="Times New Roman" w:hAnsi="Times New Roman" w:cs="Times New Roman"/>
                <w:sz w:val="24"/>
                <w:highlight w:val="none"/>
              </w:rPr>
              <w:t>t/a），更换产生的废活性炭约</w:t>
            </w:r>
            <w:r>
              <w:rPr>
                <w:rFonts w:hint="eastAsia" w:cs="Times New Roman"/>
                <w:sz w:val="24"/>
                <w:highlight w:val="none"/>
                <w:lang w:val="en-US" w:eastAsia="zh-CN"/>
              </w:rPr>
              <w:t>7.985</w:t>
            </w:r>
            <w:r>
              <w:rPr>
                <w:rFonts w:hint="default" w:ascii="Times New Roman" w:hAnsi="Times New Roman" w:cs="Times New Roman"/>
                <w:sz w:val="24"/>
                <w:highlight w:val="none"/>
              </w:rPr>
              <w:t>t/a（含吸附的VOCs1.43t/a）。</w:t>
            </w:r>
          </w:p>
          <w:p w14:paraId="23ED18F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项目建成后活性炭产生量为</w:t>
            </w:r>
            <w:r>
              <w:rPr>
                <w:rFonts w:hint="eastAsia" w:cs="Times New Roman"/>
                <w:sz w:val="24"/>
                <w:highlight w:val="none"/>
                <w:lang w:val="en-US" w:eastAsia="zh-CN"/>
              </w:rPr>
              <w:t>7.985</w:t>
            </w:r>
            <w:r>
              <w:rPr>
                <w:rFonts w:hint="default" w:ascii="Times New Roman" w:hAnsi="Times New Roman" w:cs="Times New Roman"/>
                <w:sz w:val="24"/>
                <w:highlight w:val="none"/>
              </w:rPr>
              <w:t>t/a，属于危险废物HW49，危废代码900-039-49，定期委托有资质单位处理。</w:t>
            </w:r>
          </w:p>
          <w:p w14:paraId="59E2BAA1">
            <w:pPr>
              <w:numPr>
                <w:ilvl w:val="0"/>
                <w:numId w:val="2"/>
              </w:num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喷淋废水</w:t>
            </w:r>
          </w:p>
          <w:p w14:paraId="6A1E8D9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项目喷淋废水产生量4m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/a，喷淋废水为已失效的废碱，属于危险废物HW35，危废代码900-399-35，定期委托有资质单位处理。</w:t>
            </w:r>
          </w:p>
          <w:p w14:paraId="312B21FD">
            <w:pPr>
              <w:spacing w:line="360" w:lineRule="auto"/>
              <w:ind w:firstLine="480" w:firstLineChars="200"/>
              <w:textAlignment w:val="baseline"/>
              <w:rPr>
                <w:rFonts w:hint="default" w:ascii="Times New Roman" w:hAnsi="Times New Roman" w:cs="Times New Roman"/>
                <w:sz w:val="24"/>
                <w:highlight w:val="none"/>
              </w:rPr>
            </w:pPr>
            <w:r>
              <w:rPr>
                <w:rFonts w:hint="default" w:ascii="Times New Roman" w:hAnsi="Times New Roman" w:cs="Times New Roman"/>
                <w:sz w:val="24"/>
                <w:highlight w:val="none"/>
              </w:rPr>
              <w:t>厂区丙类仓库二中东北角设置危废暂存间（80</w:t>
            </w:r>
            <w:r>
              <w:rPr>
                <w:rFonts w:hint="default" w:ascii="Times New Roman" w:hAnsi="Times New Roman" w:cs="Times New Roman"/>
                <w:kern w:val="0"/>
                <w:sz w:val="24"/>
                <w:highlight w:val="none"/>
              </w:rPr>
              <w:t>m</w:t>
            </w:r>
            <w:r>
              <w:rPr>
                <w:rFonts w:hint="default" w:ascii="Times New Roman" w:hAnsi="Times New Roman" w:cs="Times New Roman"/>
                <w:kern w:val="0"/>
                <w:sz w:val="24"/>
                <w:highlight w:val="none"/>
                <w:vertAlign w:val="superscript"/>
              </w:rPr>
              <w:t>2</w:t>
            </w:r>
            <w:r>
              <w:rPr>
                <w:rFonts w:hint="default" w:ascii="Times New Roman" w:hAnsi="Times New Roman" w:cs="Times New Roman"/>
                <w:sz w:val="24"/>
                <w:highlight w:val="none"/>
              </w:rPr>
              <w:t>）1处。</w:t>
            </w:r>
          </w:p>
          <w:p w14:paraId="5EC3C6F7">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表4-13  固体废物产生及处置情况一览表</w:t>
            </w:r>
          </w:p>
          <w:tbl>
            <w:tblPr>
              <w:tblStyle w:val="46"/>
              <w:tblpPr w:leftFromText="181" w:rightFromText="181" w:vertAnchor="text" w:horzAnchor="page" w:tblpXSpec="center" w:tblpY="1"/>
              <w:tblOverlap w:val="never"/>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9"/>
              <w:gridCol w:w="1398"/>
              <w:gridCol w:w="630"/>
              <w:gridCol w:w="1145"/>
              <w:gridCol w:w="676"/>
              <w:gridCol w:w="756"/>
              <w:gridCol w:w="584"/>
              <w:gridCol w:w="1088"/>
              <w:gridCol w:w="584"/>
              <w:gridCol w:w="595"/>
              <w:gridCol w:w="1225"/>
            </w:tblGrid>
            <w:tr w14:paraId="1DB03D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noWrap/>
                  <w:tcMar>
                    <w:left w:w="0" w:type="dxa"/>
                    <w:right w:w="0" w:type="dxa"/>
                  </w:tcMar>
                  <w:vAlign w:val="center"/>
                </w:tcPr>
                <w:p w14:paraId="17B4ECB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废物种类</w:t>
                  </w:r>
                </w:p>
              </w:tc>
              <w:tc>
                <w:tcPr>
                  <w:tcW w:w="1398" w:type="dxa"/>
                  <w:noWrap/>
                  <w:tcMar>
                    <w:left w:w="0" w:type="dxa"/>
                    <w:right w:w="0" w:type="dxa"/>
                  </w:tcMar>
                  <w:vAlign w:val="center"/>
                </w:tcPr>
                <w:p w14:paraId="12E8F88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废物名称</w:t>
                  </w:r>
                </w:p>
              </w:tc>
              <w:tc>
                <w:tcPr>
                  <w:tcW w:w="630" w:type="dxa"/>
                  <w:noWrap/>
                  <w:tcMar>
                    <w:left w:w="0" w:type="dxa"/>
                    <w:right w:w="0" w:type="dxa"/>
                  </w:tcMar>
                  <w:vAlign w:val="center"/>
                </w:tcPr>
                <w:p w14:paraId="0E94002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废物类别</w:t>
                  </w:r>
                </w:p>
              </w:tc>
              <w:tc>
                <w:tcPr>
                  <w:tcW w:w="1145" w:type="dxa"/>
                  <w:noWrap/>
                  <w:tcMar>
                    <w:left w:w="0" w:type="dxa"/>
                    <w:right w:w="0" w:type="dxa"/>
                  </w:tcMar>
                  <w:vAlign w:val="center"/>
                </w:tcPr>
                <w:p w14:paraId="5ED7BF1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废物代码</w:t>
                  </w:r>
                </w:p>
              </w:tc>
              <w:tc>
                <w:tcPr>
                  <w:tcW w:w="676" w:type="dxa"/>
                  <w:noWrap/>
                  <w:tcMar>
                    <w:left w:w="0" w:type="dxa"/>
                    <w:right w:w="0" w:type="dxa"/>
                  </w:tcMar>
                  <w:vAlign w:val="center"/>
                </w:tcPr>
                <w:p w14:paraId="15CA17F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产生量（t/a）</w:t>
                  </w:r>
                </w:p>
              </w:tc>
              <w:tc>
                <w:tcPr>
                  <w:tcW w:w="756" w:type="dxa"/>
                  <w:noWrap/>
                  <w:tcMar>
                    <w:left w:w="0" w:type="dxa"/>
                    <w:right w:w="0" w:type="dxa"/>
                  </w:tcMar>
                  <w:vAlign w:val="center"/>
                </w:tcPr>
                <w:p w14:paraId="050727D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产生工序及装置</w:t>
                  </w:r>
                </w:p>
              </w:tc>
              <w:tc>
                <w:tcPr>
                  <w:tcW w:w="584" w:type="dxa"/>
                  <w:noWrap/>
                  <w:tcMar>
                    <w:left w:w="0" w:type="dxa"/>
                    <w:right w:w="0" w:type="dxa"/>
                  </w:tcMar>
                  <w:vAlign w:val="center"/>
                </w:tcPr>
                <w:p w14:paraId="7E8F4DC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形态</w:t>
                  </w:r>
                </w:p>
              </w:tc>
              <w:tc>
                <w:tcPr>
                  <w:tcW w:w="1088" w:type="dxa"/>
                  <w:noWrap/>
                  <w:tcMar>
                    <w:left w:w="0" w:type="dxa"/>
                    <w:right w:w="0" w:type="dxa"/>
                  </w:tcMar>
                  <w:vAlign w:val="center"/>
                </w:tcPr>
                <w:p w14:paraId="5AA77E6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主要成分</w:t>
                  </w:r>
                </w:p>
              </w:tc>
              <w:tc>
                <w:tcPr>
                  <w:tcW w:w="584" w:type="dxa"/>
                  <w:noWrap/>
                  <w:tcMar>
                    <w:left w:w="0" w:type="dxa"/>
                    <w:right w:w="0" w:type="dxa"/>
                  </w:tcMar>
                  <w:vAlign w:val="center"/>
                </w:tcPr>
                <w:p w14:paraId="66A8BE0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w:t>
                  </w:r>
                </w:p>
                <w:p w14:paraId="728F34D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特性</w:t>
                  </w:r>
                </w:p>
              </w:tc>
              <w:tc>
                <w:tcPr>
                  <w:tcW w:w="595" w:type="dxa"/>
                  <w:noWrap/>
                  <w:tcMar>
                    <w:left w:w="0" w:type="dxa"/>
                    <w:right w:w="0" w:type="dxa"/>
                  </w:tcMar>
                  <w:vAlign w:val="center"/>
                </w:tcPr>
                <w:p w14:paraId="7AEAE03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产废周期</w:t>
                  </w:r>
                </w:p>
              </w:tc>
              <w:tc>
                <w:tcPr>
                  <w:tcW w:w="1225" w:type="dxa"/>
                  <w:noWrap/>
                  <w:tcMar>
                    <w:left w:w="0" w:type="dxa"/>
                    <w:right w:w="0" w:type="dxa"/>
                  </w:tcMar>
                  <w:vAlign w:val="center"/>
                </w:tcPr>
                <w:p w14:paraId="1FA87C2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污染防治措施</w:t>
                  </w:r>
                </w:p>
              </w:tc>
            </w:tr>
            <w:tr w14:paraId="5FBCC5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Merge w:val="restart"/>
                  <w:noWrap/>
                  <w:tcMar>
                    <w:left w:w="0" w:type="dxa"/>
                    <w:right w:w="0" w:type="dxa"/>
                  </w:tcMar>
                  <w:vAlign w:val="center"/>
                </w:tcPr>
                <w:p w14:paraId="0D35884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w:t>
                  </w:r>
                </w:p>
              </w:tc>
              <w:tc>
                <w:tcPr>
                  <w:tcW w:w="1398" w:type="dxa"/>
                  <w:shd w:val="clear" w:color="auto" w:fill="auto"/>
                  <w:noWrap/>
                  <w:tcMar>
                    <w:left w:w="0" w:type="dxa"/>
                    <w:right w:w="0" w:type="dxa"/>
                  </w:tcMar>
                  <w:vAlign w:val="center"/>
                </w:tcPr>
                <w:p w14:paraId="59BA385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废活性炭</w:t>
                  </w:r>
                </w:p>
              </w:tc>
              <w:tc>
                <w:tcPr>
                  <w:tcW w:w="630" w:type="dxa"/>
                  <w:shd w:val="clear" w:color="auto" w:fill="auto"/>
                  <w:noWrap/>
                  <w:tcMar>
                    <w:left w:w="0" w:type="dxa"/>
                    <w:right w:w="0" w:type="dxa"/>
                  </w:tcMar>
                  <w:vAlign w:val="center"/>
                </w:tcPr>
                <w:p w14:paraId="5810BAB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HW49</w:t>
                  </w:r>
                </w:p>
              </w:tc>
              <w:tc>
                <w:tcPr>
                  <w:tcW w:w="1145" w:type="dxa"/>
                  <w:shd w:val="clear" w:color="auto" w:fill="auto"/>
                  <w:noWrap/>
                  <w:tcMar>
                    <w:left w:w="0" w:type="dxa"/>
                    <w:right w:w="0" w:type="dxa"/>
                  </w:tcMar>
                  <w:vAlign w:val="center"/>
                </w:tcPr>
                <w:p w14:paraId="14D91A5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900-039-49</w:t>
                  </w:r>
                </w:p>
              </w:tc>
              <w:tc>
                <w:tcPr>
                  <w:tcW w:w="676" w:type="dxa"/>
                  <w:shd w:val="clear" w:color="auto" w:fill="auto"/>
                  <w:noWrap/>
                  <w:tcMar>
                    <w:left w:w="0" w:type="dxa"/>
                    <w:right w:w="0" w:type="dxa"/>
                  </w:tcMar>
                  <w:vAlign w:val="center"/>
                </w:tcPr>
                <w:p w14:paraId="67D5279E">
                  <w:pPr>
                    <w:topLinePunct/>
                    <w:adjustRightInd w:val="0"/>
                    <w:snapToGrid w:val="0"/>
                    <w:jc w:val="center"/>
                    <w:rPr>
                      <w:rFonts w:hint="eastAsia" w:ascii="Times New Roman" w:hAnsi="Times New Roman" w:eastAsia="宋体" w:cs="Times New Roman"/>
                      <w:kern w:val="0"/>
                      <w:szCs w:val="21"/>
                      <w:highlight w:val="none"/>
                      <w:lang w:eastAsia="zh-CN"/>
                    </w:rPr>
                  </w:pPr>
                  <w:r>
                    <w:rPr>
                      <w:rFonts w:hint="eastAsia" w:cs="Times New Roman"/>
                      <w:kern w:val="0"/>
                      <w:szCs w:val="21"/>
                      <w:highlight w:val="none"/>
                      <w:lang w:eastAsia="zh-CN"/>
                    </w:rPr>
                    <w:t>7.985</w:t>
                  </w:r>
                </w:p>
              </w:tc>
              <w:tc>
                <w:tcPr>
                  <w:tcW w:w="756" w:type="dxa"/>
                  <w:shd w:val="clear" w:color="auto" w:fill="auto"/>
                  <w:noWrap/>
                  <w:tcMar>
                    <w:left w:w="0" w:type="dxa"/>
                    <w:right w:w="0" w:type="dxa"/>
                  </w:tcMar>
                  <w:vAlign w:val="center"/>
                </w:tcPr>
                <w:p w14:paraId="775DBD53">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环保设备</w:t>
                  </w:r>
                </w:p>
              </w:tc>
              <w:tc>
                <w:tcPr>
                  <w:tcW w:w="584" w:type="dxa"/>
                  <w:shd w:val="clear" w:color="auto" w:fill="auto"/>
                  <w:noWrap/>
                  <w:tcMar>
                    <w:left w:w="0" w:type="dxa"/>
                    <w:right w:w="0" w:type="dxa"/>
                  </w:tcMar>
                  <w:vAlign w:val="center"/>
                </w:tcPr>
                <w:p w14:paraId="62350CB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固态</w:t>
                  </w:r>
                </w:p>
              </w:tc>
              <w:tc>
                <w:tcPr>
                  <w:tcW w:w="1088" w:type="dxa"/>
                  <w:shd w:val="clear" w:color="auto" w:fill="auto"/>
                  <w:noWrap/>
                  <w:tcMar>
                    <w:left w:w="0" w:type="dxa"/>
                    <w:right w:w="0" w:type="dxa"/>
                  </w:tcMar>
                  <w:vAlign w:val="center"/>
                </w:tcPr>
                <w:p w14:paraId="2834BFB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活性炭</w:t>
                  </w:r>
                </w:p>
              </w:tc>
              <w:tc>
                <w:tcPr>
                  <w:tcW w:w="584" w:type="dxa"/>
                  <w:shd w:val="clear" w:color="auto" w:fill="auto"/>
                  <w:noWrap/>
                  <w:tcMar>
                    <w:left w:w="0" w:type="dxa"/>
                    <w:right w:w="0" w:type="dxa"/>
                  </w:tcMar>
                  <w:vAlign w:val="center"/>
                </w:tcPr>
                <w:p w14:paraId="0AAC7C8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T</w:t>
                  </w:r>
                </w:p>
              </w:tc>
              <w:tc>
                <w:tcPr>
                  <w:tcW w:w="595" w:type="dxa"/>
                  <w:shd w:val="clear" w:color="auto" w:fill="auto"/>
                  <w:noWrap/>
                  <w:tcMar>
                    <w:left w:w="0" w:type="dxa"/>
                    <w:right w:w="0" w:type="dxa"/>
                  </w:tcMar>
                  <w:vAlign w:val="center"/>
                </w:tcPr>
                <w:p w14:paraId="1632B3E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1次/a</w:t>
                  </w:r>
                </w:p>
              </w:tc>
              <w:tc>
                <w:tcPr>
                  <w:tcW w:w="1225" w:type="dxa"/>
                  <w:vMerge w:val="restart"/>
                  <w:noWrap/>
                  <w:tcMar>
                    <w:left w:w="0" w:type="dxa"/>
                    <w:right w:w="0" w:type="dxa"/>
                  </w:tcMar>
                  <w:vAlign w:val="center"/>
                </w:tcPr>
                <w:p w14:paraId="322C120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委托有资质的单位妥善处置</w:t>
                  </w:r>
                </w:p>
              </w:tc>
            </w:tr>
            <w:tr w14:paraId="743E7D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Merge w:val="continue"/>
                  <w:noWrap/>
                  <w:tcMar>
                    <w:left w:w="0" w:type="dxa"/>
                    <w:right w:w="0" w:type="dxa"/>
                  </w:tcMar>
                  <w:vAlign w:val="center"/>
                </w:tcPr>
                <w:p w14:paraId="67FD1DD7">
                  <w:pPr>
                    <w:topLinePunct/>
                    <w:adjustRightInd w:val="0"/>
                    <w:snapToGrid w:val="0"/>
                    <w:jc w:val="center"/>
                    <w:rPr>
                      <w:rFonts w:hint="default" w:ascii="Times New Roman" w:hAnsi="Times New Roman" w:cs="Times New Roman"/>
                      <w:kern w:val="0"/>
                      <w:szCs w:val="21"/>
                      <w:highlight w:val="none"/>
                    </w:rPr>
                  </w:pPr>
                </w:p>
              </w:tc>
              <w:tc>
                <w:tcPr>
                  <w:tcW w:w="1398" w:type="dxa"/>
                  <w:shd w:val="clear" w:color="auto" w:fill="auto"/>
                  <w:noWrap/>
                  <w:tcMar>
                    <w:left w:w="0" w:type="dxa"/>
                    <w:right w:w="0" w:type="dxa"/>
                  </w:tcMar>
                  <w:vAlign w:val="center"/>
                </w:tcPr>
                <w:p w14:paraId="746EAF2C">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喷淋废水</w:t>
                  </w:r>
                </w:p>
              </w:tc>
              <w:tc>
                <w:tcPr>
                  <w:tcW w:w="630" w:type="dxa"/>
                  <w:shd w:val="clear" w:color="auto" w:fill="auto"/>
                  <w:noWrap/>
                  <w:tcMar>
                    <w:left w:w="0" w:type="dxa"/>
                    <w:right w:w="0" w:type="dxa"/>
                  </w:tcMar>
                  <w:vAlign w:val="center"/>
                </w:tcPr>
                <w:p w14:paraId="554324A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HW35</w:t>
                  </w:r>
                </w:p>
              </w:tc>
              <w:tc>
                <w:tcPr>
                  <w:tcW w:w="1145" w:type="dxa"/>
                  <w:shd w:val="clear" w:color="auto" w:fill="auto"/>
                  <w:noWrap/>
                  <w:tcMar>
                    <w:left w:w="0" w:type="dxa"/>
                    <w:right w:w="0" w:type="dxa"/>
                  </w:tcMar>
                  <w:vAlign w:val="center"/>
                </w:tcPr>
                <w:p w14:paraId="0BE28D5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900-399-35</w:t>
                  </w:r>
                </w:p>
              </w:tc>
              <w:tc>
                <w:tcPr>
                  <w:tcW w:w="676" w:type="dxa"/>
                  <w:shd w:val="clear" w:color="auto" w:fill="auto"/>
                  <w:noWrap/>
                  <w:tcMar>
                    <w:left w:w="0" w:type="dxa"/>
                    <w:right w:w="0" w:type="dxa"/>
                  </w:tcMar>
                  <w:vAlign w:val="center"/>
                </w:tcPr>
                <w:p w14:paraId="0D55E91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4</w:t>
                  </w:r>
                </w:p>
              </w:tc>
              <w:tc>
                <w:tcPr>
                  <w:tcW w:w="756" w:type="dxa"/>
                  <w:shd w:val="clear" w:color="auto" w:fill="auto"/>
                  <w:noWrap/>
                  <w:tcMar>
                    <w:left w:w="0" w:type="dxa"/>
                    <w:right w:w="0" w:type="dxa"/>
                  </w:tcMar>
                  <w:vAlign w:val="center"/>
                </w:tcPr>
                <w:p w14:paraId="33DB51E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环保设备</w:t>
                  </w:r>
                </w:p>
              </w:tc>
              <w:tc>
                <w:tcPr>
                  <w:tcW w:w="584" w:type="dxa"/>
                  <w:shd w:val="clear" w:color="auto" w:fill="auto"/>
                  <w:noWrap/>
                  <w:tcMar>
                    <w:left w:w="0" w:type="dxa"/>
                    <w:right w:w="0" w:type="dxa"/>
                  </w:tcMar>
                  <w:vAlign w:val="center"/>
                </w:tcPr>
                <w:p w14:paraId="7FE1AFC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液态</w:t>
                  </w:r>
                </w:p>
              </w:tc>
              <w:tc>
                <w:tcPr>
                  <w:tcW w:w="1088" w:type="dxa"/>
                  <w:shd w:val="clear" w:color="auto" w:fill="auto"/>
                  <w:noWrap/>
                  <w:tcMar>
                    <w:left w:w="0" w:type="dxa"/>
                    <w:right w:w="0" w:type="dxa"/>
                  </w:tcMar>
                  <w:vAlign w:val="center"/>
                </w:tcPr>
                <w:p w14:paraId="1021739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废碱</w:t>
                  </w:r>
                </w:p>
              </w:tc>
              <w:tc>
                <w:tcPr>
                  <w:tcW w:w="584" w:type="dxa"/>
                  <w:shd w:val="clear" w:color="auto" w:fill="auto"/>
                  <w:noWrap/>
                  <w:tcMar>
                    <w:left w:w="0" w:type="dxa"/>
                    <w:right w:w="0" w:type="dxa"/>
                  </w:tcMar>
                  <w:vAlign w:val="center"/>
                </w:tcPr>
                <w:p w14:paraId="6E5BF29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C,T</w:t>
                  </w:r>
                </w:p>
              </w:tc>
              <w:tc>
                <w:tcPr>
                  <w:tcW w:w="595" w:type="dxa"/>
                  <w:shd w:val="clear" w:color="auto" w:fill="auto"/>
                  <w:noWrap/>
                  <w:tcMar>
                    <w:left w:w="0" w:type="dxa"/>
                    <w:right w:w="0" w:type="dxa"/>
                  </w:tcMar>
                  <w:vAlign w:val="center"/>
                </w:tcPr>
                <w:p w14:paraId="5875A3E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1次/a</w:t>
                  </w:r>
                </w:p>
              </w:tc>
              <w:tc>
                <w:tcPr>
                  <w:tcW w:w="1225" w:type="dxa"/>
                  <w:vMerge w:val="continue"/>
                  <w:shd w:val="clear" w:color="auto" w:fill="auto"/>
                  <w:noWrap/>
                  <w:tcMar>
                    <w:left w:w="0" w:type="dxa"/>
                    <w:right w:w="0" w:type="dxa"/>
                  </w:tcMar>
                  <w:vAlign w:val="center"/>
                </w:tcPr>
                <w:p w14:paraId="341DBF3E">
                  <w:pPr>
                    <w:topLinePunct/>
                    <w:adjustRightInd w:val="0"/>
                    <w:snapToGrid w:val="0"/>
                    <w:jc w:val="center"/>
                    <w:rPr>
                      <w:rFonts w:hint="default" w:ascii="Times New Roman" w:hAnsi="Times New Roman" w:cs="Times New Roman"/>
                      <w:kern w:val="0"/>
                      <w:szCs w:val="21"/>
                      <w:highlight w:val="none"/>
                    </w:rPr>
                  </w:pPr>
                </w:p>
              </w:tc>
            </w:tr>
          </w:tbl>
          <w:p w14:paraId="1C68FD24">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表4-14  危险废物产生及处理情况</w:t>
            </w:r>
          </w:p>
          <w:tbl>
            <w:tblPr>
              <w:tblStyle w:val="4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720"/>
              <w:gridCol w:w="1103"/>
              <w:gridCol w:w="702"/>
              <w:gridCol w:w="974"/>
              <w:gridCol w:w="394"/>
              <w:gridCol w:w="746"/>
              <w:gridCol w:w="774"/>
              <w:gridCol w:w="1037"/>
              <w:gridCol w:w="1377"/>
            </w:tblGrid>
            <w:tr w14:paraId="0ED955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73" w:type="dxa"/>
                  <w:noWrap/>
                  <w:tcMar>
                    <w:left w:w="0" w:type="dxa"/>
                    <w:right w:w="0" w:type="dxa"/>
                  </w:tcMar>
                  <w:vAlign w:val="center"/>
                </w:tcPr>
                <w:p w14:paraId="02C4221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危险废物名称</w:t>
                  </w:r>
                </w:p>
              </w:tc>
              <w:tc>
                <w:tcPr>
                  <w:tcW w:w="720" w:type="dxa"/>
                  <w:noWrap/>
                  <w:tcMar>
                    <w:left w:w="0" w:type="dxa"/>
                    <w:right w:w="0" w:type="dxa"/>
                  </w:tcMar>
                  <w:vAlign w:val="center"/>
                </w:tcPr>
                <w:p w14:paraId="395BFE2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危险废物类别</w:t>
                  </w:r>
                </w:p>
              </w:tc>
              <w:tc>
                <w:tcPr>
                  <w:tcW w:w="1103" w:type="dxa"/>
                  <w:noWrap/>
                  <w:tcMar>
                    <w:left w:w="0" w:type="dxa"/>
                    <w:right w:w="0" w:type="dxa"/>
                  </w:tcMar>
                  <w:vAlign w:val="center"/>
                </w:tcPr>
                <w:p w14:paraId="19311FE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危险废物代码</w:t>
                  </w:r>
                </w:p>
              </w:tc>
              <w:tc>
                <w:tcPr>
                  <w:tcW w:w="702" w:type="dxa"/>
                  <w:noWrap/>
                  <w:tcMar>
                    <w:left w:w="0" w:type="dxa"/>
                    <w:right w:w="0" w:type="dxa"/>
                  </w:tcMar>
                  <w:vAlign w:val="center"/>
                </w:tcPr>
                <w:p w14:paraId="0CA2426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产生量（t/a）</w:t>
                  </w:r>
                </w:p>
              </w:tc>
              <w:tc>
                <w:tcPr>
                  <w:tcW w:w="974" w:type="dxa"/>
                  <w:noWrap/>
                  <w:tcMar>
                    <w:left w:w="0" w:type="dxa"/>
                    <w:right w:w="0" w:type="dxa"/>
                  </w:tcMar>
                  <w:vAlign w:val="center"/>
                </w:tcPr>
                <w:p w14:paraId="47D94C1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产生工序及装置</w:t>
                  </w:r>
                </w:p>
              </w:tc>
              <w:tc>
                <w:tcPr>
                  <w:tcW w:w="394" w:type="dxa"/>
                  <w:noWrap/>
                  <w:tcMar>
                    <w:left w:w="0" w:type="dxa"/>
                    <w:right w:w="0" w:type="dxa"/>
                  </w:tcMar>
                  <w:vAlign w:val="center"/>
                </w:tcPr>
                <w:p w14:paraId="7648174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形态</w:t>
                  </w:r>
                </w:p>
              </w:tc>
              <w:tc>
                <w:tcPr>
                  <w:tcW w:w="746" w:type="dxa"/>
                  <w:noWrap/>
                  <w:tcMar>
                    <w:left w:w="0" w:type="dxa"/>
                    <w:right w:w="0" w:type="dxa"/>
                  </w:tcMar>
                  <w:vAlign w:val="center"/>
                </w:tcPr>
                <w:p w14:paraId="46B2806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主要成分</w:t>
                  </w:r>
                </w:p>
              </w:tc>
              <w:tc>
                <w:tcPr>
                  <w:tcW w:w="774" w:type="dxa"/>
                  <w:noWrap/>
                  <w:tcMar>
                    <w:left w:w="0" w:type="dxa"/>
                    <w:right w:w="0" w:type="dxa"/>
                  </w:tcMar>
                  <w:vAlign w:val="center"/>
                </w:tcPr>
                <w:p w14:paraId="48F48F1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w:t>
                  </w:r>
                </w:p>
                <w:p w14:paraId="69231F0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特性</w:t>
                  </w:r>
                </w:p>
              </w:tc>
              <w:tc>
                <w:tcPr>
                  <w:tcW w:w="1037" w:type="dxa"/>
                  <w:noWrap/>
                  <w:tcMar>
                    <w:left w:w="0" w:type="dxa"/>
                    <w:right w:w="0" w:type="dxa"/>
                  </w:tcMar>
                  <w:vAlign w:val="center"/>
                </w:tcPr>
                <w:p w14:paraId="0369508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产废周期</w:t>
                  </w:r>
                </w:p>
              </w:tc>
              <w:tc>
                <w:tcPr>
                  <w:tcW w:w="1377" w:type="dxa"/>
                  <w:noWrap/>
                  <w:tcMar>
                    <w:left w:w="0" w:type="dxa"/>
                    <w:right w:w="0" w:type="dxa"/>
                  </w:tcMar>
                  <w:vAlign w:val="center"/>
                </w:tcPr>
                <w:p w14:paraId="7A439C8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污染防治措施</w:t>
                  </w:r>
                </w:p>
              </w:tc>
            </w:tr>
            <w:tr w14:paraId="097EE6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73" w:type="dxa"/>
                  <w:shd w:val="clear" w:color="auto" w:fill="auto"/>
                  <w:noWrap/>
                  <w:tcMar>
                    <w:left w:w="0" w:type="dxa"/>
                    <w:right w:w="0" w:type="dxa"/>
                  </w:tcMar>
                  <w:vAlign w:val="center"/>
                </w:tcPr>
                <w:p w14:paraId="42A7EFC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废活性炭</w:t>
                  </w:r>
                </w:p>
              </w:tc>
              <w:tc>
                <w:tcPr>
                  <w:tcW w:w="720" w:type="dxa"/>
                  <w:shd w:val="clear" w:color="auto" w:fill="auto"/>
                  <w:noWrap/>
                  <w:tcMar>
                    <w:left w:w="0" w:type="dxa"/>
                    <w:right w:w="0" w:type="dxa"/>
                  </w:tcMar>
                  <w:vAlign w:val="center"/>
                </w:tcPr>
                <w:p w14:paraId="3FA6B7B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HW49</w:t>
                  </w:r>
                </w:p>
              </w:tc>
              <w:tc>
                <w:tcPr>
                  <w:tcW w:w="1103" w:type="dxa"/>
                  <w:shd w:val="clear" w:color="auto" w:fill="auto"/>
                  <w:noWrap/>
                  <w:tcMar>
                    <w:left w:w="0" w:type="dxa"/>
                    <w:right w:w="0" w:type="dxa"/>
                  </w:tcMar>
                  <w:vAlign w:val="center"/>
                </w:tcPr>
                <w:p w14:paraId="79E24B6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900-039-49</w:t>
                  </w:r>
                </w:p>
              </w:tc>
              <w:tc>
                <w:tcPr>
                  <w:tcW w:w="702" w:type="dxa"/>
                  <w:shd w:val="clear" w:color="auto" w:fill="auto"/>
                  <w:noWrap/>
                  <w:tcMar>
                    <w:left w:w="0" w:type="dxa"/>
                    <w:right w:w="0" w:type="dxa"/>
                  </w:tcMar>
                  <w:vAlign w:val="center"/>
                </w:tcPr>
                <w:p w14:paraId="7972C404">
                  <w:pPr>
                    <w:topLinePunct/>
                    <w:adjustRightInd w:val="0"/>
                    <w:snapToGrid w:val="0"/>
                    <w:jc w:val="center"/>
                    <w:rPr>
                      <w:rFonts w:hint="eastAsia" w:ascii="Times New Roman" w:hAnsi="Times New Roman" w:eastAsia="宋体" w:cs="Times New Roman"/>
                      <w:kern w:val="0"/>
                      <w:szCs w:val="21"/>
                      <w:highlight w:val="none"/>
                      <w:lang w:eastAsia="zh-CN"/>
                    </w:rPr>
                  </w:pPr>
                  <w:r>
                    <w:rPr>
                      <w:rFonts w:hint="eastAsia" w:cs="Times New Roman"/>
                      <w:kern w:val="0"/>
                      <w:szCs w:val="21"/>
                      <w:highlight w:val="none"/>
                      <w:lang w:eastAsia="zh-CN"/>
                    </w:rPr>
                    <w:t>7.985</w:t>
                  </w:r>
                </w:p>
              </w:tc>
              <w:tc>
                <w:tcPr>
                  <w:tcW w:w="974" w:type="dxa"/>
                  <w:shd w:val="clear" w:color="auto" w:fill="auto"/>
                  <w:noWrap/>
                  <w:tcMar>
                    <w:left w:w="0" w:type="dxa"/>
                    <w:right w:w="0" w:type="dxa"/>
                  </w:tcMar>
                  <w:vAlign w:val="center"/>
                </w:tcPr>
                <w:p w14:paraId="42D6D05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环保设备</w:t>
                  </w:r>
                </w:p>
              </w:tc>
              <w:tc>
                <w:tcPr>
                  <w:tcW w:w="394" w:type="dxa"/>
                  <w:shd w:val="clear" w:color="auto" w:fill="auto"/>
                  <w:noWrap/>
                  <w:tcMar>
                    <w:left w:w="0" w:type="dxa"/>
                    <w:right w:w="0" w:type="dxa"/>
                  </w:tcMar>
                  <w:vAlign w:val="center"/>
                </w:tcPr>
                <w:p w14:paraId="4603F31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固态</w:t>
                  </w:r>
                </w:p>
              </w:tc>
              <w:tc>
                <w:tcPr>
                  <w:tcW w:w="746" w:type="dxa"/>
                  <w:shd w:val="clear" w:color="auto" w:fill="auto"/>
                  <w:noWrap/>
                  <w:tcMar>
                    <w:left w:w="0" w:type="dxa"/>
                    <w:right w:w="0" w:type="dxa"/>
                  </w:tcMar>
                  <w:vAlign w:val="center"/>
                </w:tcPr>
                <w:p w14:paraId="2092D1B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活性炭</w:t>
                  </w:r>
                </w:p>
              </w:tc>
              <w:tc>
                <w:tcPr>
                  <w:tcW w:w="774" w:type="dxa"/>
                  <w:shd w:val="clear" w:color="auto" w:fill="auto"/>
                  <w:noWrap/>
                  <w:tcMar>
                    <w:left w:w="0" w:type="dxa"/>
                    <w:right w:w="0" w:type="dxa"/>
                  </w:tcMar>
                  <w:vAlign w:val="center"/>
                </w:tcPr>
                <w:p w14:paraId="3B84311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T</w:t>
                  </w:r>
                </w:p>
              </w:tc>
              <w:tc>
                <w:tcPr>
                  <w:tcW w:w="1037" w:type="dxa"/>
                  <w:shd w:val="clear" w:color="auto" w:fill="auto"/>
                  <w:noWrap/>
                  <w:tcMar>
                    <w:left w:w="0" w:type="dxa"/>
                    <w:right w:w="0" w:type="dxa"/>
                  </w:tcMar>
                  <w:vAlign w:val="center"/>
                </w:tcPr>
                <w:p w14:paraId="595B665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1次/a</w:t>
                  </w:r>
                </w:p>
              </w:tc>
              <w:tc>
                <w:tcPr>
                  <w:tcW w:w="1377" w:type="dxa"/>
                  <w:vMerge w:val="restart"/>
                  <w:noWrap/>
                  <w:tcMar>
                    <w:left w:w="0" w:type="dxa"/>
                    <w:right w:w="0" w:type="dxa"/>
                  </w:tcMar>
                  <w:vAlign w:val="center"/>
                </w:tcPr>
                <w:p w14:paraId="2271F98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委托有资质的单位妥善处置</w:t>
                  </w:r>
                </w:p>
              </w:tc>
            </w:tr>
            <w:tr w14:paraId="4C69FD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73" w:type="dxa"/>
                  <w:shd w:val="clear" w:color="auto" w:fill="auto"/>
                  <w:noWrap/>
                  <w:tcMar>
                    <w:left w:w="0" w:type="dxa"/>
                    <w:right w:w="0" w:type="dxa"/>
                  </w:tcMar>
                  <w:vAlign w:val="center"/>
                </w:tcPr>
                <w:p w14:paraId="644EF59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喷淋废水</w:t>
                  </w:r>
                </w:p>
              </w:tc>
              <w:tc>
                <w:tcPr>
                  <w:tcW w:w="720" w:type="dxa"/>
                  <w:shd w:val="clear" w:color="auto" w:fill="auto"/>
                  <w:noWrap/>
                  <w:tcMar>
                    <w:left w:w="0" w:type="dxa"/>
                    <w:right w:w="0" w:type="dxa"/>
                  </w:tcMar>
                  <w:vAlign w:val="center"/>
                </w:tcPr>
                <w:p w14:paraId="442FD8B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HW35</w:t>
                  </w:r>
                </w:p>
              </w:tc>
              <w:tc>
                <w:tcPr>
                  <w:tcW w:w="1103" w:type="dxa"/>
                  <w:shd w:val="clear" w:color="auto" w:fill="auto"/>
                  <w:noWrap/>
                  <w:tcMar>
                    <w:left w:w="0" w:type="dxa"/>
                    <w:right w:w="0" w:type="dxa"/>
                  </w:tcMar>
                  <w:vAlign w:val="center"/>
                </w:tcPr>
                <w:p w14:paraId="7A9A269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900-399-35</w:t>
                  </w:r>
                </w:p>
              </w:tc>
              <w:tc>
                <w:tcPr>
                  <w:tcW w:w="702" w:type="dxa"/>
                  <w:shd w:val="clear" w:color="auto" w:fill="auto"/>
                  <w:noWrap/>
                  <w:tcMar>
                    <w:left w:w="0" w:type="dxa"/>
                    <w:right w:w="0" w:type="dxa"/>
                  </w:tcMar>
                  <w:vAlign w:val="center"/>
                </w:tcPr>
                <w:p w14:paraId="06C86D7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4</w:t>
                  </w:r>
                </w:p>
              </w:tc>
              <w:tc>
                <w:tcPr>
                  <w:tcW w:w="974" w:type="dxa"/>
                  <w:shd w:val="clear" w:color="auto" w:fill="auto"/>
                  <w:noWrap/>
                  <w:tcMar>
                    <w:left w:w="0" w:type="dxa"/>
                    <w:right w:w="0" w:type="dxa"/>
                  </w:tcMar>
                  <w:vAlign w:val="center"/>
                </w:tcPr>
                <w:p w14:paraId="521B4D3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环保设备</w:t>
                  </w:r>
                </w:p>
              </w:tc>
              <w:tc>
                <w:tcPr>
                  <w:tcW w:w="394" w:type="dxa"/>
                  <w:shd w:val="clear" w:color="auto" w:fill="auto"/>
                  <w:noWrap/>
                  <w:tcMar>
                    <w:left w:w="0" w:type="dxa"/>
                    <w:right w:w="0" w:type="dxa"/>
                  </w:tcMar>
                  <w:vAlign w:val="center"/>
                </w:tcPr>
                <w:p w14:paraId="7C6DDD3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液态</w:t>
                  </w:r>
                </w:p>
              </w:tc>
              <w:tc>
                <w:tcPr>
                  <w:tcW w:w="746" w:type="dxa"/>
                  <w:shd w:val="clear" w:color="auto" w:fill="auto"/>
                  <w:noWrap/>
                  <w:tcMar>
                    <w:left w:w="0" w:type="dxa"/>
                    <w:right w:w="0" w:type="dxa"/>
                  </w:tcMar>
                  <w:vAlign w:val="center"/>
                </w:tcPr>
                <w:p w14:paraId="1DCB931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废碱</w:t>
                  </w:r>
                </w:p>
              </w:tc>
              <w:tc>
                <w:tcPr>
                  <w:tcW w:w="774" w:type="dxa"/>
                  <w:shd w:val="clear" w:color="auto" w:fill="auto"/>
                  <w:noWrap/>
                  <w:tcMar>
                    <w:left w:w="0" w:type="dxa"/>
                    <w:right w:w="0" w:type="dxa"/>
                  </w:tcMar>
                  <w:vAlign w:val="center"/>
                </w:tcPr>
                <w:p w14:paraId="25D5CD2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C,T</w:t>
                  </w:r>
                </w:p>
              </w:tc>
              <w:tc>
                <w:tcPr>
                  <w:tcW w:w="1037" w:type="dxa"/>
                  <w:shd w:val="clear" w:color="auto" w:fill="auto"/>
                  <w:noWrap/>
                  <w:tcMar>
                    <w:left w:w="0" w:type="dxa"/>
                    <w:right w:w="0" w:type="dxa"/>
                  </w:tcMar>
                  <w:vAlign w:val="center"/>
                </w:tcPr>
                <w:p w14:paraId="162CA3D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1次/a</w:t>
                  </w:r>
                </w:p>
              </w:tc>
              <w:tc>
                <w:tcPr>
                  <w:tcW w:w="1377" w:type="dxa"/>
                  <w:vMerge w:val="continue"/>
                  <w:noWrap/>
                  <w:tcMar>
                    <w:left w:w="0" w:type="dxa"/>
                    <w:right w:w="0" w:type="dxa"/>
                  </w:tcMar>
                  <w:vAlign w:val="center"/>
                </w:tcPr>
                <w:p w14:paraId="49974CCC">
                  <w:pPr>
                    <w:topLinePunct/>
                    <w:adjustRightInd w:val="0"/>
                    <w:snapToGrid w:val="0"/>
                    <w:jc w:val="center"/>
                    <w:rPr>
                      <w:rFonts w:hint="default" w:ascii="Times New Roman" w:hAnsi="Times New Roman" w:cs="Times New Roman"/>
                      <w:kern w:val="0"/>
                      <w:szCs w:val="21"/>
                      <w:highlight w:val="none"/>
                    </w:rPr>
                  </w:pPr>
                </w:p>
              </w:tc>
            </w:tr>
          </w:tbl>
          <w:p w14:paraId="191EF9B4">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表4-15  建设项目危险废物贮存场所（设施）基本情况</w:t>
            </w:r>
          </w:p>
          <w:tbl>
            <w:tblPr>
              <w:tblStyle w:val="4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820"/>
              <w:gridCol w:w="919"/>
              <w:gridCol w:w="846"/>
              <w:gridCol w:w="1303"/>
              <w:gridCol w:w="1053"/>
              <w:gridCol w:w="635"/>
              <w:gridCol w:w="813"/>
              <w:gridCol w:w="732"/>
              <w:gridCol w:w="1079"/>
            </w:tblGrid>
            <w:tr w14:paraId="50663D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1820" w:type="dxa"/>
                  <w:noWrap/>
                  <w:tcMar>
                    <w:left w:w="0" w:type="dxa"/>
                    <w:right w:w="0" w:type="dxa"/>
                  </w:tcMar>
                  <w:vAlign w:val="center"/>
                </w:tcPr>
                <w:p w14:paraId="545E378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贮存场所（设施）</w:t>
                  </w:r>
                </w:p>
                <w:p w14:paraId="3D84CDF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名称</w:t>
                  </w:r>
                </w:p>
              </w:tc>
              <w:tc>
                <w:tcPr>
                  <w:tcW w:w="919" w:type="dxa"/>
                  <w:noWrap/>
                  <w:tcMar>
                    <w:left w:w="0" w:type="dxa"/>
                    <w:right w:w="0" w:type="dxa"/>
                  </w:tcMar>
                  <w:vAlign w:val="center"/>
                </w:tcPr>
                <w:p w14:paraId="2ADD949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危险废物名称</w:t>
                  </w:r>
                </w:p>
              </w:tc>
              <w:tc>
                <w:tcPr>
                  <w:tcW w:w="846" w:type="dxa"/>
                  <w:noWrap/>
                  <w:tcMar>
                    <w:left w:w="0" w:type="dxa"/>
                    <w:right w:w="0" w:type="dxa"/>
                  </w:tcMar>
                  <w:vAlign w:val="center"/>
                </w:tcPr>
                <w:p w14:paraId="1199DF8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危险废物类别</w:t>
                  </w:r>
                </w:p>
              </w:tc>
              <w:tc>
                <w:tcPr>
                  <w:tcW w:w="1303" w:type="dxa"/>
                  <w:noWrap/>
                  <w:tcMar>
                    <w:left w:w="0" w:type="dxa"/>
                    <w:right w:w="0" w:type="dxa"/>
                  </w:tcMar>
                  <w:vAlign w:val="center"/>
                </w:tcPr>
                <w:p w14:paraId="5721689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危险废物代码</w:t>
                  </w:r>
                </w:p>
              </w:tc>
              <w:tc>
                <w:tcPr>
                  <w:tcW w:w="1053" w:type="dxa"/>
                  <w:noWrap/>
                  <w:tcMar>
                    <w:left w:w="0" w:type="dxa"/>
                    <w:right w:w="0" w:type="dxa"/>
                  </w:tcMar>
                  <w:vAlign w:val="center"/>
                </w:tcPr>
                <w:p w14:paraId="37B5DF7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位置</w:t>
                  </w:r>
                </w:p>
              </w:tc>
              <w:tc>
                <w:tcPr>
                  <w:tcW w:w="635" w:type="dxa"/>
                  <w:noWrap/>
                  <w:tcMar>
                    <w:left w:w="0" w:type="dxa"/>
                    <w:right w:w="0" w:type="dxa"/>
                  </w:tcMar>
                  <w:vAlign w:val="center"/>
                </w:tcPr>
                <w:p w14:paraId="574BA390">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占地面积</w:t>
                  </w:r>
                </w:p>
              </w:tc>
              <w:tc>
                <w:tcPr>
                  <w:tcW w:w="813" w:type="dxa"/>
                  <w:noWrap/>
                  <w:tcMar>
                    <w:left w:w="0" w:type="dxa"/>
                    <w:right w:w="0" w:type="dxa"/>
                  </w:tcMar>
                  <w:vAlign w:val="center"/>
                </w:tcPr>
                <w:p w14:paraId="0BCEAD6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贮存方式</w:t>
                  </w:r>
                </w:p>
              </w:tc>
              <w:tc>
                <w:tcPr>
                  <w:tcW w:w="732" w:type="dxa"/>
                  <w:noWrap/>
                  <w:tcMar>
                    <w:left w:w="0" w:type="dxa"/>
                    <w:right w:w="0" w:type="dxa"/>
                  </w:tcMar>
                  <w:vAlign w:val="center"/>
                </w:tcPr>
                <w:p w14:paraId="12DECC9E">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贮存</w:t>
                  </w:r>
                </w:p>
                <w:p w14:paraId="085C837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能力</w:t>
                  </w:r>
                </w:p>
              </w:tc>
              <w:tc>
                <w:tcPr>
                  <w:tcW w:w="1079" w:type="dxa"/>
                  <w:noWrap/>
                  <w:tcMar>
                    <w:left w:w="0" w:type="dxa"/>
                    <w:right w:w="0" w:type="dxa"/>
                  </w:tcMar>
                  <w:vAlign w:val="center"/>
                </w:tcPr>
                <w:p w14:paraId="602C63A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贮存</w:t>
                  </w:r>
                </w:p>
                <w:p w14:paraId="21F85F21">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周期</w:t>
                  </w:r>
                </w:p>
              </w:tc>
            </w:tr>
            <w:tr w14:paraId="0F2AB3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0" w:type="dxa"/>
                  <w:vMerge w:val="restart"/>
                  <w:noWrap/>
                  <w:tcMar>
                    <w:left w:w="0" w:type="dxa"/>
                    <w:right w:w="0" w:type="dxa"/>
                  </w:tcMar>
                  <w:vAlign w:val="center"/>
                </w:tcPr>
                <w:p w14:paraId="7D5E6A0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危废暂存间</w:t>
                  </w:r>
                </w:p>
              </w:tc>
              <w:tc>
                <w:tcPr>
                  <w:tcW w:w="919" w:type="dxa"/>
                  <w:shd w:val="clear" w:color="auto" w:fill="auto"/>
                  <w:noWrap/>
                  <w:tcMar>
                    <w:left w:w="0" w:type="dxa"/>
                    <w:right w:w="0" w:type="dxa"/>
                  </w:tcMar>
                  <w:vAlign w:val="center"/>
                </w:tcPr>
                <w:p w14:paraId="2A17102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废活性炭</w:t>
                  </w:r>
                </w:p>
              </w:tc>
              <w:tc>
                <w:tcPr>
                  <w:tcW w:w="846" w:type="dxa"/>
                  <w:shd w:val="clear" w:color="auto" w:fill="auto"/>
                  <w:noWrap/>
                  <w:tcMar>
                    <w:left w:w="0" w:type="dxa"/>
                    <w:right w:w="0" w:type="dxa"/>
                  </w:tcMar>
                  <w:vAlign w:val="center"/>
                </w:tcPr>
                <w:p w14:paraId="51D347D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HW49</w:t>
                  </w:r>
                </w:p>
              </w:tc>
              <w:tc>
                <w:tcPr>
                  <w:tcW w:w="1303" w:type="dxa"/>
                  <w:shd w:val="clear" w:color="auto" w:fill="auto"/>
                  <w:noWrap/>
                  <w:tcMar>
                    <w:left w:w="0" w:type="dxa"/>
                    <w:right w:w="0" w:type="dxa"/>
                  </w:tcMar>
                  <w:vAlign w:val="center"/>
                </w:tcPr>
                <w:p w14:paraId="3178BCC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900-039-49</w:t>
                  </w:r>
                </w:p>
              </w:tc>
              <w:tc>
                <w:tcPr>
                  <w:tcW w:w="1053" w:type="dxa"/>
                  <w:vMerge w:val="restart"/>
                  <w:noWrap/>
                  <w:tcMar>
                    <w:left w:w="0" w:type="dxa"/>
                    <w:right w:w="0" w:type="dxa"/>
                  </w:tcMar>
                  <w:vAlign w:val="center"/>
                </w:tcPr>
                <w:p w14:paraId="7FEE1F49">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丙类仓库二中东北角</w:t>
                  </w:r>
                </w:p>
              </w:tc>
              <w:tc>
                <w:tcPr>
                  <w:tcW w:w="635" w:type="dxa"/>
                  <w:vMerge w:val="restart"/>
                  <w:noWrap/>
                  <w:tcMar>
                    <w:left w:w="0" w:type="dxa"/>
                    <w:right w:w="0" w:type="dxa"/>
                  </w:tcMar>
                  <w:vAlign w:val="center"/>
                </w:tcPr>
                <w:p w14:paraId="6D33384A">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80m</w:t>
                  </w:r>
                  <w:r>
                    <w:rPr>
                      <w:rFonts w:hint="default" w:ascii="Times New Roman" w:hAnsi="Times New Roman" w:cs="Times New Roman"/>
                      <w:kern w:val="0"/>
                      <w:szCs w:val="21"/>
                      <w:highlight w:val="none"/>
                      <w:vertAlign w:val="superscript"/>
                    </w:rPr>
                    <w:t>2</w:t>
                  </w:r>
                </w:p>
              </w:tc>
              <w:tc>
                <w:tcPr>
                  <w:tcW w:w="813" w:type="dxa"/>
                  <w:noWrap/>
                  <w:tcMar>
                    <w:left w:w="0" w:type="dxa"/>
                    <w:right w:w="0" w:type="dxa"/>
                  </w:tcMar>
                  <w:vAlign w:val="center"/>
                </w:tcPr>
                <w:p w14:paraId="610369FD">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szCs w:val="21"/>
                      <w:highlight w:val="none"/>
                    </w:rPr>
                    <w:t>袋装</w:t>
                  </w:r>
                </w:p>
              </w:tc>
              <w:tc>
                <w:tcPr>
                  <w:tcW w:w="732" w:type="dxa"/>
                  <w:noWrap/>
                  <w:tcMar>
                    <w:left w:w="0" w:type="dxa"/>
                    <w:right w:w="0" w:type="dxa"/>
                  </w:tcMar>
                  <w:vAlign w:val="center"/>
                </w:tcPr>
                <w:p w14:paraId="5B05F988">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30t</w:t>
                  </w:r>
                </w:p>
              </w:tc>
              <w:tc>
                <w:tcPr>
                  <w:tcW w:w="1079" w:type="dxa"/>
                  <w:noWrap/>
                  <w:tcMar>
                    <w:left w:w="0" w:type="dxa"/>
                    <w:right w:w="0" w:type="dxa"/>
                  </w:tcMar>
                  <w:vAlign w:val="center"/>
                </w:tcPr>
                <w:p w14:paraId="0F42C275">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1年</w:t>
                  </w:r>
                </w:p>
              </w:tc>
            </w:tr>
            <w:tr w14:paraId="19FE7D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20" w:type="dxa"/>
                  <w:vMerge w:val="continue"/>
                  <w:noWrap/>
                  <w:tcMar>
                    <w:left w:w="0" w:type="dxa"/>
                    <w:right w:w="0" w:type="dxa"/>
                  </w:tcMar>
                  <w:vAlign w:val="center"/>
                </w:tcPr>
                <w:p w14:paraId="7426F4C4">
                  <w:pPr>
                    <w:topLinePunct/>
                    <w:adjustRightInd w:val="0"/>
                    <w:snapToGrid w:val="0"/>
                    <w:jc w:val="center"/>
                    <w:rPr>
                      <w:rFonts w:hint="default" w:ascii="Times New Roman" w:hAnsi="Times New Roman" w:cs="Times New Roman"/>
                      <w:szCs w:val="21"/>
                      <w:highlight w:val="none"/>
                    </w:rPr>
                  </w:pPr>
                </w:p>
              </w:tc>
              <w:tc>
                <w:tcPr>
                  <w:tcW w:w="919" w:type="dxa"/>
                  <w:shd w:val="clear" w:color="auto" w:fill="auto"/>
                  <w:noWrap/>
                  <w:tcMar>
                    <w:left w:w="0" w:type="dxa"/>
                    <w:right w:w="0" w:type="dxa"/>
                  </w:tcMar>
                  <w:vAlign w:val="center"/>
                </w:tcPr>
                <w:p w14:paraId="1589061B">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喷淋废水</w:t>
                  </w:r>
                </w:p>
              </w:tc>
              <w:tc>
                <w:tcPr>
                  <w:tcW w:w="846" w:type="dxa"/>
                  <w:shd w:val="clear" w:color="auto" w:fill="auto"/>
                  <w:noWrap/>
                  <w:tcMar>
                    <w:left w:w="0" w:type="dxa"/>
                    <w:right w:w="0" w:type="dxa"/>
                  </w:tcMar>
                  <w:vAlign w:val="center"/>
                </w:tcPr>
                <w:p w14:paraId="44BBF9D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HW35</w:t>
                  </w:r>
                </w:p>
              </w:tc>
              <w:tc>
                <w:tcPr>
                  <w:tcW w:w="1303" w:type="dxa"/>
                  <w:shd w:val="clear" w:color="auto" w:fill="auto"/>
                  <w:noWrap/>
                  <w:tcMar>
                    <w:left w:w="0" w:type="dxa"/>
                    <w:right w:w="0" w:type="dxa"/>
                  </w:tcMar>
                  <w:vAlign w:val="center"/>
                </w:tcPr>
                <w:p w14:paraId="7A6DC576">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900-399-35</w:t>
                  </w:r>
                </w:p>
              </w:tc>
              <w:tc>
                <w:tcPr>
                  <w:tcW w:w="1053" w:type="dxa"/>
                  <w:vMerge w:val="continue"/>
                  <w:noWrap/>
                  <w:tcMar>
                    <w:left w:w="0" w:type="dxa"/>
                    <w:right w:w="0" w:type="dxa"/>
                  </w:tcMar>
                  <w:vAlign w:val="center"/>
                </w:tcPr>
                <w:p w14:paraId="603D3DD2">
                  <w:pPr>
                    <w:topLinePunct/>
                    <w:adjustRightInd w:val="0"/>
                    <w:snapToGrid w:val="0"/>
                    <w:jc w:val="center"/>
                    <w:rPr>
                      <w:rFonts w:hint="default" w:ascii="Times New Roman" w:hAnsi="Times New Roman" w:cs="Times New Roman"/>
                      <w:kern w:val="0"/>
                      <w:szCs w:val="21"/>
                      <w:highlight w:val="none"/>
                    </w:rPr>
                  </w:pPr>
                </w:p>
              </w:tc>
              <w:tc>
                <w:tcPr>
                  <w:tcW w:w="635" w:type="dxa"/>
                  <w:vMerge w:val="continue"/>
                  <w:noWrap/>
                  <w:tcMar>
                    <w:left w:w="0" w:type="dxa"/>
                    <w:right w:w="0" w:type="dxa"/>
                  </w:tcMar>
                  <w:vAlign w:val="center"/>
                </w:tcPr>
                <w:p w14:paraId="2879882B">
                  <w:pPr>
                    <w:topLinePunct/>
                    <w:adjustRightInd w:val="0"/>
                    <w:snapToGrid w:val="0"/>
                    <w:jc w:val="center"/>
                    <w:rPr>
                      <w:rFonts w:hint="default" w:ascii="Times New Roman" w:hAnsi="Times New Roman" w:cs="Times New Roman"/>
                      <w:kern w:val="0"/>
                      <w:szCs w:val="21"/>
                      <w:highlight w:val="none"/>
                    </w:rPr>
                  </w:pPr>
                </w:p>
              </w:tc>
              <w:tc>
                <w:tcPr>
                  <w:tcW w:w="813" w:type="dxa"/>
                  <w:noWrap/>
                  <w:tcMar>
                    <w:left w:w="0" w:type="dxa"/>
                    <w:right w:w="0" w:type="dxa"/>
                  </w:tcMar>
                  <w:vAlign w:val="center"/>
                </w:tcPr>
                <w:p w14:paraId="59699C28">
                  <w:pPr>
                    <w:topLinePunct/>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桶装</w:t>
                  </w:r>
                </w:p>
              </w:tc>
              <w:tc>
                <w:tcPr>
                  <w:tcW w:w="732" w:type="dxa"/>
                  <w:noWrap/>
                  <w:tcMar>
                    <w:left w:w="0" w:type="dxa"/>
                    <w:right w:w="0" w:type="dxa"/>
                  </w:tcMar>
                  <w:vAlign w:val="center"/>
                </w:tcPr>
                <w:p w14:paraId="43988FC2">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10t</w:t>
                  </w:r>
                </w:p>
              </w:tc>
              <w:tc>
                <w:tcPr>
                  <w:tcW w:w="1079" w:type="dxa"/>
                  <w:noWrap/>
                  <w:tcMar>
                    <w:left w:w="0" w:type="dxa"/>
                    <w:right w:w="0" w:type="dxa"/>
                  </w:tcMar>
                  <w:vAlign w:val="center"/>
                </w:tcPr>
                <w:p w14:paraId="4ECFEE87">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1年</w:t>
                  </w:r>
                </w:p>
              </w:tc>
            </w:tr>
          </w:tbl>
          <w:p w14:paraId="532EA846">
            <w:pPr>
              <w:autoSpaceDE w:val="0"/>
              <w:autoSpaceDN w:val="0"/>
              <w:spacing w:line="360" w:lineRule="auto"/>
              <w:ind w:firstLine="482" w:firstLineChars="200"/>
              <w:rPr>
                <w:rFonts w:hint="default" w:ascii="Times New Roman" w:hAnsi="Times New Roman" w:cs="Times New Roman"/>
                <w:b/>
                <w:bCs/>
                <w:kern w:val="21"/>
                <w:sz w:val="24"/>
                <w:highlight w:val="none"/>
              </w:rPr>
            </w:pPr>
            <w:r>
              <w:rPr>
                <w:rFonts w:hint="default" w:ascii="Times New Roman" w:hAnsi="Times New Roman" w:cs="Times New Roman"/>
                <w:b/>
                <w:bCs/>
                <w:kern w:val="21"/>
                <w:sz w:val="24"/>
                <w:highlight w:val="none"/>
              </w:rPr>
              <w:t>固体废物环境管理要求：</w:t>
            </w:r>
          </w:p>
          <w:p w14:paraId="3FFA7958">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（1）危险废物</w:t>
            </w:r>
          </w:p>
          <w:p w14:paraId="070DFEBD">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危险废物执行《危险废物贮存污染控制标准》（GB18597-2023）中标准。</w:t>
            </w:r>
          </w:p>
          <w:p w14:paraId="3EF23D00">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①贮存场所</w:t>
            </w:r>
          </w:p>
          <w:p w14:paraId="6E1B0682">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危废暂存间建设按照《危险废物贮存污染控制标准》（GB18597-2023）相关标准要求进行建设。贮存场地进行防渗处理，采用2毫米厚高密度聚乙烯，渗透系数≤10</w:t>
            </w:r>
            <w:r>
              <w:rPr>
                <w:rFonts w:hint="default" w:ascii="Times New Roman" w:hAnsi="Times New Roman" w:cs="Times New Roman"/>
                <w:kern w:val="21"/>
                <w:sz w:val="24"/>
                <w:highlight w:val="none"/>
                <w:vertAlign w:val="superscript"/>
              </w:rPr>
              <w:t>-10</w:t>
            </w:r>
            <w:r>
              <w:rPr>
                <w:rFonts w:hint="default" w:ascii="Times New Roman" w:hAnsi="Times New Roman" w:cs="Times New Roman"/>
                <w:kern w:val="21"/>
                <w:sz w:val="24"/>
                <w:highlight w:val="none"/>
              </w:rPr>
              <w:t>cm/s，且做到防雨和防晒。</w:t>
            </w:r>
          </w:p>
          <w:p w14:paraId="1DD59D71">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项目危险废物贮存采取单独分类收集、独自通过桶装/袋装密闭储存。危废库内设置危废分区和桶架，并设置废液收集导流措施，用于各自桶装危废堆存。禁止混合收集、贮存、运输、处置性质不相容而未经安全性处置的危险废物。</w:t>
            </w:r>
          </w:p>
          <w:p w14:paraId="2705C767">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对危险废物的容器和包装物以及收集、贮存处置危险废物的设施、场所，必须设置危险废物识别标志、标识，在危险废物容器和包装袋上设立危险废物明显标志。处置单位应及时将固废运走，危险废物在厂内存储不超过一年。</w:t>
            </w:r>
          </w:p>
          <w:p w14:paraId="23BF7B9C">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危险废物暂存场所（危废间）应满足“四防”（防风、防雨、防晒、防渗漏）要求，采取防渗措施和渗漏收集措施，并设置警示标识。在采取严格防治措施的前提下，危险废物贮存场所不会造成不利环境影响。</w:t>
            </w:r>
          </w:p>
          <w:p w14:paraId="03F5C433">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②运输过程</w:t>
            </w:r>
          </w:p>
          <w:p w14:paraId="067498AB">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本项目危险废物产生及贮存场、运输通道均已采取硬化和防腐防渗措施，因此危险废物从产生工艺环节运输到暂存场所的过程中产生散落和泄漏均会将影响控制在厂区内，不会对周边环境敏感点及地下水环境产生不利影响。</w:t>
            </w:r>
          </w:p>
          <w:p w14:paraId="42119E2E">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③委托利用或者处置</w:t>
            </w:r>
          </w:p>
          <w:p w14:paraId="38EE1E2F">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企业需建立完善危险废物管理台账，如实记录危险废物贮存、利用、处置相关情况，制定危险废物管理计划并报环保局备案，如实申报危险废物种类、产生量、流向、贮存、处置等有关情况。</w:t>
            </w:r>
          </w:p>
          <w:p w14:paraId="2208B1E4">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危险废物委托必须委托具有相应危险废物经营资质的单位利用处置，签订委托处理协议，危险废物转移严格执行《危险废物转移联单制度》。</w:t>
            </w:r>
          </w:p>
          <w:p w14:paraId="429D2FE0">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项目已建成危险废物暂存间按照《危险废物贮存污染控制标准》（GB18597-2023）和《危险废物污染防治技术政策》的要求规范建设，已做好该暂存场防雨、防风、防渗、防漏等措施，并制定好危险废物转移运输途中的污染防治及事故应急措施。</w:t>
            </w:r>
          </w:p>
          <w:p w14:paraId="2342791F">
            <w:pPr>
              <w:autoSpaceDE w:val="0"/>
              <w:autoSpaceDN w:val="0"/>
              <w:spacing w:line="360" w:lineRule="auto"/>
              <w:ind w:firstLine="480" w:firstLineChars="200"/>
              <w:rPr>
                <w:rFonts w:hint="default" w:ascii="Times New Roman" w:hAnsi="Times New Roman" w:cs="Times New Roman"/>
                <w:kern w:val="21"/>
                <w:sz w:val="24"/>
                <w:highlight w:val="none"/>
              </w:rPr>
            </w:pPr>
            <w:r>
              <w:rPr>
                <w:rFonts w:hint="default" w:ascii="Times New Roman" w:hAnsi="Times New Roman" w:cs="Times New Roman"/>
                <w:kern w:val="21"/>
                <w:sz w:val="24"/>
                <w:highlight w:val="none"/>
              </w:rPr>
              <w:t>综上所述，本项目固废可综合利用和妥善处置，可以满足《一般工业固体废物贮存和填埋污染控制标准》（GB18599-2020）要求；危废暂存间按照《危险废物贮存污染控制标准》</w:t>
            </w:r>
            <w:r>
              <w:rPr>
                <w:rFonts w:hint="default" w:ascii="Times New Roman" w:hAnsi="Times New Roman" w:cs="Times New Roman"/>
                <w:spacing w:val="-1"/>
                <w:highlight w:val="none"/>
              </w:rPr>
              <w:t>（</w:t>
            </w:r>
            <w:r>
              <w:rPr>
                <w:rFonts w:hint="default" w:ascii="Times New Roman" w:hAnsi="Times New Roman" w:cs="Times New Roman"/>
                <w:kern w:val="21"/>
                <w:sz w:val="24"/>
                <w:highlight w:val="none"/>
              </w:rPr>
              <w:t>GB18597-2023）要求，对周围环境影响较小。项目固废均处置措施完善、去向明确，固废对周围环境影响很小。</w:t>
            </w:r>
          </w:p>
          <w:p w14:paraId="482D5E72">
            <w:pPr>
              <w:pStyle w:val="23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五、地下水、土壤</w:t>
            </w:r>
          </w:p>
          <w:p w14:paraId="0F8D207F">
            <w:pPr>
              <w:pStyle w:val="267"/>
              <w:widowControl/>
              <w:autoSpaceDE w:val="0"/>
              <w:autoSpaceDN w:val="0"/>
              <w:adjustRightInd w:val="0"/>
              <w:snapToGrid w:val="0"/>
              <w:spacing w:line="360" w:lineRule="auto"/>
              <w:ind w:firstLine="476" w:firstLineChars="200"/>
              <w:textAlignment w:val="baseline"/>
              <w:rPr>
                <w:rFonts w:hint="default" w:ascii="Times New Roman" w:hAnsi="Times New Roman" w:cs="Times New Roman"/>
                <w:snapToGrid w:val="0"/>
                <w:spacing w:val="-1"/>
                <w:kern w:val="0"/>
                <w:sz w:val="24"/>
                <w:szCs w:val="24"/>
                <w:highlight w:val="none"/>
                <w:lang w:eastAsia="zh-CN"/>
              </w:rPr>
            </w:pPr>
            <w:r>
              <w:rPr>
                <w:rFonts w:hint="default" w:ascii="Times New Roman" w:hAnsi="Times New Roman" w:cs="Times New Roman"/>
                <w:snapToGrid w:val="0"/>
                <w:spacing w:val="-1"/>
                <w:kern w:val="0"/>
                <w:sz w:val="24"/>
                <w:szCs w:val="24"/>
                <w:highlight w:val="none"/>
                <w:lang w:eastAsia="zh-CN"/>
              </w:rPr>
              <w:t>1、污染源和污染途径</w:t>
            </w:r>
          </w:p>
          <w:p w14:paraId="34245CE3">
            <w:pPr>
              <w:pStyle w:val="267"/>
              <w:widowControl/>
              <w:autoSpaceDE w:val="0"/>
              <w:autoSpaceDN w:val="0"/>
              <w:adjustRightInd w:val="0"/>
              <w:snapToGrid w:val="0"/>
              <w:spacing w:line="360" w:lineRule="auto"/>
              <w:ind w:firstLine="476" w:firstLineChars="200"/>
              <w:textAlignment w:val="baseline"/>
              <w:rPr>
                <w:rFonts w:hint="default" w:ascii="Times New Roman" w:hAnsi="Times New Roman" w:cs="Times New Roman"/>
                <w:snapToGrid w:val="0"/>
                <w:spacing w:val="-1"/>
                <w:kern w:val="0"/>
                <w:sz w:val="24"/>
                <w:szCs w:val="24"/>
                <w:highlight w:val="none"/>
                <w:lang w:eastAsia="zh-CN"/>
              </w:rPr>
            </w:pPr>
            <w:r>
              <w:rPr>
                <w:rFonts w:hint="default" w:ascii="Times New Roman" w:hAnsi="Times New Roman" w:cs="Times New Roman"/>
                <w:snapToGrid w:val="0"/>
                <w:spacing w:val="-1"/>
                <w:kern w:val="0"/>
                <w:sz w:val="24"/>
                <w:szCs w:val="24"/>
                <w:highlight w:val="none"/>
                <w:lang w:eastAsia="zh-CN"/>
              </w:rPr>
              <w:t>项目可能污染地下水、土壤的污染源主要是罐区、危废暂存间等区域，项目罐区、危废暂存间按照《危险废物贮存污染控制标准》（GB18597-2023）做好防渗措施，不存在直接污染地下水、土壤途径。</w:t>
            </w:r>
          </w:p>
          <w:p w14:paraId="720C4581">
            <w:pPr>
              <w:pStyle w:val="267"/>
              <w:widowControl/>
              <w:autoSpaceDE w:val="0"/>
              <w:autoSpaceDN w:val="0"/>
              <w:adjustRightInd w:val="0"/>
              <w:snapToGrid w:val="0"/>
              <w:spacing w:line="360" w:lineRule="auto"/>
              <w:ind w:firstLine="476" w:firstLineChars="200"/>
              <w:textAlignment w:val="baseline"/>
              <w:rPr>
                <w:rFonts w:hint="default" w:ascii="Times New Roman" w:hAnsi="Times New Roman" w:cs="Times New Roman"/>
                <w:snapToGrid w:val="0"/>
                <w:spacing w:val="-1"/>
                <w:kern w:val="0"/>
                <w:sz w:val="24"/>
                <w:szCs w:val="24"/>
                <w:highlight w:val="none"/>
                <w:lang w:eastAsia="zh-CN"/>
              </w:rPr>
            </w:pPr>
            <w:r>
              <w:rPr>
                <w:rFonts w:hint="default" w:ascii="Times New Roman" w:hAnsi="Times New Roman" w:cs="Times New Roman"/>
                <w:snapToGrid w:val="0"/>
                <w:spacing w:val="-1"/>
                <w:kern w:val="0"/>
                <w:sz w:val="24"/>
                <w:szCs w:val="24"/>
                <w:highlight w:val="none"/>
                <w:lang w:eastAsia="zh-CN"/>
              </w:rPr>
              <w:t>2、分区防渗控制要求</w:t>
            </w:r>
          </w:p>
          <w:p w14:paraId="5BD36C49">
            <w:pPr>
              <w:pStyle w:val="267"/>
              <w:widowControl/>
              <w:autoSpaceDE w:val="0"/>
              <w:autoSpaceDN w:val="0"/>
              <w:adjustRightInd w:val="0"/>
              <w:snapToGrid w:val="0"/>
              <w:spacing w:line="360" w:lineRule="auto"/>
              <w:ind w:firstLine="476" w:firstLineChars="200"/>
              <w:textAlignment w:val="baseline"/>
              <w:rPr>
                <w:rFonts w:hint="default" w:ascii="Times New Roman" w:hAnsi="Times New Roman" w:cs="Times New Roman"/>
                <w:snapToGrid w:val="0"/>
                <w:spacing w:val="-1"/>
                <w:kern w:val="0"/>
                <w:sz w:val="24"/>
                <w:szCs w:val="24"/>
                <w:highlight w:val="none"/>
                <w:lang w:eastAsia="zh-CN"/>
              </w:rPr>
            </w:pPr>
            <w:r>
              <w:rPr>
                <w:rFonts w:hint="default" w:ascii="Times New Roman" w:hAnsi="Times New Roman" w:cs="Times New Roman"/>
                <w:snapToGrid w:val="0"/>
                <w:spacing w:val="-1"/>
                <w:kern w:val="0"/>
                <w:sz w:val="24"/>
                <w:szCs w:val="24"/>
                <w:highlight w:val="none"/>
                <w:lang w:eastAsia="zh-CN"/>
              </w:rPr>
              <w:t>项目划分为一般防渗区和重点防渗区，其中罐区、危废暂存间为重点防渗区。项目利用现有危废暂存间，根据企业提供资料，</w:t>
            </w:r>
            <w:r>
              <w:rPr>
                <w:rFonts w:hint="default" w:ascii="Times New Roman" w:hAnsi="Times New Roman" w:cs="Times New Roman"/>
                <w:snapToGrid w:val="0"/>
                <w:spacing w:val="-3"/>
                <w:kern w:val="0"/>
                <w:sz w:val="24"/>
                <w:szCs w:val="24"/>
                <w:highlight w:val="none"/>
                <w:lang w:eastAsia="zh-CN"/>
              </w:rPr>
              <w:t>危废暂存间采用防渗混凝土地坪+HDPE膜处理，项目新建罐区，罐区采用防渗混凝土地坪+HDPE膜处理满足</w:t>
            </w:r>
            <w:r>
              <w:rPr>
                <w:rFonts w:hint="default" w:ascii="Times New Roman" w:hAnsi="Times New Roman" w:cs="Times New Roman"/>
                <w:snapToGrid w:val="0"/>
                <w:spacing w:val="-1"/>
                <w:kern w:val="0"/>
                <w:sz w:val="24"/>
                <w:szCs w:val="24"/>
                <w:highlight w:val="none"/>
                <w:lang w:eastAsia="zh-CN"/>
              </w:rPr>
              <w:t>《危险废物贮存污染控制标准》（GB18597-2023）防渗措施要求。</w:t>
            </w:r>
          </w:p>
          <w:p w14:paraId="58EE0143">
            <w:pPr>
              <w:pStyle w:val="267"/>
              <w:widowControl/>
              <w:autoSpaceDE w:val="0"/>
              <w:autoSpaceDN w:val="0"/>
              <w:adjustRightInd w:val="0"/>
              <w:snapToGrid w:val="0"/>
              <w:spacing w:line="360" w:lineRule="auto"/>
              <w:ind w:firstLine="476" w:firstLineChars="200"/>
              <w:textAlignment w:val="baseline"/>
              <w:rPr>
                <w:rFonts w:hint="default" w:ascii="Times New Roman" w:hAnsi="Times New Roman" w:cs="Times New Roman"/>
                <w:snapToGrid w:val="0"/>
                <w:spacing w:val="-1"/>
                <w:kern w:val="0"/>
                <w:sz w:val="24"/>
                <w:szCs w:val="24"/>
                <w:highlight w:val="none"/>
                <w:lang w:eastAsia="zh-CN"/>
              </w:rPr>
            </w:pPr>
            <w:r>
              <w:rPr>
                <w:rFonts w:hint="default" w:ascii="Times New Roman" w:hAnsi="Times New Roman" w:cs="Times New Roman"/>
                <w:snapToGrid w:val="0"/>
                <w:spacing w:val="-1"/>
                <w:kern w:val="0"/>
                <w:sz w:val="24"/>
                <w:szCs w:val="24"/>
                <w:highlight w:val="none"/>
                <w:lang w:eastAsia="zh-CN"/>
              </w:rPr>
              <w:t>通过采取以上措施，项目对可能产生地下水、土壤影响的各项途径均进行有效的预防。确保各项防渗措施得以落实，并加强维护，在严格执行环境管理要求的前提下，对地下水、土壤环境的影响可以接受。</w:t>
            </w:r>
          </w:p>
          <w:p w14:paraId="3DB351E3">
            <w:pPr>
              <w:pStyle w:val="230"/>
              <w:ind w:firstLineChars="20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六、生态</w:t>
            </w:r>
          </w:p>
          <w:p w14:paraId="2359568C">
            <w:pPr>
              <w:spacing w:line="360" w:lineRule="auto"/>
              <w:ind w:firstLine="480" w:firstLineChars="200"/>
              <w:rPr>
                <w:rFonts w:hint="default" w:ascii="Times New Roman" w:hAnsi="Times New Roman" w:cs="Times New Roman"/>
                <w:kern w:val="0"/>
                <w:sz w:val="24"/>
                <w:highlight w:val="none"/>
              </w:rPr>
            </w:pPr>
            <w:r>
              <w:rPr>
                <w:rFonts w:hint="default" w:ascii="Times New Roman" w:hAnsi="Times New Roman" w:cs="Times New Roman"/>
                <w:kern w:val="0"/>
                <w:sz w:val="24"/>
                <w:highlight w:val="none"/>
              </w:rPr>
              <w:t>本项目用地范围内无珍稀动植物物种，生态环境质量一般，用地范围内无生态环境保护目标。项目占地内原有生物物种在项目周围地域广泛存在，基本不影响评价区域的生物多样性，项目运营对周围生态环境基本上没有产生明显的影响。</w:t>
            </w:r>
          </w:p>
          <w:p w14:paraId="3559ED9C">
            <w:pPr>
              <w:pStyle w:val="230"/>
              <w:ind w:firstLineChars="20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七、电磁辐射</w:t>
            </w:r>
          </w:p>
          <w:p w14:paraId="55FD4EB7">
            <w:pPr>
              <w:pStyle w:val="230"/>
              <w:ind w:firstLine="480"/>
              <w:jc w:val="both"/>
              <w:rPr>
                <w:rFonts w:hint="default" w:ascii="Times New Roman" w:hAnsi="Times New Roman" w:cs="Times New Roman"/>
                <w:highlight w:val="none"/>
                <w:lang w:eastAsia="zh-CN"/>
              </w:rPr>
            </w:pPr>
            <w:r>
              <w:rPr>
                <w:rFonts w:hint="default" w:ascii="Times New Roman" w:hAnsi="Times New Roman" w:cs="Times New Roman"/>
                <w:highlight w:val="none"/>
                <w:lang w:eastAsia="zh-CN"/>
              </w:rPr>
              <w:t>本项目不属于新建或改建、扩建广播电台、差转台、电视塔台、卫星地球上行站、雷达等电磁辐射类项目，本项目不需要分析电磁辐射对环境目标的影响。</w:t>
            </w:r>
          </w:p>
          <w:p w14:paraId="71C1A289">
            <w:pPr>
              <w:pStyle w:val="23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八、环境风险</w:t>
            </w:r>
          </w:p>
          <w:p w14:paraId="2C855CB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1、危险物质及评价等级</w:t>
            </w:r>
          </w:p>
          <w:p w14:paraId="1343284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按照《建设项目环境风险评价技术导则》（HJ169-2018）的要求，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126C39E8">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（1）环境风险潜势初判</w:t>
            </w:r>
          </w:p>
          <w:p w14:paraId="5CF6292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根据《建设项目环境风险评价技术导则》（HJ169-2018）附录C，当只涉及一种危险物质时，计算该物质的总量与其临界量比值，即为Q；当存在多种危险物质时，则按下式计算物质总量与其临界量比值（Q）：</w:t>
            </w:r>
          </w:p>
          <w:p w14:paraId="6A95E65B">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object>
                <v:shape id="_x0000_i1038" o:spt="75" type="#_x0000_t75" style="height:33.3pt;width:101.2pt;" o:ole="t" filled="f" o:preferrelative="t" stroked="f" coordsize="21600,21600">
                  <v:path/>
                  <v:fill on="f" focussize="0,0"/>
                  <v:stroke on="f" joinstyle="miter"/>
                  <v:imagedata r:id="rId45" o:title=""/>
                  <o:lock v:ext="edit" aspectratio="t"/>
                  <w10:wrap type="none"/>
                  <w10:anchorlock/>
                </v:shape>
                <o:OLEObject Type="Embed" ProgID="Equation.3" ShapeID="_x0000_i1038" DrawAspect="Content" ObjectID="_1468075738" r:id="rId44">
                  <o:LockedField>false</o:LockedField>
                </o:OLEObject>
              </w:object>
            </w:r>
          </w:p>
          <w:p w14:paraId="13B3107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式中：q1，q2……qn—每种危险物质的最大存在量，t；</w:t>
            </w:r>
          </w:p>
          <w:p w14:paraId="578AA1A8">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Q1，Q2…Qn—每种危险物质的临界量，t。</w:t>
            </w:r>
          </w:p>
          <w:p w14:paraId="7C68855E">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当Q&lt;1时，该项目环境风险潜势为I。</w:t>
            </w:r>
          </w:p>
          <w:p w14:paraId="50D1511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当Q≧1时，将Q值划分为：（1）1≦Q&lt;10；（2）10≦Q&lt;100；（3）Q≧100。</w:t>
            </w:r>
          </w:p>
          <w:p w14:paraId="0920FFEE">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根据《建设项目环境风险评价技术导则》（HJ169-2018）中附录B要求，本项目选取化学品等进行计算。</w:t>
            </w:r>
          </w:p>
          <w:p w14:paraId="52070AC0">
            <w:pPr>
              <w:spacing w:line="360" w:lineRule="auto"/>
              <w:jc w:val="center"/>
              <w:rPr>
                <w:rFonts w:hint="default" w:ascii="Times New Roman" w:hAnsi="Times New Roman" w:cs="Times New Roman"/>
                <w:b/>
                <w:bCs/>
                <w:color w:val="000000"/>
                <w:sz w:val="24"/>
                <w:highlight w:val="none"/>
              </w:rPr>
            </w:pPr>
            <w:bookmarkStart w:id="2" w:name="_Ref32309007"/>
            <w:r>
              <w:rPr>
                <w:rFonts w:hint="default" w:ascii="Times New Roman" w:hAnsi="Times New Roman" w:cs="Times New Roman"/>
                <w:b/>
                <w:bCs/>
                <w:color w:val="000000"/>
                <w:sz w:val="24"/>
                <w:highlight w:val="none"/>
              </w:rPr>
              <w:t>表</w:t>
            </w:r>
            <w:bookmarkEnd w:id="2"/>
            <w:r>
              <w:rPr>
                <w:rFonts w:hint="default" w:ascii="Times New Roman" w:hAnsi="Times New Roman" w:cs="Times New Roman"/>
                <w:b/>
                <w:bCs/>
                <w:color w:val="000000"/>
                <w:sz w:val="24"/>
                <w:highlight w:val="none"/>
              </w:rPr>
              <w:t>4-16  最大危险物质分布及存在数量一览表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988"/>
              <w:gridCol w:w="1320"/>
              <w:gridCol w:w="761"/>
              <w:gridCol w:w="761"/>
              <w:gridCol w:w="761"/>
              <w:gridCol w:w="1482"/>
              <w:gridCol w:w="943"/>
              <w:gridCol w:w="1035"/>
            </w:tblGrid>
            <w:tr w14:paraId="0ED2C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Align w:val="center"/>
                </w:tcPr>
                <w:p w14:paraId="733457EA">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时期</w:t>
                  </w:r>
                </w:p>
              </w:tc>
              <w:tc>
                <w:tcPr>
                  <w:tcW w:w="536" w:type="pct"/>
                  <w:vAlign w:val="center"/>
                </w:tcPr>
                <w:p w14:paraId="3A1DA8FD">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危险物质</w:t>
                  </w:r>
                </w:p>
              </w:tc>
              <w:tc>
                <w:tcPr>
                  <w:tcW w:w="716" w:type="pct"/>
                  <w:vAlign w:val="center"/>
                </w:tcPr>
                <w:p w14:paraId="1EE8CADA">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存储设施名称</w:t>
                  </w:r>
                </w:p>
              </w:tc>
              <w:tc>
                <w:tcPr>
                  <w:tcW w:w="413" w:type="pct"/>
                  <w:vAlign w:val="center"/>
                </w:tcPr>
                <w:p w14:paraId="63BAD7F9">
                  <w:pPr>
                    <w:pStyle w:val="98"/>
                    <w:rPr>
                      <w:rFonts w:hint="eastAsia" w:ascii="Times New Roman" w:hAnsi="Times New Roman" w:eastAsia="宋体" w:cs="Times New Roman"/>
                      <w:color w:val="000000"/>
                      <w:highlight w:val="none"/>
                      <w:lang w:val="en-US" w:eastAsia="zh-CN"/>
                    </w:rPr>
                  </w:pPr>
                  <w:r>
                    <w:rPr>
                      <w:rStyle w:val="54"/>
                      <w:rFonts w:hint="eastAsia" w:eastAsia="宋体" w:cs="Times New Roman"/>
                      <w:szCs w:val="20"/>
                      <w:highlight w:val="none"/>
                      <w:lang w:val="en-US" w:eastAsia="zh-CN"/>
                    </w:rPr>
                    <w:t>容积</w:t>
                  </w:r>
                  <w:r>
                    <w:rPr>
                      <w:rFonts w:hint="eastAsia" w:eastAsia="宋体" w:cs="Times New Roman"/>
                      <w:color w:val="000000"/>
                      <w:highlight w:val="none"/>
                      <w:lang w:val="en-US" w:eastAsia="zh-CN"/>
                    </w:rPr>
                    <w:t>m</w:t>
                  </w:r>
                  <w:r>
                    <w:rPr>
                      <w:rFonts w:hint="eastAsia" w:eastAsia="宋体" w:cs="Times New Roman"/>
                      <w:color w:val="000000"/>
                      <w:highlight w:val="none"/>
                      <w:vertAlign w:val="superscript"/>
                      <w:lang w:val="en-US" w:eastAsia="zh-CN"/>
                    </w:rPr>
                    <w:t>3</w:t>
                  </w:r>
                </w:p>
              </w:tc>
              <w:tc>
                <w:tcPr>
                  <w:tcW w:w="413" w:type="pct"/>
                  <w:shd w:val="clear" w:color="auto" w:fill="auto"/>
                  <w:vAlign w:val="center"/>
                </w:tcPr>
                <w:p w14:paraId="3B8C27DA">
                  <w:pPr>
                    <w:pStyle w:val="98"/>
                    <w:rPr>
                      <w:rFonts w:hint="default" w:ascii="Times New Roman" w:hAnsi="Times New Roman" w:eastAsia="宋体" w:cs="Times New Roman"/>
                      <w:color w:val="000000"/>
                      <w:kern w:val="0"/>
                      <w:sz w:val="21"/>
                      <w:szCs w:val="21"/>
                      <w:highlight w:val="none"/>
                      <w:lang w:val="en-US" w:eastAsia="zh-CN" w:bidi="ar-SA"/>
                    </w:rPr>
                  </w:pPr>
                  <w:r>
                    <w:rPr>
                      <w:rFonts w:hint="eastAsia" w:eastAsia="宋体" w:cs="Times New Roman"/>
                      <w:color w:val="000000"/>
                      <w:highlight w:val="none"/>
                      <w:lang w:val="en-US" w:eastAsia="zh-CN"/>
                    </w:rPr>
                    <w:t>密度t/m</w:t>
                  </w:r>
                  <w:r>
                    <w:rPr>
                      <w:rFonts w:hint="eastAsia" w:eastAsia="宋体" w:cs="Times New Roman"/>
                      <w:color w:val="000000"/>
                      <w:highlight w:val="none"/>
                      <w:vertAlign w:val="superscript"/>
                      <w:lang w:val="en-US" w:eastAsia="zh-CN"/>
                    </w:rPr>
                    <w:t>3</w:t>
                  </w:r>
                </w:p>
              </w:tc>
              <w:tc>
                <w:tcPr>
                  <w:tcW w:w="413" w:type="pct"/>
                  <w:shd w:val="clear" w:color="auto" w:fill="auto"/>
                  <w:vAlign w:val="center"/>
                </w:tcPr>
                <w:p w14:paraId="13064932">
                  <w:pPr>
                    <w:pStyle w:val="98"/>
                    <w:rPr>
                      <w:rFonts w:hint="default" w:ascii="Times New Roman" w:hAnsi="Times New Roman" w:eastAsia="宋体" w:cs="Times New Roman"/>
                      <w:color w:val="000000"/>
                      <w:kern w:val="0"/>
                      <w:sz w:val="21"/>
                      <w:szCs w:val="21"/>
                      <w:highlight w:val="none"/>
                      <w:lang w:val="en-US" w:eastAsia="zh-CN" w:bidi="ar-SA"/>
                    </w:rPr>
                  </w:pPr>
                  <w:r>
                    <w:rPr>
                      <w:rFonts w:hint="eastAsia" w:eastAsia="宋体" w:cs="Times New Roman"/>
                      <w:color w:val="000000"/>
                      <w:highlight w:val="none"/>
                      <w:lang w:val="en-US" w:eastAsia="zh-CN"/>
                    </w:rPr>
                    <w:t>填装率%</w:t>
                  </w:r>
                </w:p>
              </w:tc>
              <w:tc>
                <w:tcPr>
                  <w:tcW w:w="804" w:type="pct"/>
                  <w:shd w:val="clear" w:color="auto" w:fill="auto"/>
                  <w:vAlign w:val="center"/>
                </w:tcPr>
                <w:p w14:paraId="3EAEB4BB">
                  <w:pPr>
                    <w:pStyle w:val="98"/>
                    <w:rPr>
                      <w:rFonts w:hint="eastAsia" w:ascii="Times New Roman" w:hAnsi="Times New Roman" w:eastAsia="宋体" w:cs="Times New Roman"/>
                      <w:color w:val="000000"/>
                      <w:kern w:val="0"/>
                      <w:sz w:val="21"/>
                      <w:szCs w:val="21"/>
                      <w:highlight w:val="none"/>
                      <w:lang w:val="en-US" w:eastAsia="zh-CN" w:bidi="ar-SA"/>
                    </w:rPr>
                  </w:pPr>
                  <w:r>
                    <w:rPr>
                      <w:rFonts w:hint="eastAsia" w:eastAsia="宋体" w:cs="Times New Roman"/>
                      <w:color w:val="000000"/>
                      <w:highlight w:val="none"/>
                      <w:lang w:val="en-US" w:eastAsia="zh-CN"/>
                    </w:rPr>
                    <w:t>最大在线量</w:t>
                  </w:r>
                  <w:r>
                    <w:rPr>
                      <w:rFonts w:hint="default" w:ascii="Times New Roman" w:hAnsi="Times New Roman" w:cs="Times New Roman"/>
                      <w:color w:val="000000"/>
                      <w:highlight w:val="none"/>
                    </w:rPr>
                    <w:t>qi（t）</w:t>
                  </w:r>
                </w:p>
              </w:tc>
              <w:tc>
                <w:tcPr>
                  <w:tcW w:w="511" w:type="pct"/>
                  <w:vAlign w:val="center"/>
                </w:tcPr>
                <w:p w14:paraId="11FC4FF0">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临界量</w:t>
                  </w:r>
                </w:p>
              </w:tc>
              <w:tc>
                <w:tcPr>
                  <w:tcW w:w="561" w:type="pct"/>
                  <w:vAlign w:val="center"/>
                </w:tcPr>
                <w:p w14:paraId="179373EB">
                  <w:pPr>
                    <w:pStyle w:val="98"/>
                    <w:rPr>
                      <w:rFonts w:hint="default" w:ascii="Times New Roman" w:hAnsi="Times New Roman" w:cs="Times New Roman"/>
                      <w:color w:val="000000"/>
                      <w:highlight w:val="none"/>
                    </w:rPr>
                  </w:pPr>
                  <w:r>
                    <w:rPr>
                      <w:rFonts w:hint="default" w:ascii="Times New Roman" w:hAnsi="Times New Roman" w:cs="Times New Roman"/>
                      <w:color w:val="000000"/>
                      <w:highlight w:val="none"/>
                    </w:rPr>
                    <w:t>Q</w:t>
                  </w:r>
                </w:p>
              </w:tc>
            </w:tr>
            <w:tr w14:paraId="71C86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restart"/>
                  <w:vAlign w:val="center"/>
                </w:tcPr>
                <w:p w14:paraId="6A7E39E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营运</w:t>
                  </w:r>
                  <w:r>
                    <w:rPr>
                      <w:rFonts w:hint="default" w:ascii="Times New Roman" w:hAnsi="Times New Roman" w:cs="Times New Roman"/>
                      <w:color w:val="000000"/>
                      <w:highlight w:val="none"/>
                    </w:rPr>
                    <w:t>期</w:t>
                  </w:r>
                </w:p>
              </w:tc>
              <w:tc>
                <w:tcPr>
                  <w:tcW w:w="536" w:type="pct"/>
                  <w:shd w:val="clear" w:color="auto" w:fill="auto"/>
                  <w:vAlign w:val="center"/>
                </w:tcPr>
                <w:p w14:paraId="077F5665">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甲醇</w:t>
                  </w:r>
                </w:p>
              </w:tc>
              <w:tc>
                <w:tcPr>
                  <w:tcW w:w="716" w:type="pct"/>
                  <w:shd w:val="clear" w:color="auto" w:fill="auto"/>
                  <w:vAlign w:val="center"/>
                </w:tcPr>
                <w:p w14:paraId="3B220927">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413" w:type="pct"/>
                  <w:shd w:val="clear" w:color="auto" w:fill="auto"/>
                  <w:vAlign w:val="center"/>
                </w:tcPr>
                <w:p w14:paraId="23C5FA4E">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500</w:t>
                  </w:r>
                </w:p>
              </w:tc>
              <w:tc>
                <w:tcPr>
                  <w:tcW w:w="413" w:type="pct"/>
                  <w:shd w:val="clear" w:color="auto" w:fill="auto"/>
                  <w:vAlign w:val="center"/>
                </w:tcPr>
                <w:p w14:paraId="2C64FCF4">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0.791</w:t>
                  </w:r>
                </w:p>
              </w:tc>
              <w:tc>
                <w:tcPr>
                  <w:tcW w:w="413" w:type="pct"/>
                  <w:shd w:val="clear" w:color="auto" w:fill="auto"/>
                  <w:vAlign w:val="center"/>
                </w:tcPr>
                <w:p w14:paraId="0F30A913">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0.8</w:t>
                  </w:r>
                </w:p>
              </w:tc>
              <w:tc>
                <w:tcPr>
                  <w:tcW w:w="1482" w:type="dxa"/>
                  <w:shd w:val="clear" w:color="auto" w:fill="auto"/>
                  <w:vAlign w:val="center"/>
                </w:tcPr>
                <w:p w14:paraId="733AA64A">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316.4</w:t>
                  </w:r>
                </w:p>
              </w:tc>
              <w:tc>
                <w:tcPr>
                  <w:tcW w:w="511" w:type="pct"/>
                  <w:shd w:val="clear" w:color="auto" w:fill="auto"/>
                  <w:vAlign w:val="center"/>
                </w:tcPr>
                <w:p w14:paraId="7D2053B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w:t>
                  </w:r>
                </w:p>
              </w:tc>
              <w:tc>
                <w:tcPr>
                  <w:tcW w:w="1035" w:type="dxa"/>
                  <w:shd w:val="clear" w:color="auto" w:fill="auto"/>
                  <w:vAlign w:val="center"/>
                </w:tcPr>
                <w:p w14:paraId="5C382AA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31.64</w:t>
                  </w:r>
                </w:p>
              </w:tc>
            </w:tr>
            <w:tr w14:paraId="115F7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303CA970">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223D03A2">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乙醇</w:t>
                  </w:r>
                </w:p>
              </w:tc>
              <w:tc>
                <w:tcPr>
                  <w:tcW w:w="716" w:type="pct"/>
                  <w:shd w:val="clear" w:color="auto" w:fill="auto"/>
                  <w:vAlign w:val="center"/>
                </w:tcPr>
                <w:p w14:paraId="19C11E71">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413" w:type="pct"/>
                  <w:shd w:val="clear" w:color="auto" w:fill="auto"/>
                  <w:vAlign w:val="center"/>
                </w:tcPr>
                <w:p w14:paraId="20B99E8F">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500</w:t>
                  </w:r>
                </w:p>
              </w:tc>
              <w:tc>
                <w:tcPr>
                  <w:tcW w:w="413" w:type="pct"/>
                  <w:shd w:val="clear" w:color="auto" w:fill="auto"/>
                  <w:vAlign w:val="center"/>
                </w:tcPr>
                <w:p w14:paraId="18ADA38D">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0.789</w:t>
                  </w:r>
                </w:p>
              </w:tc>
              <w:tc>
                <w:tcPr>
                  <w:tcW w:w="413" w:type="pct"/>
                  <w:shd w:val="clear" w:color="auto" w:fill="auto"/>
                  <w:vAlign w:val="center"/>
                </w:tcPr>
                <w:p w14:paraId="06850246">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val="en-US" w:eastAsia="zh-CN"/>
                    </w:rPr>
                    <w:t>0.8</w:t>
                  </w:r>
                </w:p>
              </w:tc>
              <w:tc>
                <w:tcPr>
                  <w:tcW w:w="1482" w:type="dxa"/>
                  <w:shd w:val="clear" w:color="auto" w:fill="auto"/>
                  <w:vAlign w:val="center"/>
                </w:tcPr>
                <w:p w14:paraId="4A55AEF3">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315.6</w:t>
                  </w:r>
                </w:p>
              </w:tc>
              <w:tc>
                <w:tcPr>
                  <w:tcW w:w="511" w:type="pct"/>
                  <w:shd w:val="clear" w:color="auto" w:fill="auto"/>
                  <w:vAlign w:val="center"/>
                </w:tcPr>
                <w:p w14:paraId="0C048EB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100</w:t>
                  </w:r>
                </w:p>
              </w:tc>
              <w:tc>
                <w:tcPr>
                  <w:tcW w:w="1035" w:type="dxa"/>
                  <w:shd w:val="clear" w:color="auto" w:fill="auto"/>
                  <w:vAlign w:val="center"/>
                </w:tcPr>
                <w:p w14:paraId="25E305B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3.156</w:t>
                  </w:r>
                </w:p>
              </w:tc>
            </w:tr>
            <w:tr w14:paraId="58017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16D26C66">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2195547B">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丙二醇</w:t>
                  </w:r>
                </w:p>
              </w:tc>
              <w:tc>
                <w:tcPr>
                  <w:tcW w:w="716" w:type="pct"/>
                  <w:shd w:val="clear" w:color="auto" w:fill="auto"/>
                  <w:vAlign w:val="center"/>
                </w:tcPr>
                <w:p w14:paraId="78D6BAD6">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413" w:type="pct"/>
                  <w:shd w:val="clear" w:color="auto" w:fill="auto"/>
                  <w:vAlign w:val="center"/>
                </w:tcPr>
                <w:p w14:paraId="60CAA0DF">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300</w:t>
                  </w:r>
                </w:p>
              </w:tc>
              <w:tc>
                <w:tcPr>
                  <w:tcW w:w="413" w:type="pct"/>
                  <w:shd w:val="clear" w:color="auto" w:fill="auto"/>
                  <w:vAlign w:val="center"/>
                </w:tcPr>
                <w:p w14:paraId="3BAA6FC7">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1.036</w:t>
                  </w:r>
                </w:p>
              </w:tc>
              <w:tc>
                <w:tcPr>
                  <w:tcW w:w="761" w:type="dxa"/>
                  <w:shd w:val="clear" w:color="auto" w:fill="auto"/>
                  <w:vAlign w:val="center"/>
                </w:tcPr>
                <w:p w14:paraId="64F11752">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val="en-US" w:eastAsia="zh-CN"/>
                    </w:rPr>
                    <w:t>0.8</w:t>
                  </w:r>
                </w:p>
              </w:tc>
              <w:tc>
                <w:tcPr>
                  <w:tcW w:w="1482" w:type="dxa"/>
                  <w:shd w:val="clear" w:color="auto" w:fill="auto"/>
                  <w:vAlign w:val="center"/>
                </w:tcPr>
                <w:p w14:paraId="0E228048">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248.64</w:t>
                  </w:r>
                </w:p>
              </w:tc>
              <w:tc>
                <w:tcPr>
                  <w:tcW w:w="511" w:type="pct"/>
                  <w:shd w:val="clear" w:color="auto" w:fill="auto"/>
                  <w:vAlign w:val="center"/>
                </w:tcPr>
                <w:p w14:paraId="588A720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100</w:t>
                  </w:r>
                </w:p>
              </w:tc>
              <w:tc>
                <w:tcPr>
                  <w:tcW w:w="1035" w:type="dxa"/>
                  <w:shd w:val="clear" w:color="auto" w:fill="auto"/>
                  <w:vAlign w:val="center"/>
                </w:tcPr>
                <w:p w14:paraId="5245BA1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2.4864</w:t>
                  </w:r>
                </w:p>
              </w:tc>
            </w:tr>
            <w:tr w14:paraId="3F8D9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4BD0A78B">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1EB86B9F">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丙三醇</w:t>
                  </w:r>
                </w:p>
              </w:tc>
              <w:tc>
                <w:tcPr>
                  <w:tcW w:w="716" w:type="pct"/>
                  <w:shd w:val="clear" w:color="auto" w:fill="auto"/>
                  <w:vAlign w:val="center"/>
                </w:tcPr>
                <w:p w14:paraId="24056A5C">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413" w:type="pct"/>
                  <w:shd w:val="clear" w:color="auto" w:fill="auto"/>
                  <w:vAlign w:val="center"/>
                </w:tcPr>
                <w:p w14:paraId="7ECE1CB7">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300</w:t>
                  </w:r>
                </w:p>
              </w:tc>
              <w:tc>
                <w:tcPr>
                  <w:tcW w:w="413" w:type="pct"/>
                  <w:shd w:val="clear" w:color="auto" w:fill="auto"/>
                  <w:vAlign w:val="center"/>
                </w:tcPr>
                <w:p w14:paraId="1D53024C">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1.261</w:t>
                  </w:r>
                </w:p>
              </w:tc>
              <w:tc>
                <w:tcPr>
                  <w:tcW w:w="761" w:type="dxa"/>
                  <w:shd w:val="clear" w:color="auto" w:fill="auto"/>
                  <w:vAlign w:val="center"/>
                </w:tcPr>
                <w:p w14:paraId="3DA364F3">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val="en-US" w:eastAsia="zh-CN"/>
                    </w:rPr>
                    <w:t>0.8</w:t>
                  </w:r>
                </w:p>
              </w:tc>
              <w:tc>
                <w:tcPr>
                  <w:tcW w:w="1482" w:type="dxa"/>
                  <w:shd w:val="clear" w:color="auto" w:fill="auto"/>
                  <w:vAlign w:val="center"/>
                </w:tcPr>
                <w:p w14:paraId="7721C6C9">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302.64</w:t>
                  </w:r>
                </w:p>
              </w:tc>
              <w:tc>
                <w:tcPr>
                  <w:tcW w:w="511" w:type="pct"/>
                  <w:shd w:val="clear" w:color="auto" w:fill="auto"/>
                  <w:vAlign w:val="center"/>
                </w:tcPr>
                <w:p w14:paraId="44309BC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100</w:t>
                  </w:r>
                </w:p>
              </w:tc>
              <w:tc>
                <w:tcPr>
                  <w:tcW w:w="1035" w:type="dxa"/>
                  <w:shd w:val="clear" w:color="auto" w:fill="auto"/>
                  <w:vAlign w:val="center"/>
                </w:tcPr>
                <w:p w14:paraId="17D41DF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3.0264</w:t>
                  </w:r>
                </w:p>
              </w:tc>
            </w:tr>
            <w:tr w14:paraId="79065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35DEC755">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3E91DCB3">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正丁醇</w:t>
                  </w:r>
                </w:p>
              </w:tc>
              <w:tc>
                <w:tcPr>
                  <w:tcW w:w="716" w:type="pct"/>
                  <w:shd w:val="clear" w:color="auto" w:fill="auto"/>
                  <w:vAlign w:val="center"/>
                </w:tcPr>
                <w:p w14:paraId="7CCC8A2D">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413" w:type="pct"/>
                  <w:shd w:val="clear" w:color="auto" w:fill="auto"/>
                  <w:vAlign w:val="center"/>
                </w:tcPr>
                <w:p w14:paraId="4DDDE7AB">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300</w:t>
                  </w:r>
                </w:p>
              </w:tc>
              <w:tc>
                <w:tcPr>
                  <w:tcW w:w="413" w:type="pct"/>
                  <w:shd w:val="clear" w:color="auto" w:fill="auto"/>
                  <w:vAlign w:val="center"/>
                </w:tcPr>
                <w:p w14:paraId="38422DC9">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0.81</w:t>
                  </w:r>
                </w:p>
              </w:tc>
              <w:tc>
                <w:tcPr>
                  <w:tcW w:w="761" w:type="dxa"/>
                  <w:shd w:val="clear" w:color="auto" w:fill="auto"/>
                  <w:vAlign w:val="center"/>
                </w:tcPr>
                <w:p w14:paraId="327EFBA9">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val="en-US" w:eastAsia="zh-CN"/>
                    </w:rPr>
                    <w:t>0.8</w:t>
                  </w:r>
                </w:p>
              </w:tc>
              <w:tc>
                <w:tcPr>
                  <w:tcW w:w="1482" w:type="dxa"/>
                  <w:shd w:val="clear" w:color="auto" w:fill="auto"/>
                  <w:vAlign w:val="center"/>
                </w:tcPr>
                <w:p w14:paraId="513AE6AC">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194.4</w:t>
                  </w:r>
                </w:p>
              </w:tc>
              <w:tc>
                <w:tcPr>
                  <w:tcW w:w="511" w:type="pct"/>
                  <w:shd w:val="clear" w:color="auto" w:fill="auto"/>
                  <w:vAlign w:val="center"/>
                </w:tcPr>
                <w:p w14:paraId="550D66C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100</w:t>
                  </w:r>
                </w:p>
              </w:tc>
              <w:tc>
                <w:tcPr>
                  <w:tcW w:w="1035" w:type="dxa"/>
                  <w:shd w:val="clear" w:color="auto" w:fill="auto"/>
                  <w:vAlign w:val="center"/>
                </w:tcPr>
                <w:p w14:paraId="7E2BFFE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1.944</w:t>
                  </w:r>
                </w:p>
              </w:tc>
            </w:tr>
            <w:tr w14:paraId="1EC2D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0439E95A">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3CB9C656">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异丁醇</w:t>
                  </w:r>
                </w:p>
              </w:tc>
              <w:tc>
                <w:tcPr>
                  <w:tcW w:w="716" w:type="pct"/>
                  <w:shd w:val="clear" w:color="auto" w:fill="auto"/>
                  <w:vAlign w:val="center"/>
                </w:tcPr>
                <w:p w14:paraId="3DFAA443">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413" w:type="pct"/>
                  <w:shd w:val="clear" w:color="auto" w:fill="auto"/>
                  <w:vAlign w:val="center"/>
                </w:tcPr>
                <w:p w14:paraId="537C8212">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300</w:t>
                  </w:r>
                </w:p>
              </w:tc>
              <w:tc>
                <w:tcPr>
                  <w:tcW w:w="413" w:type="pct"/>
                  <w:shd w:val="clear" w:color="auto" w:fill="auto"/>
                  <w:vAlign w:val="center"/>
                </w:tcPr>
                <w:p w14:paraId="5FF918F1">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0.802</w:t>
                  </w:r>
                </w:p>
              </w:tc>
              <w:tc>
                <w:tcPr>
                  <w:tcW w:w="761" w:type="dxa"/>
                  <w:shd w:val="clear" w:color="auto" w:fill="auto"/>
                  <w:vAlign w:val="center"/>
                </w:tcPr>
                <w:p w14:paraId="1482C1D5">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val="en-US" w:eastAsia="zh-CN"/>
                    </w:rPr>
                    <w:t>0.8</w:t>
                  </w:r>
                </w:p>
              </w:tc>
              <w:tc>
                <w:tcPr>
                  <w:tcW w:w="1482" w:type="dxa"/>
                  <w:shd w:val="clear" w:color="auto" w:fill="auto"/>
                  <w:vAlign w:val="center"/>
                </w:tcPr>
                <w:p w14:paraId="1289F4E6">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192.48</w:t>
                  </w:r>
                </w:p>
              </w:tc>
              <w:tc>
                <w:tcPr>
                  <w:tcW w:w="511" w:type="pct"/>
                  <w:shd w:val="clear" w:color="auto" w:fill="auto"/>
                  <w:vAlign w:val="center"/>
                </w:tcPr>
                <w:p w14:paraId="6A96BD4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100</w:t>
                  </w:r>
                </w:p>
              </w:tc>
              <w:tc>
                <w:tcPr>
                  <w:tcW w:w="1035" w:type="dxa"/>
                  <w:shd w:val="clear" w:color="auto" w:fill="auto"/>
                  <w:vAlign w:val="center"/>
                </w:tcPr>
                <w:p w14:paraId="33E9788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1.9248</w:t>
                  </w:r>
                </w:p>
              </w:tc>
            </w:tr>
            <w:tr w14:paraId="38009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34FBFAF6">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41D77F3E">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丁二醇</w:t>
                  </w:r>
                </w:p>
              </w:tc>
              <w:tc>
                <w:tcPr>
                  <w:tcW w:w="716" w:type="pct"/>
                  <w:shd w:val="clear" w:color="auto" w:fill="auto"/>
                  <w:vAlign w:val="center"/>
                </w:tcPr>
                <w:p w14:paraId="03393921">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413" w:type="pct"/>
                  <w:shd w:val="clear" w:color="auto" w:fill="auto"/>
                  <w:vAlign w:val="center"/>
                </w:tcPr>
                <w:p w14:paraId="45516507">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500</w:t>
                  </w:r>
                </w:p>
              </w:tc>
              <w:tc>
                <w:tcPr>
                  <w:tcW w:w="413" w:type="pct"/>
                  <w:shd w:val="clear" w:color="auto" w:fill="auto"/>
                  <w:vAlign w:val="center"/>
                </w:tcPr>
                <w:p w14:paraId="5C433E13">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1.017</w:t>
                  </w:r>
                </w:p>
              </w:tc>
              <w:tc>
                <w:tcPr>
                  <w:tcW w:w="761" w:type="dxa"/>
                  <w:shd w:val="clear" w:color="auto" w:fill="auto"/>
                  <w:vAlign w:val="center"/>
                </w:tcPr>
                <w:p w14:paraId="5B69B344">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val="en-US" w:eastAsia="zh-CN"/>
                    </w:rPr>
                    <w:t>0.8</w:t>
                  </w:r>
                </w:p>
              </w:tc>
              <w:tc>
                <w:tcPr>
                  <w:tcW w:w="1482" w:type="dxa"/>
                  <w:shd w:val="clear" w:color="auto" w:fill="auto"/>
                  <w:vAlign w:val="center"/>
                </w:tcPr>
                <w:p w14:paraId="3E965892">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406.8</w:t>
                  </w:r>
                </w:p>
              </w:tc>
              <w:tc>
                <w:tcPr>
                  <w:tcW w:w="511" w:type="pct"/>
                  <w:shd w:val="clear" w:color="auto" w:fill="auto"/>
                  <w:vAlign w:val="center"/>
                </w:tcPr>
                <w:p w14:paraId="5E9DA6A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100</w:t>
                  </w:r>
                </w:p>
              </w:tc>
              <w:tc>
                <w:tcPr>
                  <w:tcW w:w="1035" w:type="dxa"/>
                  <w:shd w:val="clear" w:color="auto" w:fill="auto"/>
                  <w:vAlign w:val="center"/>
                </w:tcPr>
                <w:p w14:paraId="610FD8E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4.068</w:t>
                  </w:r>
                </w:p>
              </w:tc>
            </w:tr>
            <w:tr w14:paraId="1A37F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0A8CA651">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50D5213B">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正己烷</w:t>
                  </w:r>
                </w:p>
              </w:tc>
              <w:tc>
                <w:tcPr>
                  <w:tcW w:w="716" w:type="pct"/>
                  <w:shd w:val="clear" w:color="auto" w:fill="auto"/>
                  <w:vAlign w:val="center"/>
                </w:tcPr>
                <w:p w14:paraId="1B68A9EE">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413" w:type="pct"/>
                  <w:shd w:val="clear" w:color="auto" w:fill="auto"/>
                  <w:vAlign w:val="center"/>
                </w:tcPr>
                <w:p w14:paraId="194BCC9B">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300</w:t>
                  </w:r>
                </w:p>
              </w:tc>
              <w:tc>
                <w:tcPr>
                  <w:tcW w:w="413" w:type="pct"/>
                  <w:shd w:val="clear" w:color="auto" w:fill="auto"/>
                  <w:vAlign w:val="center"/>
                </w:tcPr>
                <w:p w14:paraId="48F0D7B5">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0.659</w:t>
                  </w:r>
                </w:p>
              </w:tc>
              <w:tc>
                <w:tcPr>
                  <w:tcW w:w="761" w:type="dxa"/>
                  <w:shd w:val="clear" w:color="auto" w:fill="auto"/>
                  <w:vAlign w:val="center"/>
                </w:tcPr>
                <w:p w14:paraId="0C5A8962">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val="en-US" w:eastAsia="zh-CN"/>
                    </w:rPr>
                    <w:t>0.8</w:t>
                  </w:r>
                </w:p>
              </w:tc>
              <w:tc>
                <w:tcPr>
                  <w:tcW w:w="1482" w:type="dxa"/>
                  <w:shd w:val="clear" w:color="auto" w:fill="auto"/>
                  <w:vAlign w:val="center"/>
                </w:tcPr>
                <w:p w14:paraId="4EB51487">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158.16</w:t>
                  </w:r>
                </w:p>
              </w:tc>
              <w:tc>
                <w:tcPr>
                  <w:tcW w:w="511" w:type="pct"/>
                  <w:shd w:val="clear" w:color="auto" w:fill="auto"/>
                  <w:vAlign w:val="center"/>
                </w:tcPr>
                <w:p w14:paraId="0BF5122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w:t>
                  </w:r>
                </w:p>
              </w:tc>
              <w:tc>
                <w:tcPr>
                  <w:tcW w:w="1035" w:type="dxa"/>
                  <w:shd w:val="clear" w:color="auto" w:fill="auto"/>
                  <w:vAlign w:val="center"/>
                </w:tcPr>
                <w:p w14:paraId="53C7273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15.816</w:t>
                  </w:r>
                </w:p>
              </w:tc>
            </w:tr>
            <w:tr w14:paraId="3CC0C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6FA98B3C">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564F641F">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甲酸</w:t>
                  </w:r>
                </w:p>
              </w:tc>
              <w:tc>
                <w:tcPr>
                  <w:tcW w:w="716" w:type="pct"/>
                  <w:shd w:val="clear" w:color="auto" w:fill="auto"/>
                  <w:vAlign w:val="center"/>
                </w:tcPr>
                <w:p w14:paraId="3EC0E5AF">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灌装车间</w:t>
                  </w:r>
                </w:p>
              </w:tc>
              <w:tc>
                <w:tcPr>
                  <w:tcW w:w="413" w:type="pct"/>
                  <w:shd w:val="clear" w:color="auto" w:fill="auto"/>
                  <w:vAlign w:val="center"/>
                </w:tcPr>
                <w:p w14:paraId="09383E0C">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c>
                <w:tcPr>
                  <w:tcW w:w="413" w:type="pct"/>
                  <w:shd w:val="clear" w:color="auto" w:fill="auto"/>
                  <w:vAlign w:val="center"/>
                </w:tcPr>
                <w:p w14:paraId="0314FDE0">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c>
                <w:tcPr>
                  <w:tcW w:w="761" w:type="dxa"/>
                  <w:shd w:val="clear" w:color="auto" w:fill="auto"/>
                  <w:vAlign w:val="center"/>
                </w:tcPr>
                <w:p w14:paraId="71AEEEED">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c>
                <w:tcPr>
                  <w:tcW w:w="1482" w:type="dxa"/>
                  <w:shd w:val="clear" w:color="auto" w:fill="auto"/>
                  <w:vAlign w:val="center"/>
                </w:tcPr>
                <w:p w14:paraId="3042E8F2">
                  <w:pPr>
                    <w:pStyle w:val="98"/>
                    <w:rPr>
                      <w:rFonts w:hint="default" w:ascii="Times New Roman" w:hAnsi="Times New Roman" w:eastAsia="宋体" w:cs="Times New Roman"/>
                      <w:color w:val="000000"/>
                      <w:highlight w:val="none"/>
                      <w:lang w:val="en-US"/>
                    </w:rPr>
                  </w:pPr>
                  <w:r>
                    <w:rPr>
                      <w:rFonts w:hint="eastAsia" w:ascii="Times New Roman" w:hAnsi="Times New Roman" w:eastAsia="宋体" w:cs="Times New Roman"/>
                      <w:color w:val="000000"/>
                      <w:highlight w:val="none"/>
                      <w:lang w:val="en-US" w:eastAsia="zh-CN"/>
                    </w:rPr>
                    <w:t>80</w:t>
                  </w:r>
                </w:p>
              </w:tc>
              <w:tc>
                <w:tcPr>
                  <w:tcW w:w="511" w:type="pct"/>
                  <w:shd w:val="clear" w:color="auto" w:fill="auto"/>
                  <w:vAlign w:val="center"/>
                </w:tcPr>
                <w:p w14:paraId="4DB1132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w:t>
                  </w:r>
                </w:p>
              </w:tc>
              <w:tc>
                <w:tcPr>
                  <w:tcW w:w="1035" w:type="dxa"/>
                  <w:shd w:val="clear" w:color="auto" w:fill="auto"/>
                  <w:vAlign w:val="center"/>
                </w:tcPr>
                <w:p w14:paraId="1D395D6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8</w:t>
                  </w:r>
                </w:p>
              </w:tc>
            </w:tr>
            <w:tr w14:paraId="5CD1D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49A34CDF">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18C8EC18">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乙酸</w:t>
                  </w:r>
                </w:p>
              </w:tc>
              <w:tc>
                <w:tcPr>
                  <w:tcW w:w="716" w:type="pct"/>
                  <w:shd w:val="clear" w:color="auto" w:fill="auto"/>
                  <w:vAlign w:val="center"/>
                </w:tcPr>
                <w:p w14:paraId="6F160977">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罐区</w:t>
                  </w:r>
                </w:p>
              </w:tc>
              <w:tc>
                <w:tcPr>
                  <w:tcW w:w="413" w:type="pct"/>
                  <w:shd w:val="clear" w:color="auto" w:fill="auto"/>
                  <w:vAlign w:val="center"/>
                </w:tcPr>
                <w:p w14:paraId="3B7615A3">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500</w:t>
                  </w:r>
                </w:p>
              </w:tc>
              <w:tc>
                <w:tcPr>
                  <w:tcW w:w="413" w:type="pct"/>
                  <w:shd w:val="clear" w:color="auto" w:fill="auto"/>
                  <w:vAlign w:val="center"/>
                </w:tcPr>
                <w:p w14:paraId="63C2D1E5">
                  <w:pPr>
                    <w:pStyle w:val="98"/>
                    <w:rPr>
                      <w:rFonts w:hint="default"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1.049</w:t>
                  </w:r>
                </w:p>
              </w:tc>
              <w:tc>
                <w:tcPr>
                  <w:tcW w:w="761" w:type="dxa"/>
                  <w:shd w:val="clear" w:color="auto" w:fill="auto"/>
                  <w:vAlign w:val="center"/>
                </w:tcPr>
                <w:p w14:paraId="5A07FD4C">
                  <w:pPr>
                    <w:pStyle w:val="98"/>
                    <w:rPr>
                      <w:rFonts w:hint="default" w:ascii="Times New Roman" w:hAnsi="Times New Roman" w:eastAsia="宋体" w:cs="Times New Roman"/>
                      <w:color w:val="000000"/>
                      <w:highlight w:val="none"/>
                    </w:rPr>
                  </w:pPr>
                  <w:r>
                    <w:rPr>
                      <w:rFonts w:hint="eastAsia" w:eastAsia="宋体" w:cs="Times New Roman"/>
                      <w:color w:val="000000"/>
                      <w:highlight w:val="none"/>
                      <w:lang w:val="en-US" w:eastAsia="zh-CN"/>
                    </w:rPr>
                    <w:t>0.8</w:t>
                  </w:r>
                </w:p>
              </w:tc>
              <w:tc>
                <w:tcPr>
                  <w:tcW w:w="1482" w:type="dxa"/>
                  <w:shd w:val="clear" w:color="auto" w:fill="auto"/>
                  <w:vAlign w:val="center"/>
                </w:tcPr>
                <w:p w14:paraId="3232FE33">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419.6</w:t>
                  </w:r>
                </w:p>
              </w:tc>
              <w:tc>
                <w:tcPr>
                  <w:tcW w:w="511" w:type="pct"/>
                  <w:shd w:val="clear" w:color="auto" w:fill="auto"/>
                  <w:vAlign w:val="center"/>
                </w:tcPr>
                <w:p w14:paraId="3C28EE5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w:t>
                  </w:r>
                </w:p>
              </w:tc>
              <w:tc>
                <w:tcPr>
                  <w:tcW w:w="1035" w:type="dxa"/>
                  <w:shd w:val="clear" w:color="auto" w:fill="auto"/>
                  <w:vAlign w:val="center"/>
                </w:tcPr>
                <w:p w14:paraId="094CA7E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41.96</w:t>
                  </w:r>
                </w:p>
              </w:tc>
            </w:tr>
            <w:tr w14:paraId="43B9E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29" w:type="pct"/>
                  <w:vMerge w:val="continue"/>
                  <w:vAlign w:val="center"/>
                </w:tcPr>
                <w:p w14:paraId="78D904E7">
                  <w:pPr>
                    <w:pStyle w:val="98"/>
                    <w:rPr>
                      <w:rFonts w:hint="default" w:ascii="Times New Roman" w:hAnsi="Times New Roman" w:eastAsia="宋体" w:cs="Times New Roman"/>
                      <w:color w:val="000000"/>
                      <w:highlight w:val="none"/>
                    </w:rPr>
                  </w:pPr>
                </w:p>
              </w:tc>
              <w:tc>
                <w:tcPr>
                  <w:tcW w:w="536" w:type="pct"/>
                  <w:shd w:val="clear" w:color="auto" w:fill="auto"/>
                  <w:vAlign w:val="center"/>
                </w:tcPr>
                <w:p w14:paraId="389E0F20">
                  <w:pPr>
                    <w:autoSpaceDE w:val="0"/>
                    <w:autoSpaceDN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丙酸</w:t>
                  </w:r>
                </w:p>
              </w:tc>
              <w:tc>
                <w:tcPr>
                  <w:tcW w:w="716" w:type="pct"/>
                  <w:shd w:val="clear" w:color="auto" w:fill="auto"/>
                  <w:vAlign w:val="center"/>
                </w:tcPr>
                <w:p w14:paraId="22B7062F">
                  <w:pPr>
                    <w:autoSpaceDE w:val="0"/>
                    <w:autoSpaceDN w:val="0"/>
                    <w:jc w:val="center"/>
                    <w:rPr>
                      <w:rFonts w:hint="default" w:ascii="Times New Roman" w:hAnsi="Times New Roman" w:eastAsia="宋体" w:cs="Times New Roman"/>
                      <w:kern w:val="2"/>
                      <w:sz w:val="21"/>
                      <w:szCs w:val="21"/>
                      <w:highlight w:val="none"/>
                      <w:lang w:val="en-US" w:eastAsia="en-US" w:bidi="ar-SA"/>
                    </w:rPr>
                  </w:pPr>
                  <w:r>
                    <w:rPr>
                      <w:rFonts w:hint="default" w:ascii="Times New Roman" w:hAnsi="Times New Roman" w:cs="Times New Roman"/>
                      <w:szCs w:val="21"/>
                      <w:highlight w:val="none"/>
                      <w:lang w:eastAsia="en-US"/>
                    </w:rPr>
                    <w:t>灌装车间</w:t>
                  </w:r>
                </w:p>
              </w:tc>
              <w:tc>
                <w:tcPr>
                  <w:tcW w:w="413" w:type="pct"/>
                  <w:shd w:val="clear" w:color="auto" w:fill="auto"/>
                  <w:vAlign w:val="center"/>
                </w:tcPr>
                <w:p w14:paraId="6274FE75">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c>
                <w:tcPr>
                  <w:tcW w:w="413" w:type="pct"/>
                  <w:shd w:val="clear" w:color="auto" w:fill="auto"/>
                  <w:vAlign w:val="center"/>
                </w:tcPr>
                <w:p w14:paraId="7AD66220">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c>
                <w:tcPr>
                  <w:tcW w:w="761" w:type="dxa"/>
                  <w:shd w:val="clear" w:color="auto" w:fill="auto"/>
                  <w:vAlign w:val="center"/>
                </w:tcPr>
                <w:p w14:paraId="7CDF78CB">
                  <w:pPr>
                    <w:pStyle w:val="98"/>
                    <w:rPr>
                      <w:rFonts w:hint="eastAsia" w:ascii="Times New Roman" w:hAnsi="Times New Roman" w:eastAsia="宋体" w:cs="Times New Roman"/>
                      <w:color w:val="000000"/>
                      <w:highlight w:val="none"/>
                      <w:lang w:val="en-US" w:eastAsia="zh-CN"/>
                    </w:rPr>
                  </w:pPr>
                  <w:r>
                    <w:rPr>
                      <w:rFonts w:hint="eastAsia" w:eastAsia="宋体" w:cs="Times New Roman"/>
                      <w:color w:val="000000"/>
                      <w:highlight w:val="none"/>
                      <w:lang w:val="en-US" w:eastAsia="zh-CN"/>
                    </w:rPr>
                    <w:t>/</w:t>
                  </w:r>
                </w:p>
              </w:tc>
              <w:tc>
                <w:tcPr>
                  <w:tcW w:w="804" w:type="pct"/>
                  <w:shd w:val="clear" w:color="auto" w:fill="auto"/>
                  <w:vAlign w:val="center"/>
                </w:tcPr>
                <w:p w14:paraId="663E688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80</w:t>
                  </w:r>
                </w:p>
              </w:tc>
              <w:tc>
                <w:tcPr>
                  <w:tcW w:w="511" w:type="pct"/>
                  <w:shd w:val="clear" w:color="auto" w:fill="auto"/>
                  <w:vAlign w:val="center"/>
                </w:tcPr>
                <w:p w14:paraId="3D52AFF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100</w:t>
                  </w:r>
                </w:p>
              </w:tc>
              <w:tc>
                <w:tcPr>
                  <w:tcW w:w="1035" w:type="dxa"/>
                  <w:shd w:val="clear" w:color="auto" w:fill="auto"/>
                  <w:vAlign w:val="center"/>
                </w:tcPr>
                <w:p w14:paraId="28363C7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lang w:val="en-US" w:eastAsia="zh-CN"/>
                    </w:rPr>
                    <w:t>0.8</w:t>
                  </w:r>
                </w:p>
              </w:tc>
            </w:tr>
            <w:tr w14:paraId="73111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438" w:type="pct"/>
                  <w:gridSpan w:val="8"/>
                  <w:vAlign w:val="center"/>
                </w:tcPr>
                <w:p w14:paraId="4D3F3A0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合计</w:t>
                  </w:r>
                </w:p>
              </w:tc>
              <w:tc>
                <w:tcPr>
                  <w:tcW w:w="1035" w:type="dxa"/>
                  <w:vAlign w:val="center"/>
                </w:tcPr>
                <w:p w14:paraId="0DA0F62F">
                  <w:pPr>
                    <w:pStyle w:val="98"/>
                    <w:rPr>
                      <w:rFonts w:hint="default" w:ascii="Times New Roman" w:hAnsi="Times New Roman" w:eastAsia="宋体" w:cs="Times New Roman"/>
                      <w:color w:val="000000"/>
                      <w:highlight w:val="none"/>
                    </w:rPr>
                  </w:pPr>
                  <w:r>
                    <w:rPr>
                      <w:rFonts w:hint="eastAsia" w:ascii="Times New Roman" w:hAnsi="Times New Roman" w:eastAsia="宋体" w:cs="Times New Roman"/>
                      <w:color w:val="000000"/>
                      <w:highlight w:val="none"/>
                      <w:lang w:val="en-US" w:eastAsia="zh-CN"/>
                    </w:rPr>
                    <w:t>114.8216</w:t>
                  </w:r>
                </w:p>
              </w:tc>
            </w:tr>
            <w:tr w14:paraId="0FEA0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000" w:type="pct"/>
                  <w:gridSpan w:val="9"/>
                  <w:vAlign w:val="center"/>
                </w:tcPr>
                <w:p w14:paraId="71A9889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乙醇、丙二醇、丙三醇、正丁醇、异丁醇、丁二醇、丙酸按《建设项目环境风险评价技术导则》（HJ 169—2018）表B.2中危害水环境物质推荐临界量100t计算。</w:t>
                  </w:r>
                </w:p>
              </w:tc>
            </w:tr>
          </w:tbl>
          <w:p w14:paraId="20AF5318">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从上表可以看出，本项目危险物质数量与临界量比值Qmax为</w:t>
            </w:r>
            <w:r>
              <w:rPr>
                <w:rFonts w:hint="eastAsia" w:cs="Times New Roman"/>
                <w:sz w:val="24"/>
                <w:highlight w:val="none"/>
                <w:lang w:val="en-US" w:eastAsia="zh-CN"/>
              </w:rPr>
              <w:t>114.8216</w:t>
            </w:r>
            <w:r>
              <w:rPr>
                <w:rFonts w:hint="default" w:ascii="Times New Roman" w:hAnsi="Times New Roman" w:cs="Times New Roman"/>
                <w:sz w:val="24"/>
                <w:highlight w:val="none"/>
              </w:rPr>
              <w:t>＞1。需编制风险专项，</w:t>
            </w:r>
            <w:r>
              <w:rPr>
                <w:rFonts w:hint="default" w:ascii="Times New Roman" w:hAnsi="Times New Roman" w:cs="Times New Roman"/>
                <w:snapToGrid w:val="0"/>
                <w:spacing w:val="-2"/>
                <w:kern w:val="0"/>
                <w:sz w:val="24"/>
                <w:highlight w:val="none"/>
              </w:rPr>
              <w:t>环境风险评价内容见环境风险专项评价</w:t>
            </w:r>
            <w:r>
              <w:rPr>
                <w:rFonts w:hint="default" w:ascii="Times New Roman" w:hAnsi="Times New Roman" w:cs="Times New Roman"/>
                <w:sz w:val="24"/>
                <w:highlight w:val="none"/>
              </w:rPr>
              <w:t>。</w:t>
            </w:r>
          </w:p>
          <w:p w14:paraId="011389E7">
            <w:pPr>
              <w:pStyle w:val="230"/>
              <w:rPr>
                <w:rFonts w:hint="default" w:ascii="Times New Roman" w:hAnsi="Times New Roman" w:cs="Times New Roman"/>
                <w:b/>
                <w:bCs/>
                <w:highlight w:val="none"/>
                <w:lang w:eastAsia="zh-CN"/>
              </w:rPr>
            </w:pPr>
            <w:r>
              <w:rPr>
                <w:rFonts w:hint="default" w:ascii="Times New Roman" w:hAnsi="Times New Roman" w:cs="Times New Roman"/>
                <w:b/>
                <w:bCs/>
                <w:highlight w:val="none"/>
                <w:lang w:eastAsia="zh-CN"/>
              </w:rPr>
              <w:t>九、环境管理与监测计划</w:t>
            </w:r>
          </w:p>
          <w:p w14:paraId="659E0FA6">
            <w:pPr>
              <w:spacing w:line="360" w:lineRule="auto"/>
              <w:ind w:firstLine="480" w:firstLineChars="200"/>
              <w:rPr>
                <w:rFonts w:hint="default" w:ascii="Times New Roman" w:hAnsi="Times New Roman" w:cs="Times New Roman"/>
                <w:sz w:val="24"/>
                <w:highlight w:val="none"/>
              </w:rPr>
            </w:pPr>
            <w:bookmarkStart w:id="3" w:name="_Toc484695471"/>
            <w:bookmarkStart w:id="4" w:name="_Toc444089942"/>
            <w:r>
              <w:rPr>
                <w:rFonts w:hint="default" w:ascii="Times New Roman" w:hAnsi="Times New Roman" w:cs="Times New Roman"/>
                <w:sz w:val="24"/>
                <w:highlight w:val="none"/>
              </w:rPr>
              <w:t>（1）环境管理</w:t>
            </w:r>
            <w:bookmarkEnd w:id="3"/>
            <w:bookmarkEnd w:id="4"/>
          </w:p>
          <w:p w14:paraId="7BCB3E00">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1）环境保护机构的设置</w:t>
            </w:r>
          </w:p>
          <w:p w14:paraId="3F16847B">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项目在建设及运行过程中必须加强环境管理和监测计划，使各种污染物的排放达到国家有关排放标准要求，不断提高企业的管理水平，使企业得以最优化发展。根据《排污单位自行监测技术指南 总则》（HJ819-2017），企业应进行自行监测或委托其它有资质的检（监）测机构代其开展监测。</w:t>
            </w:r>
          </w:p>
          <w:p w14:paraId="5DE52D89">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2）环境管理要点</w:t>
            </w:r>
          </w:p>
          <w:p w14:paraId="3C10CC38">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①“三同时”验收</w:t>
            </w:r>
          </w:p>
          <w:p w14:paraId="6B7745F3">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根据《建设项目环境保护管理条例》及其修改决定（国务院令第682号），建设项目竣工后，建设单位应进行竣工验收，验收通过后项目方可正式投产运行。</w:t>
            </w:r>
          </w:p>
          <w:p w14:paraId="59C371AA">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②制定环境管理文件及实施细则</w:t>
            </w:r>
          </w:p>
          <w:p w14:paraId="39EC604C">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根据国家、地方政府对企业环境管理的基本要求，结合项目的具体情况，制定环境管理文件和实施细则。</w:t>
            </w:r>
          </w:p>
          <w:p w14:paraId="3C371FC6">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③信息公开</w:t>
            </w:r>
          </w:p>
          <w:p w14:paraId="29CAB271">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根据《建设项目环境保护事中事后监督管理办法（试行）》要求，建设单位应当主动向社会公开建设项目环境影响评价文件、污染防治设施建设运行情况、污染物排放情况、突发环境事件应对情况等环境信息。</w:t>
            </w:r>
          </w:p>
          <w:p w14:paraId="602C65C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（2）环境监测</w:t>
            </w:r>
          </w:p>
          <w:p w14:paraId="22495D22">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1）监测仪器的配备</w:t>
            </w:r>
          </w:p>
          <w:p w14:paraId="7386B305">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建议建设单位依托社会监测机构。</w:t>
            </w:r>
          </w:p>
          <w:p w14:paraId="118EC693">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2）监测计划</w:t>
            </w:r>
          </w:p>
          <w:p w14:paraId="2D649D57">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根据项目特点拟定的监测计划见下表。</w:t>
            </w:r>
          </w:p>
          <w:p w14:paraId="07F4E554">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表4-17  项目污染源监测计划表</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1466"/>
              <w:gridCol w:w="2193"/>
              <w:gridCol w:w="1822"/>
              <w:gridCol w:w="2996"/>
            </w:tblGrid>
            <w:tr w14:paraId="75617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Align w:val="center"/>
                </w:tcPr>
                <w:p w14:paraId="590E8F5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项目</w:t>
                  </w:r>
                </w:p>
              </w:tc>
              <w:tc>
                <w:tcPr>
                  <w:tcW w:w="796" w:type="pct"/>
                  <w:vAlign w:val="center"/>
                </w:tcPr>
                <w:p w14:paraId="1E9F10C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监测点位</w:t>
                  </w:r>
                </w:p>
              </w:tc>
              <w:tc>
                <w:tcPr>
                  <w:tcW w:w="1191" w:type="pct"/>
                  <w:vAlign w:val="center"/>
                </w:tcPr>
                <w:p w14:paraId="5753269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监测项目</w:t>
                  </w:r>
                </w:p>
              </w:tc>
              <w:tc>
                <w:tcPr>
                  <w:tcW w:w="990" w:type="pct"/>
                  <w:vAlign w:val="center"/>
                </w:tcPr>
                <w:p w14:paraId="2BFB49B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监测频率</w:t>
                  </w:r>
                </w:p>
              </w:tc>
              <w:tc>
                <w:tcPr>
                  <w:tcW w:w="1627" w:type="pct"/>
                  <w:vAlign w:val="center"/>
                </w:tcPr>
                <w:p w14:paraId="6247BE6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监测方式</w:t>
                  </w:r>
                </w:p>
              </w:tc>
            </w:tr>
            <w:tr w14:paraId="74AAD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restart"/>
                  <w:vAlign w:val="center"/>
                </w:tcPr>
                <w:p w14:paraId="362D951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废气</w:t>
                  </w:r>
                </w:p>
              </w:tc>
              <w:tc>
                <w:tcPr>
                  <w:tcW w:w="796" w:type="pct"/>
                  <w:shd w:val="clear" w:color="auto" w:fill="auto"/>
                  <w:vAlign w:val="center"/>
                </w:tcPr>
                <w:p w14:paraId="0DBC616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P1</w:t>
                  </w:r>
                </w:p>
              </w:tc>
              <w:tc>
                <w:tcPr>
                  <w:tcW w:w="1191" w:type="pct"/>
                  <w:shd w:val="clear" w:color="auto" w:fill="auto"/>
                  <w:vAlign w:val="center"/>
                </w:tcPr>
                <w:p w14:paraId="0EF1770D">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VOCs、甲醇、正己烷</w:t>
                  </w:r>
                </w:p>
              </w:tc>
              <w:tc>
                <w:tcPr>
                  <w:tcW w:w="990" w:type="pct"/>
                  <w:shd w:val="clear" w:color="auto" w:fill="auto"/>
                  <w:vAlign w:val="center"/>
                </w:tcPr>
                <w:p w14:paraId="6070DDE6">
                  <w:pPr>
                    <w:pStyle w:val="255"/>
                    <w:ind w:firstLine="0"/>
                    <w:rPr>
                      <w:rFonts w:hint="default" w:ascii="Times New Roman" w:hAnsi="Times New Roman" w:cs="Times New Roman"/>
                      <w:color w:val="000000"/>
                      <w:highlight w:val="none"/>
                    </w:rPr>
                  </w:pPr>
                  <w:r>
                    <w:rPr>
                      <w:rFonts w:hint="default" w:ascii="Times New Roman" w:hAnsi="Times New Roman" w:cs="Times New Roman"/>
                      <w:color w:val="000000"/>
                      <w:highlight w:val="none"/>
                    </w:rPr>
                    <w:t>每半年一次</w:t>
                  </w:r>
                </w:p>
              </w:tc>
              <w:tc>
                <w:tcPr>
                  <w:tcW w:w="1627" w:type="pct"/>
                  <w:vAlign w:val="center"/>
                </w:tcPr>
                <w:p w14:paraId="64FDB8E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委托监测</w:t>
                  </w:r>
                </w:p>
              </w:tc>
            </w:tr>
            <w:tr w14:paraId="1ACEE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Merge w:val="continue"/>
                  <w:vAlign w:val="center"/>
                </w:tcPr>
                <w:p w14:paraId="583CB0AC">
                  <w:pPr>
                    <w:pStyle w:val="98"/>
                    <w:rPr>
                      <w:rFonts w:hint="default" w:ascii="Times New Roman" w:hAnsi="Times New Roman" w:eastAsia="宋体" w:cs="Times New Roman"/>
                      <w:color w:val="000000"/>
                      <w:highlight w:val="none"/>
                    </w:rPr>
                  </w:pPr>
                </w:p>
              </w:tc>
              <w:tc>
                <w:tcPr>
                  <w:tcW w:w="796" w:type="pct"/>
                  <w:shd w:val="clear" w:color="auto" w:fill="auto"/>
                  <w:vAlign w:val="center"/>
                </w:tcPr>
                <w:p w14:paraId="2B52AA1A">
                  <w:pPr>
                    <w:pStyle w:val="255"/>
                    <w:ind w:firstLine="0"/>
                    <w:rPr>
                      <w:rFonts w:hint="default" w:ascii="Times New Roman" w:hAnsi="Times New Roman" w:cs="Times New Roman"/>
                      <w:color w:val="000000"/>
                      <w:kern w:val="0"/>
                      <w:highlight w:val="none"/>
                    </w:rPr>
                  </w:pPr>
                  <w:r>
                    <w:rPr>
                      <w:rFonts w:hint="default" w:ascii="Times New Roman" w:hAnsi="Times New Roman" w:cs="Times New Roman"/>
                      <w:color w:val="000000"/>
                      <w:highlight w:val="none"/>
                    </w:rPr>
                    <w:t>厂界无组织</w:t>
                  </w:r>
                </w:p>
              </w:tc>
              <w:tc>
                <w:tcPr>
                  <w:tcW w:w="1191" w:type="pct"/>
                  <w:shd w:val="clear" w:color="auto" w:fill="auto"/>
                  <w:vAlign w:val="center"/>
                </w:tcPr>
                <w:p w14:paraId="1D546557">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VOCs、甲醇</w:t>
                  </w:r>
                </w:p>
              </w:tc>
              <w:tc>
                <w:tcPr>
                  <w:tcW w:w="990" w:type="pct"/>
                  <w:shd w:val="clear" w:color="auto" w:fill="auto"/>
                  <w:vAlign w:val="center"/>
                </w:tcPr>
                <w:p w14:paraId="49C06F6E">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每半年一次</w:t>
                  </w:r>
                </w:p>
              </w:tc>
              <w:tc>
                <w:tcPr>
                  <w:tcW w:w="1627" w:type="pct"/>
                  <w:vAlign w:val="center"/>
                </w:tcPr>
                <w:p w14:paraId="767FAAF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委托监测</w:t>
                  </w:r>
                </w:p>
              </w:tc>
            </w:tr>
            <w:tr w14:paraId="6A738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shd w:val="clear" w:color="auto" w:fill="auto"/>
                  <w:vAlign w:val="center"/>
                </w:tcPr>
                <w:p w14:paraId="0F9C6DB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w:t>
                  </w:r>
                </w:p>
              </w:tc>
              <w:tc>
                <w:tcPr>
                  <w:tcW w:w="796" w:type="pct"/>
                  <w:shd w:val="clear" w:color="auto" w:fill="auto"/>
                  <w:vAlign w:val="center"/>
                </w:tcPr>
                <w:p w14:paraId="7F2AA55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厂界外1m处</w:t>
                  </w:r>
                </w:p>
              </w:tc>
              <w:tc>
                <w:tcPr>
                  <w:tcW w:w="1191" w:type="pct"/>
                  <w:shd w:val="clear" w:color="auto" w:fill="auto"/>
                  <w:vAlign w:val="center"/>
                </w:tcPr>
                <w:p w14:paraId="221668A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等效连续A声级</w:t>
                  </w:r>
                </w:p>
              </w:tc>
              <w:tc>
                <w:tcPr>
                  <w:tcW w:w="990" w:type="pct"/>
                  <w:shd w:val="clear" w:color="auto" w:fill="auto"/>
                  <w:vAlign w:val="center"/>
                </w:tcPr>
                <w:p w14:paraId="50B9AB5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每季度1次，每次监测两天，每天昼间监测一次</w:t>
                  </w:r>
                </w:p>
              </w:tc>
              <w:tc>
                <w:tcPr>
                  <w:tcW w:w="1627" w:type="pct"/>
                  <w:shd w:val="clear" w:color="auto" w:fill="auto"/>
                  <w:vAlign w:val="center"/>
                </w:tcPr>
                <w:p w14:paraId="7DEF8FF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委托监测</w:t>
                  </w:r>
                </w:p>
              </w:tc>
            </w:tr>
            <w:tr w14:paraId="5EAC7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vAlign w:val="center"/>
                </w:tcPr>
                <w:p w14:paraId="6DECFDE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固体废物</w:t>
                  </w:r>
                </w:p>
              </w:tc>
              <w:tc>
                <w:tcPr>
                  <w:tcW w:w="1987" w:type="pct"/>
                  <w:gridSpan w:val="2"/>
                  <w:vAlign w:val="center"/>
                </w:tcPr>
                <w:p w14:paraId="37D606B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统计厂内固体废物种类、产生量、处理方式（去向）等。</w:t>
                  </w:r>
                </w:p>
              </w:tc>
              <w:tc>
                <w:tcPr>
                  <w:tcW w:w="990" w:type="pct"/>
                  <w:vAlign w:val="center"/>
                </w:tcPr>
                <w:p w14:paraId="28CCC5D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每月统计一次</w:t>
                  </w:r>
                </w:p>
              </w:tc>
              <w:tc>
                <w:tcPr>
                  <w:tcW w:w="1627" w:type="pct"/>
                  <w:vAlign w:val="center"/>
                </w:tcPr>
                <w:p w14:paraId="52CEB2C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r>
          </w:tbl>
          <w:p w14:paraId="18F66DD0">
            <w:pPr>
              <w:pStyle w:val="14"/>
              <w:ind w:firstLine="0" w:firstLineChars="0"/>
              <w:rPr>
                <w:rFonts w:hint="default" w:ascii="Times New Roman" w:hAnsi="Times New Roman" w:cs="Times New Roman"/>
                <w:bCs/>
                <w:highlight w:val="none"/>
              </w:rPr>
            </w:pPr>
          </w:p>
        </w:tc>
      </w:tr>
    </w:tbl>
    <w:p w14:paraId="5C683720">
      <w:pPr>
        <w:adjustRightInd w:val="0"/>
        <w:snapToGrid w:val="0"/>
        <w:spacing w:line="360" w:lineRule="auto"/>
        <w:rPr>
          <w:rFonts w:hint="default" w:ascii="Times New Roman" w:hAnsi="Times New Roman" w:cs="Times New Roman"/>
          <w:b/>
          <w:kern w:val="0"/>
          <w:sz w:val="28"/>
          <w:szCs w:val="28"/>
          <w:highlight w:val="none"/>
        </w:rPr>
        <w:sectPr>
          <w:pgSz w:w="11907" w:h="16840"/>
          <w:pgMar w:top="1440" w:right="1077" w:bottom="1440" w:left="1077" w:header="851" w:footer="850" w:gutter="0"/>
          <w:cols w:space="0" w:num="1"/>
          <w:docGrid w:linePitch="312" w:charSpace="0"/>
        </w:sectPr>
      </w:pPr>
    </w:p>
    <w:p w14:paraId="2517AC4E">
      <w:pPr>
        <w:pStyle w:val="42"/>
        <w:spacing w:before="0" w:beforeAutospacing="0" w:after="0" w:afterAutospacing="0" w:line="360" w:lineRule="auto"/>
        <w:outlineLvl w:val="0"/>
        <w:rPr>
          <w:rFonts w:hint="default" w:ascii="Times New Roman" w:hAnsi="Times New Roman" w:eastAsia="黑体" w:cs="Times New Roman"/>
          <w:snapToGrid w:val="0"/>
          <w:sz w:val="32"/>
          <w:szCs w:val="32"/>
          <w:highlight w:val="none"/>
        </w:rPr>
      </w:pPr>
      <w:r>
        <w:rPr>
          <w:rFonts w:hint="default" w:ascii="Times New Roman" w:hAnsi="Times New Roman" w:eastAsia="黑体" w:cs="Times New Roman"/>
          <w:snapToGrid w:val="0"/>
          <w:sz w:val="32"/>
          <w:szCs w:val="32"/>
          <w:highlight w:val="none"/>
        </w:rPr>
        <w:t>五、环境保护措施监督检查清单</w:t>
      </w:r>
    </w:p>
    <w:tbl>
      <w:tblPr>
        <w:tblStyle w:val="46"/>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2"/>
        <w:gridCol w:w="2453"/>
        <w:gridCol w:w="1360"/>
        <w:gridCol w:w="1701"/>
        <w:gridCol w:w="3623"/>
      </w:tblGrid>
      <w:tr w14:paraId="299674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1839F27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要素</w:t>
            </w:r>
          </w:p>
        </w:tc>
        <w:tc>
          <w:tcPr>
            <w:tcW w:w="1230" w:type="pct"/>
            <w:tcBorders>
              <w:tl2br w:val="nil"/>
              <w:tr2bl w:val="nil"/>
            </w:tcBorders>
            <w:vAlign w:val="center"/>
          </w:tcPr>
          <w:p w14:paraId="0217C00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排放口（编号、名称）</w:t>
            </w:r>
          </w:p>
        </w:tc>
        <w:tc>
          <w:tcPr>
            <w:tcW w:w="682" w:type="pct"/>
            <w:tcBorders>
              <w:tl2br w:val="nil"/>
              <w:tr2bl w:val="nil"/>
            </w:tcBorders>
            <w:vAlign w:val="center"/>
          </w:tcPr>
          <w:p w14:paraId="642ED5F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污染物项目</w:t>
            </w:r>
          </w:p>
        </w:tc>
        <w:tc>
          <w:tcPr>
            <w:tcW w:w="853" w:type="pct"/>
            <w:tcBorders>
              <w:tl2br w:val="nil"/>
              <w:tr2bl w:val="nil"/>
            </w:tcBorders>
            <w:vAlign w:val="center"/>
          </w:tcPr>
          <w:p w14:paraId="73D31D2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环境保护措施</w:t>
            </w:r>
          </w:p>
        </w:tc>
        <w:tc>
          <w:tcPr>
            <w:tcW w:w="1817" w:type="pct"/>
            <w:tcBorders>
              <w:tl2br w:val="nil"/>
              <w:tr2bl w:val="nil"/>
            </w:tcBorders>
            <w:vAlign w:val="center"/>
          </w:tcPr>
          <w:p w14:paraId="0512496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执行标准</w:t>
            </w:r>
          </w:p>
        </w:tc>
      </w:tr>
      <w:tr w14:paraId="7E7B13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vMerge w:val="restart"/>
            <w:tcBorders>
              <w:tl2br w:val="nil"/>
              <w:tr2bl w:val="nil"/>
            </w:tcBorders>
            <w:vAlign w:val="center"/>
          </w:tcPr>
          <w:p w14:paraId="0C05A65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大气环境</w:t>
            </w:r>
          </w:p>
        </w:tc>
        <w:tc>
          <w:tcPr>
            <w:tcW w:w="1230" w:type="pct"/>
            <w:vMerge w:val="restart"/>
            <w:tcBorders>
              <w:tl2br w:val="nil"/>
              <w:tr2bl w:val="nil"/>
            </w:tcBorders>
            <w:vAlign w:val="center"/>
          </w:tcPr>
          <w:p w14:paraId="4FCA837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P1排气筒（15m/0.3m）</w:t>
            </w:r>
          </w:p>
        </w:tc>
        <w:tc>
          <w:tcPr>
            <w:tcW w:w="682" w:type="pct"/>
            <w:tcBorders>
              <w:tl2br w:val="nil"/>
              <w:tr2bl w:val="nil"/>
            </w:tcBorders>
            <w:shd w:val="clear" w:color="auto" w:fill="auto"/>
            <w:vAlign w:val="center"/>
          </w:tcPr>
          <w:p w14:paraId="27222062">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853" w:type="pct"/>
            <w:vMerge w:val="restart"/>
            <w:tcBorders>
              <w:tl2br w:val="nil"/>
              <w:tr2bl w:val="nil"/>
            </w:tcBorders>
            <w:shd w:val="clear" w:color="auto" w:fill="auto"/>
            <w:vAlign w:val="center"/>
          </w:tcPr>
          <w:p w14:paraId="63411343">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碱喷淋</w:t>
            </w:r>
            <w:r>
              <w:rPr>
                <w:rFonts w:hint="default" w:ascii="Times New Roman" w:hAnsi="Times New Roman" w:cs="Times New Roman"/>
                <w:color w:val="000000"/>
                <w:highlight w:val="none"/>
                <w:lang w:val="en-US"/>
              </w:rPr>
              <w:t>+</w:t>
            </w:r>
            <w:r>
              <w:rPr>
                <w:rFonts w:hint="eastAsia"/>
                <w:lang w:val="en-US" w:eastAsia="zh-CN"/>
              </w:rPr>
              <w:t>除雾装置</w:t>
            </w:r>
            <w:r>
              <w:rPr>
                <w:rFonts w:hint="default" w:ascii="Times New Roman" w:hAnsi="Times New Roman" w:cs="Times New Roman"/>
                <w:szCs w:val="21"/>
                <w:highlight w:val="none"/>
              </w:rPr>
              <w:t>+2级活性炭吸附</w:t>
            </w:r>
          </w:p>
        </w:tc>
        <w:tc>
          <w:tcPr>
            <w:tcW w:w="1817" w:type="pct"/>
            <w:tcBorders>
              <w:bottom w:val="single" w:color="auto" w:sz="4" w:space="0"/>
              <w:tl2br w:val="nil"/>
              <w:tr2bl w:val="nil"/>
            </w:tcBorders>
            <w:shd w:val="clear" w:color="auto" w:fill="auto"/>
            <w:vAlign w:val="center"/>
          </w:tcPr>
          <w:p w14:paraId="528CCC01">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《挥发性有机物排放标准 第6部分：有机化工行业》（DB37/2801.6—2018）表1其他行业Ⅱ时段排放限值</w:t>
            </w:r>
          </w:p>
        </w:tc>
      </w:tr>
      <w:tr w14:paraId="40DC78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vMerge w:val="continue"/>
            <w:tcBorders>
              <w:tl2br w:val="nil"/>
              <w:tr2bl w:val="nil"/>
            </w:tcBorders>
            <w:vAlign w:val="center"/>
          </w:tcPr>
          <w:p w14:paraId="52B996CA">
            <w:pPr>
              <w:pStyle w:val="98"/>
              <w:rPr>
                <w:rFonts w:hint="default" w:ascii="Times New Roman" w:hAnsi="Times New Roman" w:eastAsia="宋体" w:cs="Times New Roman"/>
                <w:color w:val="000000"/>
                <w:highlight w:val="none"/>
              </w:rPr>
            </w:pPr>
          </w:p>
        </w:tc>
        <w:tc>
          <w:tcPr>
            <w:tcW w:w="1230" w:type="pct"/>
            <w:vMerge w:val="continue"/>
            <w:tcBorders>
              <w:tl2br w:val="nil"/>
              <w:tr2bl w:val="nil"/>
            </w:tcBorders>
            <w:vAlign w:val="center"/>
          </w:tcPr>
          <w:p w14:paraId="34DA95BB">
            <w:pPr>
              <w:pStyle w:val="98"/>
              <w:rPr>
                <w:rFonts w:hint="default" w:ascii="Times New Roman" w:hAnsi="Times New Roman" w:eastAsia="宋体" w:cs="Times New Roman"/>
                <w:color w:val="000000"/>
                <w:highlight w:val="none"/>
              </w:rPr>
            </w:pPr>
          </w:p>
        </w:tc>
        <w:tc>
          <w:tcPr>
            <w:tcW w:w="682" w:type="pct"/>
            <w:tcBorders>
              <w:tl2br w:val="nil"/>
              <w:tr2bl w:val="nil"/>
            </w:tcBorders>
            <w:shd w:val="clear" w:color="auto" w:fill="auto"/>
            <w:vAlign w:val="center"/>
          </w:tcPr>
          <w:p w14:paraId="40AEF250">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甲醇</w:t>
            </w:r>
          </w:p>
        </w:tc>
        <w:tc>
          <w:tcPr>
            <w:tcW w:w="853" w:type="pct"/>
            <w:vMerge w:val="continue"/>
            <w:tcBorders>
              <w:tl2br w:val="nil"/>
              <w:tr2bl w:val="nil"/>
            </w:tcBorders>
            <w:shd w:val="clear" w:color="auto" w:fill="auto"/>
            <w:vAlign w:val="center"/>
          </w:tcPr>
          <w:p w14:paraId="1292B691">
            <w:pPr>
              <w:adjustRightInd w:val="0"/>
              <w:snapToGrid w:val="0"/>
              <w:jc w:val="center"/>
              <w:rPr>
                <w:rFonts w:hint="default" w:ascii="Times New Roman" w:hAnsi="Times New Roman" w:cs="Times New Roman"/>
                <w:szCs w:val="21"/>
                <w:highlight w:val="none"/>
              </w:rPr>
            </w:pPr>
          </w:p>
        </w:tc>
        <w:tc>
          <w:tcPr>
            <w:tcW w:w="1817" w:type="pct"/>
            <w:vMerge w:val="restart"/>
            <w:tcBorders>
              <w:tl2br w:val="nil"/>
              <w:tr2bl w:val="nil"/>
            </w:tcBorders>
            <w:shd w:val="clear" w:color="auto" w:fill="auto"/>
            <w:vAlign w:val="center"/>
          </w:tcPr>
          <w:p w14:paraId="21728170">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《挥发性有机物排放标准 第6部分：有机化工行业》（DB37/2801.6—2018）表2排放限值</w:t>
            </w:r>
          </w:p>
        </w:tc>
      </w:tr>
      <w:tr w14:paraId="56541D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vMerge w:val="continue"/>
            <w:tcBorders>
              <w:tl2br w:val="nil"/>
              <w:tr2bl w:val="nil"/>
            </w:tcBorders>
            <w:vAlign w:val="center"/>
          </w:tcPr>
          <w:p w14:paraId="65013C21">
            <w:pPr>
              <w:pStyle w:val="98"/>
              <w:rPr>
                <w:rFonts w:hint="default" w:ascii="Times New Roman" w:hAnsi="Times New Roman" w:eastAsia="宋体" w:cs="Times New Roman"/>
                <w:color w:val="000000"/>
                <w:highlight w:val="none"/>
              </w:rPr>
            </w:pPr>
          </w:p>
        </w:tc>
        <w:tc>
          <w:tcPr>
            <w:tcW w:w="1230" w:type="pct"/>
            <w:vMerge w:val="continue"/>
            <w:tcBorders>
              <w:tl2br w:val="nil"/>
              <w:tr2bl w:val="nil"/>
            </w:tcBorders>
            <w:vAlign w:val="center"/>
          </w:tcPr>
          <w:p w14:paraId="7B6CA35D">
            <w:pPr>
              <w:pStyle w:val="98"/>
              <w:rPr>
                <w:rFonts w:hint="default" w:ascii="Times New Roman" w:hAnsi="Times New Roman" w:eastAsia="宋体" w:cs="Times New Roman"/>
                <w:color w:val="000000"/>
                <w:highlight w:val="none"/>
              </w:rPr>
            </w:pPr>
          </w:p>
        </w:tc>
        <w:tc>
          <w:tcPr>
            <w:tcW w:w="682" w:type="pct"/>
            <w:tcBorders>
              <w:tl2br w:val="nil"/>
              <w:tr2bl w:val="nil"/>
            </w:tcBorders>
            <w:shd w:val="clear" w:color="auto" w:fill="auto"/>
            <w:vAlign w:val="center"/>
          </w:tcPr>
          <w:p w14:paraId="11C41DC6">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正己烷</w:t>
            </w:r>
          </w:p>
        </w:tc>
        <w:tc>
          <w:tcPr>
            <w:tcW w:w="853" w:type="pct"/>
            <w:vMerge w:val="continue"/>
            <w:tcBorders>
              <w:tl2br w:val="nil"/>
              <w:tr2bl w:val="nil"/>
            </w:tcBorders>
            <w:shd w:val="clear" w:color="auto" w:fill="auto"/>
            <w:vAlign w:val="center"/>
          </w:tcPr>
          <w:p w14:paraId="2BB6F97E">
            <w:pPr>
              <w:adjustRightInd w:val="0"/>
              <w:snapToGrid w:val="0"/>
              <w:jc w:val="center"/>
              <w:rPr>
                <w:rFonts w:hint="default" w:ascii="Times New Roman" w:hAnsi="Times New Roman" w:cs="Times New Roman"/>
                <w:szCs w:val="21"/>
                <w:highlight w:val="none"/>
              </w:rPr>
            </w:pPr>
          </w:p>
        </w:tc>
        <w:tc>
          <w:tcPr>
            <w:tcW w:w="1817" w:type="pct"/>
            <w:vMerge w:val="continue"/>
            <w:tcBorders>
              <w:bottom w:val="single" w:color="auto" w:sz="4" w:space="0"/>
              <w:tl2br w:val="nil"/>
              <w:tr2bl w:val="nil"/>
            </w:tcBorders>
            <w:shd w:val="clear" w:color="auto" w:fill="auto"/>
            <w:vAlign w:val="center"/>
          </w:tcPr>
          <w:p w14:paraId="258E11F8">
            <w:pPr>
              <w:adjustRightInd w:val="0"/>
              <w:jc w:val="center"/>
              <w:rPr>
                <w:rFonts w:hint="default" w:ascii="Times New Roman" w:hAnsi="Times New Roman" w:cs="Times New Roman"/>
                <w:szCs w:val="21"/>
                <w:highlight w:val="none"/>
              </w:rPr>
            </w:pPr>
          </w:p>
        </w:tc>
      </w:tr>
      <w:tr w14:paraId="0CB8FB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417" w:type="pct"/>
            <w:vMerge w:val="continue"/>
            <w:tcBorders>
              <w:tl2br w:val="nil"/>
              <w:tr2bl w:val="nil"/>
            </w:tcBorders>
            <w:vAlign w:val="center"/>
          </w:tcPr>
          <w:p w14:paraId="740073DC">
            <w:pPr>
              <w:pStyle w:val="98"/>
              <w:rPr>
                <w:rFonts w:hint="default" w:ascii="Times New Roman" w:hAnsi="Times New Roman" w:eastAsia="宋体" w:cs="Times New Roman"/>
                <w:color w:val="000000"/>
                <w:highlight w:val="none"/>
              </w:rPr>
            </w:pPr>
          </w:p>
        </w:tc>
        <w:tc>
          <w:tcPr>
            <w:tcW w:w="1230" w:type="pct"/>
            <w:vMerge w:val="restart"/>
            <w:tcBorders>
              <w:tl2br w:val="nil"/>
              <w:tr2bl w:val="nil"/>
            </w:tcBorders>
            <w:vAlign w:val="center"/>
          </w:tcPr>
          <w:p w14:paraId="5069B3B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无组织排放</w:t>
            </w:r>
          </w:p>
        </w:tc>
        <w:tc>
          <w:tcPr>
            <w:tcW w:w="682" w:type="pct"/>
            <w:tcBorders>
              <w:tl2br w:val="nil"/>
              <w:tr2bl w:val="nil"/>
            </w:tcBorders>
            <w:shd w:val="clear" w:color="auto" w:fill="auto"/>
            <w:vAlign w:val="center"/>
          </w:tcPr>
          <w:p w14:paraId="02211409">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853" w:type="pct"/>
            <w:vMerge w:val="restart"/>
            <w:tcBorders>
              <w:tl2br w:val="nil"/>
              <w:tr2bl w:val="nil"/>
            </w:tcBorders>
            <w:shd w:val="clear" w:color="auto" w:fill="auto"/>
            <w:vAlign w:val="center"/>
          </w:tcPr>
          <w:p w14:paraId="4A0A3D7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加强通风</w:t>
            </w:r>
          </w:p>
          <w:p w14:paraId="05E5C24D">
            <w:pPr>
              <w:pStyle w:val="98"/>
              <w:rPr>
                <w:rFonts w:hint="default" w:ascii="Times New Roman" w:hAnsi="Times New Roman" w:eastAsia="宋体" w:cs="Times New Roman"/>
                <w:color w:val="000000"/>
                <w:highlight w:val="none"/>
              </w:rPr>
            </w:pPr>
          </w:p>
        </w:tc>
        <w:tc>
          <w:tcPr>
            <w:tcW w:w="1817" w:type="pct"/>
            <w:tcBorders>
              <w:tl2br w:val="nil"/>
              <w:tr2bl w:val="nil"/>
            </w:tcBorders>
            <w:shd w:val="clear" w:color="auto" w:fill="auto"/>
            <w:vAlign w:val="center"/>
          </w:tcPr>
          <w:p w14:paraId="5A5BBEF1">
            <w:pPr>
              <w:adjustRightInd w:val="0"/>
              <w:jc w:val="center"/>
              <w:rPr>
                <w:rFonts w:hint="default" w:ascii="Times New Roman" w:hAnsi="Times New Roman" w:cs="Times New Roman"/>
                <w:color w:val="000000"/>
                <w:highlight w:val="none"/>
              </w:rPr>
            </w:pPr>
            <w:r>
              <w:rPr>
                <w:rFonts w:hint="default" w:ascii="Times New Roman" w:hAnsi="Times New Roman" w:cs="Times New Roman"/>
                <w:szCs w:val="21"/>
                <w:highlight w:val="none"/>
              </w:rPr>
              <w:t>《挥发性有机物排放标准 第6部分：有机化工行业》（DB37/2801.6—2018）表3厂界监控点浓度限值</w:t>
            </w:r>
          </w:p>
        </w:tc>
      </w:tr>
      <w:tr w14:paraId="07B243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417" w:type="pct"/>
            <w:vMerge w:val="continue"/>
            <w:tcBorders>
              <w:tl2br w:val="nil"/>
              <w:tr2bl w:val="nil"/>
            </w:tcBorders>
            <w:vAlign w:val="center"/>
          </w:tcPr>
          <w:p w14:paraId="2F95DA3C">
            <w:pPr>
              <w:pStyle w:val="98"/>
              <w:rPr>
                <w:rFonts w:hint="default" w:ascii="Times New Roman" w:hAnsi="Times New Roman" w:cs="Times New Roman"/>
                <w:highlight w:val="none"/>
              </w:rPr>
            </w:pPr>
          </w:p>
        </w:tc>
        <w:tc>
          <w:tcPr>
            <w:tcW w:w="1230" w:type="pct"/>
            <w:vMerge w:val="continue"/>
            <w:tcBorders>
              <w:tl2br w:val="nil"/>
              <w:tr2bl w:val="nil"/>
            </w:tcBorders>
            <w:vAlign w:val="center"/>
          </w:tcPr>
          <w:p w14:paraId="22E1FD20">
            <w:pPr>
              <w:pStyle w:val="98"/>
              <w:rPr>
                <w:rFonts w:hint="default" w:ascii="Times New Roman" w:hAnsi="Times New Roman" w:cs="Times New Roman"/>
                <w:highlight w:val="none"/>
              </w:rPr>
            </w:pPr>
          </w:p>
        </w:tc>
        <w:tc>
          <w:tcPr>
            <w:tcW w:w="682" w:type="pct"/>
            <w:tcBorders>
              <w:tl2br w:val="nil"/>
              <w:tr2bl w:val="nil"/>
            </w:tcBorders>
            <w:shd w:val="clear" w:color="auto" w:fill="auto"/>
            <w:vAlign w:val="center"/>
          </w:tcPr>
          <w:p w14:paraId="52B8797C">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甲醇</w:t>
            </w:r>
          </w:p>
        </w:tc>
        <w:tc>
          <w:tcPr>
            <w:tcW w:w="853" w:type="pct"/>
            <w:vMerge w:val="continue"/>
            <w:tcBorders>
              <w:tl2br w:val="nil"/>
              <w:tr2bl w:val="nil"/>
            </w:tcBorders>
            <w:vAlign w:val="center"/>
          </w:tcPr>
          <w:p w14:paraId="0A19611E">
            <w:pPr>
              <w:pStyle w:val="98"/>
              <w:rPr>
                <w:rFonts w:hint="default" w:ascii="Times New Roman" w:hAnsi="Times New Roman" w:eastAsia="宋体" w:cs="Times New Roman"/>
                <w:color w:val="000000"/>
                <w:highlight w:val="none"/>
              </w:rPr>
            </w:pPr>
          </w:p>
        </w:tc>
        <w:tc>
          <w:tcPr>
            <w:tcW w:w="1817" w:type="pct"/>
            <w:tcBorders>
              <w:tl2br w:val="nil"/>
              <w:tr2bl w:val="nil"/>
            </w:tcBorders>
            <w:shd w:val="clear" w:color="auto" w:fill="auto"/>
            <w:vAlign w:val="center"/>
          </w:tcPr>
          <w:p w14:paraId="0AAF71ED">
            <w:pPr>
              <w:adjustRightInd w:val="0"/>
              <w:jc w:val="center"/>
              <w:rPr>
                <w:rFonts w:hint="default" w:ascii="Times New Roman" w:hAnsi="Times New Roman" w:cs="Times New Roman"/>
                <w:color w:val="000000"/>
                <w:highlight w:val="none"/>
              </w:rPr>
            </w:pPr>
            <w:r>
              <w:rPr>
                <w:rFonts w:hint="default" w:ascii="Times New Roman" w:hAnsi="Times New Roman" w:cs="Times New Roman"/>
                <w:szCs w:val="21"/>
                <w:highlight w:val="none"/>
              </w:rPr>
              <w:t>《大气污染物综合排放标准》（GB16297-1996）表2无组织排放浓度监控限值</w:t>
            </w:r>
          </w:p>
        </w:tc>
      </w:tr>
      <w:tr w14:paraId="65C7E7A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5CC6EF8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地表水环境</w:t>
            </w:r>
          </w:p>
        </w:tc>
        <w:tc>
          <w:tcPr>
            <w:tcW w:w="1230" w:type="pct"/>
            <w:tcBorders>
              <w:tl2br w:val="nil"/>
              <w:tr2bl w:val="nil"/>
            </w:tcBorders>
            <w:vAlign w:val="center"/>
          </w:tcPr>
          <w:p w14:paraId="56E00F5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682" w:type="pct"/>
            <w:tcBorders>
              <w:tl2br w:val="nil"/>
              <w:tr2bl w:val="nil"/>
            </w:tcBorders>
            <w:vAlign w:val="center"/>
          </w:tcPr>
          <w:p w14:paraId="6CBA769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853" w:type="pct"/>
            <w:tcBorders>
              <w:tl2br w:val="nil"/>
              <w:tr2bl w:val="nil"/>
            </w:tcBorders>
            <w:vAlign w:val="center"/>
          </w:tcPr>
          <w:p w14:paraId="486573B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1817" w:type="pct"/>
            <w:tcBorders>
              <w:tl2br w:val="nil"/>
              <w:tr2bl w:val="nil"/>
            </w:tcBorders>
            <w:vAlign w:val="center"/>
          </w:tcPr>
          <w:p w14:paraId="77146DD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r>
      <w:tr w14:paraId="0745AC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410F551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声环境</w:t>
            </w:r>
          </w:p>
        </w:tc>
        <w:tc>
          <w:tcPr>
            <w:tcW w:w="1230" w:type="pct"/>
            <w:tcBorders>
              <w:tl2br w:val="nil"/>
              <w:tr2bl w:val="nil"/>
            </w:tcBorders>
            <w:vAlign w:val="center"/>
          </w:tcPr>
          <w:p w14:paraId="043F9E7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厂界</w:t>
            </w:r>
          </w:p>
        </w:tc>
        <w:tc>
          <w:tcPr>
            <w:tcW w:w="682" w:type="pct"/>
            <w:tcBorders>
              <w:tl2br w:val="nil"/>
              <w:tr2bl w:val="nil"/>
            </w:tcBorders>
            <w:vAlign w:val="center"/>
          </w:tcPr>
          <w:p w14:paraId="17AEBF3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w:t>
            </w:r>
          </w:p>
        </w:tc>
        <w:tc>
          <w:tcPr>
            <w:tcW w:w="853" w:type="pct"/>
            <w:tcBorders>
              <w:tl2br w:val="nil"/>
              <w:tr2bl w:val="nil"/>
            </w:tcBorders>
            <w:vAlign w:val="center"/>
          </w:tcPr>
          <w:p w14:paraId="25E9F96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选用低噪声设备，同时采用合理的布局进行车间隔声及距离衰减/</w:t>
            </w:r>
          </w:p>
        </w:tc>
        <w:tc>
          <w:tcPr>
            <w:tcW w:w="1817" w:type="pct"/>
            <w:tcBorders>
              <w:tl2br w:val="nil"/>
              <w:tr2bl w:val="nil"/>
            </w:tcBorders>
            <w:vAlign w:val="center"/>
          </w:tcPr>
          <w:p w14:paraId="1C125B4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《工业企业厂界环境噪声排放标准》（GB12348-2008）3类标准</w:t>
            </w:r>
          </w:p>
        </w:tc>
      </w:tr>
      <w:tr w14:paraId="294694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16FAA38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电磁辐射</w:t>
            </w:r>
          </w:p>
        </w:tc>
        <w:tc>
          <w:tcPr>
            <w:tcW w:w="1230" w:type="pct"/>
            <w:tcBorders>
              <w:tl2br w:val="nil"/>
              <w:tr2bl w:val="nil"/>
            </w:tcBorders>
            <w:vAlign w:val="center"/>
          </w:tcPr>
          <w:p w14:paraId="28602BE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p w14:paraId="0C808600">
            <w:pPr>
              <w:pStyle w:val="98"/>
              <w:rPr>
                <w:rFonts w:hint="default" w:ascii="Times New Roman" w:hAnsi="Times New Roman" w:eastAsia="宋体" w:cs="Times New Roman"/>
                <w:color w:val="000000"/>
                <w:highlight w:val="none"/>
              </w:rPr>
            </w:pPr>
          </w:p>
        </w:tc>
        <w:tc>
          <w:tcPr>
            <w:tcW w:w="682" w:type="pct"/>
            <w:tcBorders>
              <w:tl2br w:val="nil"/>
              <w:tr2bl w:val="nil"/>
            </w:tcBorders>
            <w:vAlign w:val="center"/>
          </w:tcPr>
          <w:p w14:paraId="39A15C0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853" w:type="pct"/>
            <w:tcBorders>
              <w:tl2br w:val="nil"/>
              <w:tr2bl w:val="nil"/>
            </w:tcBorders>
            <w:vAlign w:val="center"/>
          </w:tcPr>
          <w:p w14:paraId="7E53806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1817" w:type="pct"/>
            <w:tcBorders>
              <w:tl2br w:val="nil"/>
              <w:tr2bl w:val="nil"/>
            </w:tcBorders>
            <w:vAlign w:val="center"/>
          </w:tcPr>
          <w:p w14:paraId="6472F5A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r>
      <w:tr w14:paraId="2F3FE1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13AF8F5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固体废物</w:t>
            </w:r>
          </w:p>
        </w:tc>
        <w:tc>
          <w:tcPr>
            <w:tcW w:w="4582" w:type="pct"/>
            <w:gridSpan w:val="4"/>
            <w:tcBorders>
              <w:tl2br w:val="nil"/>
              <w:tr2bl w:val="nil"/>
            </w:tcBorders>
            <w:vAlign w:val="center"/>
          </w:tcPr>
          <w:p w14:paraId="511BB6C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一般固体废物执行《一般工业固体废物贮存和填埋污染控制标准》（GB18599-2020）。危险废物执行《危险废物贮存污染控制标准》（GB18597-2023），转移按照《危险废物转移管理办法》（2022年1月1日）执行。</w:t>
            </w:r>
          </w:p>
        </w:tc>
      </w:tr>
      <w:tr w14:paraId="5FDC0E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40C9830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生态保护措施</w:t>
            </w:r>
          </w:p>
        </w:tc>
        <w:tc>
          <w:tcPr>
            <w:tcW w:w="4582" w:type="pct"/>
            <w:gridSpan w:val="4"/>
            <w:tcBorders>
              <w:tl2br w:val="nil"/>
              <w:tr2bl w:val="nil"/>
            </w:tcBorders>
            <w:vAlign w:val="center"/>
          </w:tcPr>
          <w:p w14:paraId="0DB47AEA">
            <w:pPr>
              <w:pStyle w:val="98"/>
              <w:rPr>
                <w:rFonts w:hint="default" w:ascii="Times New Roman" w:hAnsi="Times New Roman" w:eastAsia="宋体" w:cs="Times New Roman"/>
                <w:color w:val="000000"/>
                <w:highlight w:val="none"/>
              </w:rPr>
            </w:pPr>
            <w:r>
              <w:rPr>
                <w:rFonts w:hint="default" w:ascii="Times New Roman" w:hAnsi="Times New Roman" w:cs="Times New Roman"/>
                <w:color w:val="000000"/>
                <w:highlight w:val="none"/>
              </w:rPr>
              <w:t>加强绿化带的绿化，建设整洁、优美的厂区</w:t>
            </w:r>
          </w:p>
        </w:tc>
      </w:tr>
      <w:tr w14:paraId="05075B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1826B26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环境风险</w:t>
            </w:r>
          </w:p>
          <w:p w14:paraId="1F97E7D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防范措施</w:t>
            </w:r>
          </w:p>
        </w:tc>
        <w:tc>
          <w:tcPr>
            <w:tcW w:w="4582" w:type="pct"/>
            <w:gridSpan w:val="4"/>
            <w:tcBorders>
              <w:tl2br w:val="nil"/>
              <w:tr2bl w:val="nil"/>
            </w:tcBorders>
            <w:vAlign w:val="center"/>
          </w:tcPr>
          <w:p w14:paraId="21A55688">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项目存在发生火灾危险，在生产过程中需做出相应的防范措施。</w:t>
            </w:r>
          </w:p>
          <w:p w14:paraId="5EF560D1">
            <w:pPr>
              <w:adjustRightInd w:val="0"/>
              <w:snapToGrid w:val="0"/>
              <w:ind w:firstLine="420" w:firstLineChars="200"/>
              <w:jc w:val="left"/>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1）加强管理，严格操作规范，制定一系列的防泄漏规章制度。</w:t>
            </w:r>
          </w:p>
          <w:p w14:paraId="069021B9">
            <w:pPr>
              <w:adjustRightInd w:val="0"/>
              <w:snapToGrid w:val="0"/>
              <w:ind w:firstLine="420" w:firstLineChars="200"/>
              <w:jc w:val="left"/>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2）严格执行劳动部《生产设备安全卫生设计总则》等有关法规。</w:t>
            </w:r>
          </w:p>
          <w:p w14:paraId="626A69FB">
            <w:pPr>
              <w:adjustRightInd w:val="0"/>
              <w:snapToGrid w:val="0"/>
              <w:ind w:firstLine="420" w:firstLineChars="200"/>
              <w:jc w:val="left"/>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3）操作人员必须经过专门培训，做到持证上岗，并且严格遵守操作规程。</w:t>
            </w:r>
          </w:p>
          <w:p w14:paraId="2770AFBB">
            <w:pPr>
              <w:adjustRightInd w:val="0"/>
              <w:snapToGrid w:val="0"/>
              <w:ind w:firstLine="420" w:firstLineChars="200"/>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4）加强日常巡检工作，及时发现、处理故障，保证安全生产，严格落实各项安全与环保措施，防止事故造成的环境污染。</w:t>
            </w:r>
          </w:p>
          <w:p w14:paraId="291261D7">
            <w:pPr>
              <w:adjustRightInd w:val="0"/>
              <w:snapToGrid w:val="0"/>
              <w:ind w:firstLine="420" w:firstLineChars="200"/>
              <w:jc w:val="left"/>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5）各种生产设备应定期检修保养，确保设备正常运行。</w:t>
            </w:r>
          </w:p>
          <w:p w14:paraId="414044D4">
            <w:pPr>
              <w:adjustRightInd w:val="0"/>
              <w:snapToGrid w:val="0"/>
              <w:ind w:firstLine="420" w:firstLineChars="200"/>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6）对安全及环保管理人员进行安全与环保知识培训，熟悉国家安全生产方针、政策、法规、标准，增强安全意识和法治观念，掌握安全卫生基本知识，具有一定的安全管理和决策能力。</w:t>
            </w:r>
          </w:p>
          <w:p w14:paraId="599D5D0B">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为了避免事故状态下，消防废水排放对地表水体影响，建设单位应参照《事故状态下水体污染的预防与控制技术要求》（QSY1190-2013），建立水环境风险三级防控体系。</w:t>
            </w:r>
          </w:p>
        </w:tc>
      </w:tr>
      <w:tr w14:paraId="2C4EDD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17" w:type="pct"/>
            <w:tcBorders>
              <w:tl2br w:val="nil"/>
              <w:tr2bl w:val="nil"/>
            </w:tcBorders>
            <w:vAlign w:val="center"/>
          </w:tcPr>
          <w:p w14:paraId="06538AF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其他环境</w:t>
            </w:r>
          </w:p>
          <w:p w14:paraId="4E068D7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管理要求</w:t>
            </w:r>
          </w:p>
        </w:tc>
        <w:tc>
          <w:tcPr>
            <w:tcW w:w="4582" w:type="pct"/>
            <w:gridSpan w:val="4"/>
            <w:tcBorders>
              <w:tl2br w:val="nil"/>
              <w:tr2bl w:val="nil"/>
            </w:tcBorders>
            <w:vAlign w:val="center"/>
          </w:tcPr>
          <w:p w14:paraId="6C6D7AAC">
            <w:pPr>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1、管理制度</w:t>
            </w:r>
          </w:p>
          <w:p w14:paraId="3F080907">
            <w:pPr>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为了缓解建设项目生产运行期对环境构成的不良影响，在采取环境治理工程措施解决建设项目环境影响的同时，必须制定全面的企业环境管理计划，配备专职环保人员1名，负责环境监督管理工作，同时要加强对管理人员的环保培训，不断提高管理水平。</w:t>
            </w:r>
          </w:p>
          <w:p w14:paraId="324F24CA">
            <w:pPr>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企业排污发生重大变化、污染治理设施改变或生产运行计划改变等都必须向当地环保部门申报，经审批同意后方可实施。对污染治理设施和管理必须与生产经营活动一起纳入企业的日常管理中，要建立岗位责任制，制定操作规程，建立管理台账。</w:t>
            </w:r>
          </w:p>
          <w:p w14:paraId="21432BA8">
            <w:pPr>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2、建设项目竣工环境保护验收</w:t>
            </w:r>
          </w:p>
          <w:p w14:paraId="28EE9071">
            <w:pPr>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建设项目环境保护管理条例》要求，编制环境影响报告表的建设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除按照国家规定需要保密的情形外，建设单位应当依法向社会公开验收报告。编制环境影响报告表的建设项目，其配套建设的环境保护设施经验收合格，方可投入生产或者使用；未经验收或者验收不合格的，不得投入生产或者使用。</w:t>
            </w:r>
          </w:p>
          <w:p w14:paraId="632812AB">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表5-1  环境保护“三同时”验收一览表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620"/>
              <w:gridCol w:w="1200"/>
              <w:gridCol w:w="1879"/>
              <w:gridCol w:w="1566"/>
              <w:gridCol w:w="2681"/>
            </w:tblGrid>
            <w:tr w14:paraId="7BD66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13611F3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项目</w:t>
                  </w:r>
                </w:p>
              </w:tc>
              <w:tc>
                <w:tcPr>
                  <w:tcW w:w="620" w:type="dxa"/>
                  <w:vAlign w:val="center"/>
                </w:tcPr>
                <w:p w14:paraId="0FF816F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污染源</w:t>
                  </w:r>
                </w:p>
              </w:tc>
              <w:tc>
                <w:tcPr>
                  <w:tcW w:w="1200" w:type="dxa"/>
                  <w:vAlign w:val="center"/>
                </w:tcPr>
                <w:p w14:paraId="3B95D73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污染物种类</w:t>
                  </w:r>
                </w:p>
              </w:tc>
              <w:tc>
                <w:tcPr>
                  <w:tcW w:w="1879" w:type="dxa"/>
                  <w:vAlign w:val="center"/>
                </w:tcPr>
                <w:p w14:paraId="7E6E893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治理措施</w:t>
                  </w:r>
                </w:p>
              </w:tc>
              <w:tc>
                <w:tcPr>
                  <w:tcW w:w="1566" w:type="dxa"/>
                  <w:vAlign w:val="center"/>
                </w:tcPr>
                <w:p w14:paraId="7192BED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验收指标</w:t>
                  </w:r>
                </w:p>
              </w:tc>
              <w:tc>
                <w:tcPr>
                  <w:tcW w:w="2681" w:type="dxa"/>
                  <w:vAlign w:val="center"/>
                </w:tcPr>
                <w:p w14:paraId="25B069C5">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验收标准</w:t>
                  </w:r>
                </w:p>
              </w:tc>
            </w:tr>
            <w:tr w14:paraId="09C46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restart"/>
                  <w:vAlign w:val="center"/>
                </w:tcPr>
                <w:p w14:paraId="6AB1945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废气</w:t>
                  </w:r>
                </w:p>
              </w:tc>
              <w:tc>
                <w:tcPr>
                  <w:tcW w:w="620" w:type="dxa"/>
                  <w:vMerge w:val="restart"/>
                  <w:vAlign w:val="center"/>
                </w:tcPr>
                <w:p w14:paraId="39954AC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P1</w:t>
                  </w:r>
                </w:p>
              </w:tc>
              <w:tc>
                <w:tcPr>
                  <w:tcW w:w="1200" w:type="dxa"/>
                  <w:shd w:val="clear" w:color="auto" w:fill="auto"/>
                  <w:vAlign w:val="center"/>
                </w:tcPr>
                <w:p w14:paraId="2F62F82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1879" w:type="dxa"/>
                  <w:vMerge w:val="restart"/>
                  <w:shd w:val="clear" w:color="auto" w:fill="auto"/>
                  <w:vAlign w:val="center"/>
                </w:tcPr>
                <w:p w14:paraId="02D6E908">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碱喷淋</w:t>
                  </w:r>
                  <w:r>
                    <w:rPr>
                      <w:rFonts w:hint="default" w:ascii="Times New Roman" w:hAnsi="Times New Roman" w:cs="Times New Roman"/>
                      <w:color w:val="000000"/>
                      <w:highlight w:val="none"/>
                      <w:lang w:val="en-US"/>
                    </w:rPr>
                    <w:t>+</w:t>
                  </w:r>
                  <w:r>
                    <w:rPr>
                      <w:rFonts w:hint="eastAsia"/>
                      <w:lang w:val="en-US" w:eastAsia="zh-CN"/>
                    </w:rPr>
                    <w:t>除雾装置</w:t>
                  </w:r>
                  <w:r>
                    <w:rPr>
                      <w:rFonts w:hint="default" w:ascii="Times New Roman" w:hAnsi="Times New Roman" w:cs="Times New Roman"/>
                      <w:szCs w:val="21"/>
                      <w:highlight w:val="none"/>
                    </w:rPr>
                    <w:t>+2级活性炭吸附</w:t>
                  </w:r>
                </w:p>
              </w:tc>
              <w:tc>
                <w:tcPr>
                  <w:tcW w:w="1566" w:type="dxa"/>
                  <w:vAlign w:val="center"/>
                </w:tcPr>
                <w:p w14:paraId="09B68ADC">
                  <w:pPr>
                    <w:pStyle w:val="98"/>
                    <w:rPr>
                      <w:rFonts w:hint="default" w:ascii="Times New Roman" w:hAnsi="Times New Roman" w:eastAsia="宋体" w:cs="Times New Roman"/>
                      <w:highlight w:val="none"/>
                    </w:rPr>
                  </w:pPr>
                  <w:r>
                    <w:rPr>
                      <w:rFonts w:hint="default" w:ascii="Times New Roman" w:hAnsi="Times New Roman" w:eastAsia="宋体" w:cs="Times New Roman"/>
                      <w:color w:val="000000"/>
                      <w:highlight w:val="none"/>
                    </w:rPr>
                    <w:t>60</w:t>
                  </w:r>
                  <w:r>
                    <w:rPr>
                      <w:rFonts w:hint="default" w:ascii="Times New Roman" w:hAnsi="Times New Roman" w:eastAsia="宋体" w:cs="Times New Roman"/>
                      <w:highlight w:val="none"/>
                    </w:rPr>
                    <w:t>mg/m</w:t>
                  </w:r>
                  <w:r>
                    <w:rPr>
                      <w:rFonts w:hint="default" w:ascii="Times New Roman" w:hAnsi="Times New Roman" w:eastAsia="宋体" w:cs="Times New Roman"/>
                      <w:highlight w:val="none"/>
                      <w:vertAlign w:val="superscript"/>
                    </w:rPr>
                    <w:t>3</w:t>
                  </w:r>
                </w:p>
                <w:p w14:paraId="3AF9E12F">
                  <w:pPr>
                    <w:jc w:val="center"/>
                    <w:rPr>
                      <w:rFonts w:hint="default" w:ascii="Times New Roman" w:hAnsi="Times New Roman" w:cs="Times New Roman"/>
                      <w:highlight w:val="none"/>
                    </w:rPr>
                  </w:pPr>
                  <w:r>
                    <w:rPr>
                      <w:rFonts w:hint="default" w:ascii="Times New Roman" w:hAnsi="Times New Roman" w:cs="Times New Roman"/>
                      <w:highlight w:val="none"/>
                    </w:rPr>
                    <w:t>3.0kg/h</w:t>
                  </w:r>
                </w:p>
              </w:tc>
              <w:tc>
                <w:tcPr>
                  <w:tcW w:w="2681" w:type="dxa"/>
                  <w:shd w:val="clear" w:color="auto" w:fill="auto"/>
                  <w:vAlign w:val="center"/>
                </w:tcPr>
                <w:p w14:paraId="1F408895">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《挥发性有机物排放标准 第6部分：有机化工行业》（DB37/2801.6—2018）表1其他行业Ⅱ时段排放限值</w:t>
                  </w:r>
                </w:p>
              </w:tc>
            </w:tr>
            <w:tr w14:paraId="04CF2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4FF1BF5E">
                  <w:pPr>
                    <w:pStyle w:val="98"/>
                    <w:rPr>
                      <w:rFonts w:hint="default" w:ascii="Times New Roman" w:hAnsi="Times New Roman" w:eastAsia="宋体" w:cs="Times New Roman"/>
                      <w:color w:val="000000"/>
                      <w:highlight w:val="none"/>
                    </w:rPr>
                  </w:pPr>
                </w:p>
              </w:tc>
              <w:tc>
                <w:tcPr>
                  <w:tcW w:w="620" w:type="dxa"/>
                  <w:vMerge w:val="continue"/>
                  <w:vAlign w:val="center"/>
                </w:tcPr>
                <w:p w14:paraId="08475EE8">
                  <w:pPr>
                    <w:pStyle w:val="98"/>
                    <w:rPr>
                      <w:rFonts w:hint="default" w:ascii="Times New Roman" w:hAnsi="Times New Roman" w:eastAsia="宋体" w:cs="Times New Roman"/>
                      <w:color w:val="000000"/>
                      <w:highlight w:val="none"/>
                    </w:rPr>
                  </w:pPr>
                </w:p>
              </w:tc>
              <w:tc>
                <w:tcPr>
                  <w:tcW w:w="1200" w:type="dxa"/>
                  <w:shd w:val="clear" w:color="auto" w:fill="auto"/>
                  <w:vAlign w:val="center"/>
                </w:tcPr>
                <w:p w14:paraId="35109105">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甲醇</w:t>
                  </w:r>
                </w:p>
              </w:tc>
              <w:tc>
                <w:tcPr>
                  <w:tcW w:w="1879" w:type="dxa"/>
                  <w:vMerge w:val="continue"/>
                  <w:shd w:val="clear" w:color="auto" w:fill="auto"/>
                  <w:vAlign w:val="center"/>
                </w:tcPr>
                <w:p w14:paraId="57984322">
                  <w:pPr>
                    <w:adjustRightInd w:val="0"/>
                    <w:snapToGrid w:val="0"/>
                    <w:jc w:val="center"/>
                    <w:rPr>
                      <w:rFonts w:hint="default" w:ascii="Times New Roman" w:hAnsi="Times New Roman" w:cs="Times New Roman"/>
                      <w:szCs w:val="21"/>
                      <w:highlight w:val="none"/>
                    </w:rPr>
                  </w:pPr>
                </w:p>
              </w:tc>
              <w:tc>
                <w:tcPr>
                  <w:tcW w:w="1566" w:type="dxa"/>
                  <w:vAlign w:val="center"/>
                </w:tcPr>
                <w:p w14:paraId="075452C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50</w:t>
                  </w:r>
                  <w:r>
                    <w:rPr>
                      <w:rFonts w:hint="default" w:ascii="Times New Roman" w:hAnsi="Times New Roman" w:eastAsia="宋体" w:cs="Times New Roman"/>
                      <w:highlight w:val="none"/>
                    </w:rPr>
                    <w:t>mg/m</w:t>
                  </w:r>
                  <w:r>
                    <w:rPr>
                      <w:rFonts w:hint="default" w:ascii="Times New Roman" w:hAnsi="Times New Roman" w:eastAsia="宋体" w:cs="Times New Roman"/>
                      <w:highlight w:val="none"/>
                      <w:vertAlign w:val="superscript"/>
                    </w:rPr>
                    <w:t>3</w:t>
                  </w:r>
                </w:p>
              </w:tc>
              <w:tc>
                <w:tcPr>
                  <w:tcW w:w="2681" w:type="dxa"/>
                  <w:vMerge w:val="restart"/>
                  <w:shd w:val="clear" w:color="auto" w:fill="auto"/>
                  <w:vAlign w:val="center"/>
                </w:tcPr>
                <w:p w14:paraId="48F89DEB">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《挥发性有机物排放标准 第6部分：有机化工行业》（DB37/2801.6—2018）表2排放限值</w:t>
                  </w:r>
                </w:p>
              </w:tc>
            </w:tr>
            <w:tr w14:paraId="1CC5B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198C0B84">
                  <w:pPr>
                    <w:pStyle w:val="98"/>
                    <w:rPr>
                      <w:rFonts w:hint="default" w:ascii="Times New Roman" w:hAnsi="Times New Roman" w:eastAsia="宋体" w:cs="Times New Roman"/>
                      <w:color w:val="000000"/>
                      <w:highlight w:val="none"/>
                    </w:rPr>
                  </w:pPr>
                </w:p>
              </w:tc>
              <w:tc>
                <w:tcPr>
                  <w:tcW w:w="620" w:type="dxa"/>
                  <w:vMerge w:val="continue"/>
                  <w:vAlign w:val="center"/>
                </w:tcPr>
                <w:p w14:paraId="2CA275EF">
                  <w:pPr>
                    <w:pStyle w:val="98"/>
                    <w:rPr>
                      <w:rFonts w:hint="default" w:ascii="Times New Roman" w:hAnsi="Times New Roman" w:eastAsia="宋体" w:cs="Times New Roman"/>
                      <w:color w:val="000000"/>
                      <w:highlight w:val="none"/>
                    </w:rPr>
                  </w:pPr>
                </w:p>
              </w:tc>
              <w:tc>
                <w:tcPr>
                  <w:tcW w:w="1200" w:type="dxa"/>
                  <w:shd w:val="clear" w:color="auto" w:fill="auto"/>
                  <w:vAlign w:val="center"/>
                </w:tcPr>
                <w:p w14:paraId="6F932764">
                  <w:pPr>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正己烷</w:t>
                  </w:r>
                </w:p>
              </w:tc>
              <w:tc>
                <w:tcPr>
                  <w:tcW w:w="1879" w:type="dxa"/>
                  <w:vMerge w:val="continue"/>
                  <w:shd w:val="clear" w:color="auto" w:fill="auto"/>
                  <w:vAlign w:val="center"/>
                </w:tcPr>
                <w:p w14:paraId="7B5B11CC">
                  <w:pPr>
                    <w:pStyle w:val="98"/>
                    <w:rPr>
                      <w:rFonts w:hint="default" w:ascii="Times New Roman" w:hAnsi="Times New Roman" w:eastAsia="宋体" w:cs="Times New Roman"/>
                      <w:color w:val="000000"/>
                      <w:highlight w:val="none"/>
                    </w:rPr>
                  </w:pPr>
                </w:p>
              </w:tc>
              <w:tc>
                <w:tcPr>
                  <w:tcW w:w="1566" w:type="dxa"/>
                  <w:vAlign w:val="center"/>
                </w:tcPr>
                <w:p w14:paraId="6FC6C3A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50</w:t>
                  </w:r>
                  <w:r>
                    <w:rPr>
                      <w:rFonts w:hint="default" w:ascii="Times New Roman" w:hAnsi="Times New Roman" w:eastAsia="宋体" w:cs="Times New Roman"/>
                      <w:highlight w:val="none"/>
                    </w:rPr>
                    <w:t>mg/m</w:t>
                  </w:r>
                  <w:r>
                    <w:rPr>
                      <w:rFonts w:hint="default" w:ascii="Times New Roman" w:hAnsi="Times New Roman" w:eastAsia="宋体" w:cs="Times New Roman"/>
                      <w:highlight w:val="none"/>
                      <w:vertAlign w:val="superscript"/>
                    </w:rPr>
                    <w:t>3</w:t>
                  </w:r>
                </w:p>
              </w:tc>
              <w:tc>
                <w:tcPr>
                  <w:tcW w:w="2681" w:type="dxa"/>
                  <w:vMerge w:val="continue"/>
                  <w:shd w:val="clear" w:color="auto" w:fill="auto"/>
                  <w:vAlign w:val="center"/>
                </w:tcPr>
                <w:p w14:paraId="374CEA4F">
                  <w:pPr>
                    <w:adjustRightInd w:val="0"/>
                    <w:jc w:val="center"/>
                    <w:rPr>
                      <w:rFonts w:hint="default" w:ascii="Times New Roman" w:hAnsi="Times New Roman" w:cs="Times New Roman"/>
                      <w:szCs w:val="21"/>
                      <w:highlight w:val="none"/>
                    </w:rPr>
                  </w:pPr>
                </w:p>
              </w:tc>
            </w:tr>
            <w:tr w14:paraId="421B8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6708EDAF">
                  <w:pPr>
                    <w:pStyle w:val="98"/>
                    <w:rPr>
                      <w:rFonts w:hint="default" w:ascii="Times New Roman" w:hAnsi="Times New Roman" w:eastAsia="宋体" w:cs="Times New Roman"/>
                      <w:color w:val="000000"/>
                      <w:highlight w:val="none"/>
                    </w:rPr>
                  </w:pPr>
                </w:p>
              </w:tc>
              <w:tc>
                <w:tcPr>
                  <w:tcW w:w="620" w:type="dxa"/>
                  <w:vMerge w:val="restart"/>
                  <w:vAlign w:val="center"/>
                </w:tcPr>
                <w:p w14:paraId="5C933481">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无组织</w:t>
                  </w:r>
                </w:p>
              </w:tc>
              <w:tc>
                <w:tcPr>
                  <w:tcW w:w="1200" w:type="dxa"/>
                  <w:shd w:val="clear" w:color="auto" w:fill="auto"/>
                  <w:vAlign w:val="center"/>
                </w:tcPr>
                <w:p w14:paraId="16522237">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1879" w:type="dxa"/>
                  <w:vMerge w:val="restart"/>
                  <w:shd w:val="clear" w:color="auto" w:fill="auto"/>
                  <w:vAlign w:val="center"/>
                </w:tcPr>
                <w:p w14:paraId="67F75A4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加强通风</w:t>
                  </w:r>
                </w:p>
                <w:p w14:paraId="174FBF92">
                  <w:pPr>
                    <w:pStyle w:val="98"/>
                    <w:rPr>
                      <w:rFonts w:hint="default" w:ascii="Times New Roman" w:hAnsi="Times New Roman" w:eastAsia="宋体" w:cs="Times New Roman"/>
                      <w:color w:val="000000"/>
                      <w:highlight w:val="none"/>
                    </w:rPr>
                  </w:pPr>
                </w:p>
              </w:tc>
              <w:tc>
                <w:tcPr>
                  <w:tcW w:w="1566" w:type="dxa"/>
                  <w:vAlign w:val="center"/>
                </w:tcPr>
                <w:p w14:paraId="6975131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2.0mg/m</w:t>
                  </w:r>
                  <w:r>
                    <w:rPr>
                      <w:rFonts w:hint="default" w:ascii="Times New Roman" w:hAnsi="Times New Roman" w:eastAsia="宋体" w:cs="Times New Roman"/>
                      <w:color w:val="000000"/>
                      <w:highlight w:val="none"/>
                      <w:vertAlign w:val="superscript"/>
                    </w:rPr>
                    <w:t>3</w:t>
                  </w:r>
                </w:p>
              </w:tc>
              <w:tc>
                <w:tcPr>
                  <w:tcW w:w="2681" w:type="dxa"/>
                  <w:shd w:val="clear" w:color="auto" w:fill="auto"/>
                  <w:vAlign w:val="center"/>
                </w:tcPr>
                <w:p w14:paraId="4B6A2508">
                  <w:pPr>
                    <w:adjustRightInd w:val="0"/>
                    <w:jc w:val="center"/>
                    <w:rPr>
                      <w:rFonts w:hint="default" w:ascii="Times New Roman" w:hAnsi="Times New Roman" w:cs="Times New Roman"/>
                      <w:color w:val="000000"/>
                      <w:highlight w:val="none"/>
                    </w:rPr>
                  </w:pPr>
                  <w:r>
                    <w:rPr>
                      <w:rFonts w:hint="default" w:ascii="Times New Roman" w:hAnsi="Times New Roman" w:cs="Times New Roman"/>
                      <w:szCs w:val="21"/>
                      <w:highlight w:val="none"/>
                    </w:rPr>
                    <w:t>《挥发性有机物排放标准 第6部分：有机化工行业》（DB37/2801.6—2018）表3厂界监控点浓度限值</w:t>
                  </w:r>
                </w:p>
              </w:tc>
            </w:tr>
            <w:tr w14:paraId="54D37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Merge w:val="continue"/>
                  <w:vAlign w:val="center"/>
                </w:tcPr>
                <w:p w14:paraId="36547BCC">
                  <w:pPr>
                    <w:pStyle w:val="98"/>
                    <w:rPr>
                      <w:rFonts w:hint="default" w:ascii="Times New Roman" w:hAnsi="Times New Roman" w:cs="Times New Roman"/>
                      <w:highlight w:val="none"/>
                    </w:rPr>
                  </w:pPr>
                </w:p>
              </w:tc>
              <w:tc>
                <w:tcPr>
                  <w:tcW w:w="620" w:type="dxa"/>
                  <w:vMerge w:val="continue"/>
                  <w:vAlign w:val="center"/>
                </w:tcPr>
                <w:p w14:paraId="621E1541">
                  <w:pPr>
                    <w:pStyle w:val="98"/>
                    <w:rPr>
                      <w:rFonts w:hint="default" w:ascii="Times New Roman" w:hAnsi="Times New Roman" w:cs="Times New Roman"/>
                      <w:highlight w:val="none"/>
                    </w:rPr>
                  </w:pPr>
                </w:p>
              </w:tc>
              <w:tc>
                <w:tcPr>
                  <w:tcW w:w="1200" w:type="dxa"/>
                  <w:shd w:val="clear" w:color="auto" w:fill="auto"/>
                  <w:vAlign w:val="center"/>
                </w:tcPr>
                <w:p w14:paraId="372237C7">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甲醇</w:t>
                  </w:r>
                </w:p>
              </w:tc>
              <w:tc>
                <w:tcPr>
                  <w:tcW w:w="1879" w:type="dxa"/>
                  <w:vMerge w:val="continue"/>
                  <w:shd w:val="clear" w:color="auto" w:fill="auto"/>
                  <w:vAlign w:val="center"/>
                </w:tcPr>
                <w:p w14:paraId="36C2ACFA">
                  <w:pPr>
                    <w:pStyle w:val="98"/>
                    <w:rPr>
                      <w:rFonts w:hint="default" w:ascii="Times New Roman" w:hAnsi="Times New Roman" w:eastAsia="宋体" w:cs="Times New Roman"/>
                      <w:color w:val="000000"/>
                      <w:highlight w:val="none"/>
                    </w:rPr>
                  </w:pPr>
                </w:p>
              </w:tc>
              <w:tc>
                <w:tcPr>
                  <w:tcW w:w="1566" w:type="dxa"/>
                  <w:shd w:val="clear" w:color="auto" w:fill="auto"/>
                  <w:vAlign w:val="center"/>
                </w:tcPr>
                <w:p w14:paraId="6572CAE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1.0mg/m</w:t>
                  </w:r>
                  <w:r>
                    <w:rPr>
                      <w:rFonts w:hint="default" w:ascii="Times New Roman" w:hAnsi="Times New Roman" w:eastAsia="宋体" w:cs="Times New Roman"/>
                      <w:color w:val="000000"/>
                      <w:highlight w:val="none"/>
                      <w:vertAlign w:val="superscript"/>
                    </w:rPr>
                    <w:t>3</w:t>
                  </w:r>
                </w:p>
              </w:tc>
              <w:tc>
                <w:tcPr>
                  <w:tcW w:w="2681" w:type="dxa"/>
                  <w:shd w:val="clear" w:color="auto" w:fill="auto"/>
                  <w:vAlign w:val="center"/>
                </w:tcPr>
                <w:p w14:paraId="7FE0240A">
                  <w:pPr>
                    <w:adjustRightInd w:val="0"/>
                    <w:jc w:val="center"/>
                    <w:rPr>
                      <w:rFonts w:hint="default" w:ascii="Times New Roman" w:hAnsi="Times New Roman" w:cs="Times New Roman"/>
                      <w:color w:val="000000"/>
                      <w:highlight w:val="none"/>
                    </w:rPr>
                  </w:pPr>
                  <w:r>
                    <w:rPr>
                      <w:rFonts w:hint="default" w:ascii="Times New Roman" w:hAnsi="Times New Roman" w:cs="Times New Roman"/>
                      <w:szCs w:val="21"/>
                      <w:highlight w:val="none"/>
                    </w:rPr>
                    <w:t>《大气污染物综合排放标准》（GB16297-1996）表2无组织排放浓度监控限值</w:t>
                  </w:r>
                </w:p>
              </w:tc>
            </w:tr>
            <w:tr w14:paraId="091DB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50BF0E6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废水</w:t>
                  </w:r>
                </w:p>
              </w:tc>
              <w:tc>
                <w:tcPr>
                  <w:tcW w:w="620" w:type="dxa"/>
                  <w:vAlign w:val="center"/>
                </w:tcPr>
                <w:p w14:paraId="4C97C9E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1200" w:type="dxa"/>
                  <w:shd w:val="clear" w:color="auto" w:fill="auto"/>
                  <w:vAlign w:val="center"/>
                </w:tcPr>
                <w:p w14:paraId="762A5A6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1879" w:type="dxa"/>
                  <w:shd w:val="clear" w:color="auto" w:fill="auto"/>
                  <w:vAlign w:val="center"/>
                </w:tcPr>
                <w:p w14:paraId="51DAB19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1566" w:type="dxa"/>
                  <w:shd w:val="clear" w:color="auto" w:fill="auto"/>
                  <w:vAlign w:val="center"/>
                </w:tcPr>
                <w:p w14:paraId="4DDC43C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2681" w:type="dxa"/>
                  <w:vAlign w:val="center"/>
                </w:tcPr>
                <w:p w14:paraId="1620F32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r>
            <w:tr w14:paraId="2991D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54D801D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w:t>
                  </w:r>
                </w:p>
              </w:tc>
              <w:tc>
                <w:tcPr>
                  <w:tcW w:w="620" w:type="dxa"/>
                  <w:vAlign w:val="center"/>
                </w:tcPr>
                <w:p w14:paraId="7DCC201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机械设备</w:t>
                  </w:r>
                </w:p>
              </w:tc>
              <w:tc>
                <w:tcPr>
                  <w:tcW w:w="1200" w:type="dxa"/>
                  <w:vAlign w:val="center"/>
                </w:tcPr>
                <w:p w14:paraId="1AF759D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w:t>
                  </w:r>
                </w:p>
              </w:tc>
              <w:tc>
                <w:tcPr>
                  <w:tcW w:w="1879" w:type="dxa"/>
                  <w:vAlign w:val="center"/>
                </w:tcPr>
                <w:p w14:paraId="1E3F289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选用低噪声设备，基础减振、车间安装隔声、隔音门窗</w:t>
                  </w:r>
                </w:p>
              </w:tc>
              <w:tc>
                <w:tcPr>
                  <w:tcW w:w="1566" w:type="dxa"/>
                  <w:vAlign w:val="center"/>
                </w:tcPr>
                <w:p w14:paraId="7803D56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昼间≤65dB（A）</w:t>
                  </w:r>
                </w:p>
              </w:tc>
              <w:tc>
                <w:tcPr>
                  <w:tcW w:w="2681" w:type="dxa"/>
                  <w:vAlign w:val="center"/>
                </w:tcPr>
                <w:p w14:paraId="461EE05B">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《工业企业厂界环境噪声排放标准》（GB12348-2008）中的3类区噪声排放限值</w:t>
                  </w:r>
                </w:p>
              </w:tc>
            </w:tr>
            <w:tr w14:paraId="7148F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5B72799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危险废物</w:t>
                  </w:r>
                </w:p>
              </w:tc>
              <w:tc>
                <w:tcPr>
                  <w:tcW w:w="1820" w:type="dxa"/>
                  <w:gridSpan w:val="2"/>
                  <w:vAlign w:val="center"/>
                </w:tcPr>
                <w:p w14:paraId="51B0BB2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废活性炭、喷淋废水</w:t>
                  </w:r>
                </w:p>
              </w:tc>
              <w:tc>
                <w:tcPr>
                  <w:tcW w:w="1879" w:type="dxa"/>
                  <w:vAlign w:val="center"/>
                </w:tcPr>
                <w:p w14:paraId="0409953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委托有资质单位处理</w:t>
                  </w:r>
                </w:p>
              </w:tc>
              <w:tc>
                <w:tcPr>
                  <w:tcW w:w="1566" w:type="dxa"/>
                  <w:vAlign w:val="center"/>
                </w:tcPr>
                <w:p w14:paraId="7EAD95E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2681" w:type="dxa"/>
                  <w:vAlign w:val="center"/>
                </w:tcPr>
                <w:p w14:paraId="645D7B1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《危险废物贮存污染控制标准》（GB18597-2023）</w:t>
                  </w:r>
                </w:p>
              </w:tc>
            </w:tr>
          </w:tbl>
          <w:p w14:paraId="16FD4EE4">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3、排放口信息化、规范化</w:t>
            </w:r>
          </w:p>
          <w:p w14:paraId="0EC83C1A">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国家环境保护总局《关于开展排放口规范化整治工作的通知》环发[1999]24号和《排放口规范化整治技术》环发[1999]24号文等规定的要求，一切新建、扩建、改建的排污单位以及限期治理的排污单位必须在建设污染治理设施的同时，建设规范化排放口。因此，建设项目各类污染物排放口必须规范化，而且规范化工作的完成必须与污染治理设施同步。</w:t>
            </w:r>
          </w:p>
          <w:p w14:paraId="32B6588F">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fldChar w:fldCharType="begin"/>
            </w:r>
            <w:r>
              <w:rPr>
                <w:rFonts w:hint="default" w:ascii="Times New Roman" w:hAnsi="Times New Roman" w:cs="Times New Roman"/>
                <w:color w:val="000000"/>
                <w:highlight w:val="none"/>
              </w:rPr>
              <w:instrText xml:space="preserve"> = 1 \* GB3 </w:instrText>
            </w:r>
            <w:r>
              <w:rPr>
                <w:rFonts w:hint="default" w:ascii="Times New Roman" w:hAnsi="Times New Roman" w:cs="Times New Roman"/>
                <w:color w:val="000000"/>
                <w:highlight w:val="none"/>
              </w:rPr>
              <w:fldChar w:fldCharType="separate"/>
            </w:r>
            <w:r>
              <w:rPr>
                <w:rFonts w:hint="default" w:ascii="Times New Roman" w:hAnsi="Times New Roman" w:cs="Times New Roman"/>
                <w:color w:val="000000"/>
                <w:highlight w:val="none"/>
              </w:rPr>
              <w:t>①</w:t>
            </w:r>
            <w:r>
              <w:rPr>
                <w:rFonts w:hint="default" w:ascii="Times New Roman" w:hAnsi="Times New Roman" w:cs="Times New Roman"/>
                <w:color w:val="000000"/>
                <w:highlight w:val="none"/>
              </w:rPr>
              <w:fldChar w:fldCharType="end"/>
            </w:r>
            <w:r>
              <w:rPr>
                <w:rFonts w:hint="default" w:ascii="Times New Roman" w:hAnsi="Times New Roman" w:cs="Times New Roman"/>
                <w:color w:val="000000"/>
                <w:highlight w:val="none"/>
              </w:rPr>
              <w:t>项目产生的固体废物在厂内暂存期间要设置专门的储存设施或堆放场所、运输通道。存放场地需采取防扬散、防流失措施，并应在存放场地设置环保标志牌。</w:t>
            </w:r>
          </w:p>
          <w:p w14:paraId="187038BF">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②主要固定噪声源附近应设置环境保护图形标志牌。</w:t>
            </w:r>
          </w:p>
          <w:p w14:paraId="243DC637">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本项目建成后，应将上述所有污染排放口名称、位置、数量，以及排放污染物名称、数量等进行统计，并登记上报当地环保部门，以便进行验收和排放口的规范化管理。</w:t>
            </w:r>
          </w:p>
          <w:p w14:paraId="70E9E2C0">
            <w:pPr>
              <w:adjustRightInd w:val="0"/>
              <w:snapToGrid w:val="0"/>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在废气排放口、噪声排放源、一般固体废物处置场、危废暂存间应设置环境保护图形标志，图形符号分为提示图形和警告图形符号两种，分别按GB15562.1-1995、GB15562.2-1995执行。环境保护图形符号见下表。</w:t>
            </w:r>
          </w:p>
          <w:p w14:paraId="57ACD77C">
            <w:pPr>
              <w:spacing w:line="360" w:lineRule="auto"/>
              <w:jc w:val="center"/>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rPr>
              <w:t>表5-2  环境保护图形符号一览表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2096"/>
              <w:gridCol w:w="2161"/>
              <w:gridCol w:w="1710"/>
              <w:gridCol w:w="1755"/>
            </w:tblGrid>
            <w:tr w14:paraId="26594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1CD3941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序号</w:t>
                  </w:r>
                </w:p>
              </w:tc>
              <w:tc>
                <w:tcPr>
                  <w:tcW w:w="1176" w:type="pct"/>
                  <w:vAlign w:val="center"/>
                </w:tcPr>
                <w:p w14:paraId="7BE4898C">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提示图形符号</w:t>
                  </w:r>
                </w:p>
              </w:tc>
              <w:tc>
                <w:tcPr>
                  <w:tcW w:w="1212" w:type="pct"/>
                  <w:vAlign w:val="center"/>
                </w:tcPr>
                <w:p w14:paraId="097DA83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警告图形符号</w:t>
                  </w:r>
                </w:p>
              </w:tc>
              <w:tc>
                <w:tcPr>
                  <w:tcW w:w="959" w:type="pct"/>
                  <w:vAlign w:val="center"/>
                </w:tcPr>
                <w:p w14:paraId="34ABE0B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名称</w:t>
                  </w:r>
                </w:p>
              </w:tc>
              <w:tc>
                <w:tcPr>
                  <w:tcW w:w="984" w:type="pct"/>
                  <w:vAlign w:val="center"/>
                </w:tcPr>
                <w:p w14:paraId="40D7801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功能</w:t>
                  </w:r>
                </w:p>
              </w:tc>
            </w:tr>
            <w:tr w14:paraId="64938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49C5549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1</w:t>
                  </w:r>
                </w:p>
              </w:tc>
              <w:tc>
                <w:tcPr>
                  <w:tcW w:w="1176" w:type="pct"/>
                  <w:vAlign w:val="center"/>
                </w:tcPr>
                <w:p w14:paraId="324C3EF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971550" cy="950595"/>
                        <wp:effectExtent l="0" t="0" r="0" b="1905"/>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46"/>
                                <a:stretch>
                                  <a:fillRect/>
                                </a:stretch>
                              </pic:blipFill>
                              <pic:spPr>
                                <a:xfrm>
                                  <a:off x="0" y="0"/>
                                  <a:ext cx="971550" cy="950595"/>
                                </a:xfrm>
                                <a:prstGeom prst="rect">
                                  <a:avLst/>
                                </a:prstGeom>
                                <a:noFill/>
                                <a:ln>
                                  <a:noFill/>
                                </a:ln>
                              </pic:spPr>
                            </pic:pic>
                          </a:graphicData>
                        </a:graphic>
                      </wp:inline>
                    </w:drawing>
                  </w:r>
                </w:p>
              </w:tc>
              <w:tc>
                <w:tcPr>
                  <w:tcW w:w="1212" w:type="pct"/>
                  <w:vAlign w:val="center"/>
                </w:tcPr>
                <w:p w14:paraId="32175B9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67435" cy="963930"/>
                        <wp:effectExtent l="0" t="0" r="18415" b="7620"/>
                        <wp:docPr id="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
                                <pic:cNvPicPr>
                                  <a:picLocks noChangeAspect="1"/>
                                </pic:cNvPicPr>
                              </pic:nvPicPr>
                              <pic:blipFill>
                                <a:blip r:embed="rId47"/>
                                <a:stretch>
                                  <a:fillRect/>
                                </a:stretch>
                              </pic:blipFill>
                              <pic:spPr>
                                <a:xfrm>
                                  <a:off x="0" y="0"/>
                                  <a:ext cx="1067435" cy="963930"/>
                                </a:xfrm>
                                <a:prstGeom prst="rect">
                                  <a:avLst/>
                                </a:prstGeom>
                                <a:noFill/>
                                <a:ln>
                                  <a:noFill/>
                                </a:ln>
                              </pic:spPr>
                            </pic:pic>
                          </a:graphicData>
                        </a:graphic>
                      </wp:inline>
                    </w:drawing>
                  </w:r>
                </w:p>
              </w:tc>
              <w:tc>
                <w:tcPr>
                  <w:tcW w:w="959" w:type="pct"/>
                  <w:vAlign w:val="center"/>
                </w:tcPr>
                <w:p w14:paraId="4521D15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废气排放口</w:t>
                  </w:r>
                </w:p>
              </w:tc>
              <w:tc>
                <w:tcPr>
                  <w:tcW w:w="984" w:type="pct"/>
                  <w:vAlign w:val="center"/>
                </w:tcPr>
                <w:p w14:paraId="3D6847B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表示废气向大气环境排放</w:t>
                  </w:r>
                </w:p>
              </w:tc>
            </w:tr>
            <w:tr w14:paraId="1435D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0A197DED">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2</w:t>
                  </w:r>
                </w:p>
              </w:tc>
              <w:tc>
                <w:tcPr>
                  <w:tcW w:w="1176" w:type="pct"/>
                  <w:vAlign w:val="center"/>
                </w:tcPr>
                <w:p w14:paraId="0F009BC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05840" cy="914400"/>
                        <wp:effectExtent l="0" t="0" r="3810" b="0"/>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48"/>
                                <a:stretch>
                                  <a:fillRect/>
                                </a:stretch>
                              </pic:blipFill>
                              <pic:spPr>
                                <a:xfrm>
                                  <a:off x="0" y="0"/>
                                  <a:ext cx="1005840" cy="914400"/>
                                </a:xfrm>
                                <a:prstGeom prst="rect">
                                  <a:avLst/>
                                </a:prstGeom>
                                <a:noFill/>
                                <a:ln>
                                  <a:noFill/>
                                </a:ln>
                              </pic:spPr>
                            </pic:pic>
                          </a:graphicData>
                        </a:graphic>
                      </wp:inline>
                    </w:drawing>
                  </w:r>
                </w:p>
              </w:tc>
              <w:tc>
                <w:tcPr>
                  <w:tcW w:w="1212" w:type="pct"/>
                  <w:vAlign w:val="center"/>
                </w:tcPr>
                <w:p w14:paraId="2565015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05840" cy="824230"/>
                        <wp:effectExtent l="0" t="0" r="3810" b="13970"/>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49"/>
                                <a:stretch>
                                  <a:fillRect/>
                                </a:stretch>
                              </pic:blipFill>
                              <pic:spPr>
                                <a:xfrm>
                                  <a:off x="0" y="0"/>
                                  <a:ext cx="1005840" cy="824230"/>
                                </a:xfrm>
                                <a:prstGeom prst="rect">
                                  <a:avLst/>
                                </a:prstGeom>
                                <a:noFill/>
                                <a:ln>
                                  <a:noFill/>
                                </a:ln>
                              </pic:spPr>
                            </pic:pic>
                          </a:graphicData>
                        </a:graphic>
                      </wp:inline>
                    </w:drawing>
                  </w:r>
                </w:p>
              </w:tc>
              <w:tc>
                <w:tcPr>
                  <w:tcW w:w="959" w:type="pct"/>
                  <w:vAlign w:val="center"/>
                </w:tcPr>
                <w:p w14:paraId="2EF1AE4A">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噪声排放源</w:t>
                  </w:r>
                </w:p>
              </w:tc>
              <w:tc>
                <w:tcPr>
                  <w:tcW w:w="984" w:type="pct"/>
                  <w:vAlign w:val="center"/>
                </w:tcPr>
                <w:p w14:paraId="08B8297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表示噪声向外</w:t>
                  </w:r>
                </w:p>
                <w:p w14:paraId="1C1CB419">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环境排放</w:t>
                  </w:r>
                </w:p>
              </w:tc>
            </w:tr>
            <w:tr w14:paraId="2D4B2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70891CB7">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3</w:t>
                  </w:r>
                </w:p>
              </w:tc>
              <w:tc>
                <w:tcPr>
                  <w:tcW w:w="1176" w:type="pct"/>
                  <w:vAlign w:val="center"/>
                </w:tcPr>
                <w:p w14:paraId="571F7B62">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970280" cy="1031240"/>
                        <wp:effectExtent l="0" t="0" r="1270" b="16510"/>
                        <wp:docPr id="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
                                <pic:cNvPicPr>
                                  <a:picLocks noChangeAspect="1"/>
                                </pic:cNvPicPr>
                              </pic:nvPicPr>
                              <pic:blipFill>
                                <a:blip r:embed="rId50"/>
                                <a:stretch>
                                  <a:fillRect/>
                                </a:stretch>
                              </pic:blipFill>
                              <pic:spPr>
                                <a:xfrm>
                                  <a:off x="0" y="0"/>
                                  <a:ext cx="970280" cy="1031240"/>
                                </a:xfrm>
                                <a:prstGeom prst="rect">
                                  <a:avLst/>
                                </a:prstGeom>
                                <a:noFill/>
                                <a:ln>
                                  <a:noFill/>
                                </a:ln>
                              </pic:spPr>
                            </pic:pic>
                          </a:graphicData>
                        </a:graphic>
                      </wp:inline>
                    </w:drawing>
                  </w:r>
                </w:p>
              </w:tc>
              <w:tc>
                <w:tcPr>
                  <w:tcW w:w="1212" w:type="pct"/>
                  <w:vAlign w:val="center"/>
                </w:tcPr>
                <w:p w14:paraId="6DCD55CF">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79500" cy="876300"/>
                        <wp:effectExtent l="0" t="0" r="6350" b="0"/>
                        <wp:docPr id="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pic:cNvPicPr>
                                  <a:picLocks noChangeAspect="1"/>
                                </pic:cNvPicPr>
                              </pic:nvPicPr>
                              <pic:blipFill>
                                <a:blip r:embed="rId51"/>
                                <a:stretch>
                                  <a:fillRect/>
                                </a:stretch>
                              </pic:blipFill>
                              <pic:spPr>
                                <a:xfrm>
                                  <a:off x="0" y="0"/>
                                  <a:ext cx="1079500" cy="876300"/>
                                </a:xfrm>
                                <a:prstGeom prst="rect">
                                  <a:avLst/>
                                </a:prstGeom>
                                <a:noFill/>
                                <a:ln>
                                  <a:noFill/>
                                </a:ln>
                              </pic:spPr>
                            </pic:pic>
                          </a:graphicData>
                        </a:graphic>
                      </wp:inline>
                    </w:drawing>
                  </w:r>
                </w:p>
              </w:tc>
              <w:tc>
                <w:tcPr>
                  <w:tcW w:w="959" w:type="pct"/>
                  <w:vAlign w:val="center"/>
                </w:tcPr>
                <w:p w14:paraId="7961E60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一般固体废物</w:t>
                  </w:r>
                </w:p>
              </w:tc>
              <w:tc>
                <w:tcPr>
                  <w:tcW w:w="984" w:type="pct"/>
                  <w:vAlign w:val="center"/>
                </w:tcPr>
                <w:p w14:paraId="3BC26FE3">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表示一般固体废物贮存、处置场</w:t>
                  </w:r>
                </w:p>
              </w:tc>
            </w:tr>
            <w:tr w14:paraId="09363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 w:type="pct"/>
                  <w:vAlign w:val="center"/>
                </w:tcPr>
                <w:p w14:paraId="380E5640">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4</w:t>
                  </w:r>
                </w:p>
              </w:tc>
              <w:tc>
                <w:tcPr>
                  <w:tcW w:w="1176" w:type="pct"/>
                  <w:vAlign w:val="center"/>
                </w:tcPr>
                <w:p w14:paraId="190FAF3E">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w:t>
                  </w:r>
                </w:p>
              </w:tc>
              <w:tc>
                <w:tcPr>
                  <w:tcW w:w="1212" w:type="pct"/>
                  <w:vAlign w:val="center"/>
                </w:tcPr>
                <w:p w14:paraId="09C296C6">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drawing>
                      <wp:inline distT="0" distB="0" distL="114300" distR="114300">
                        <wp:extent cx="1068070" cy="1087120"/>
                        <wp:effectExtent l="0" t="0" r="17780" b="17780"/>
                        <wp:docPr id="8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
                                <pic:cNvPicPr>
                                  <a:picLocks noChangeAspect="1"/>
                                </pic:cNvPicPr>
                              </pic:nvPicPr>
                              <pic:blipFill>
                                <a:blip r:embed="rId52"/>
                                <a:stretch>
                                  <a:fillRect/>
                                </a:stretch>
                              </pic:blipFill>
                              <pic:spPr>
                                <a:xfrm>
                                  <a:off x="0" y="0"/>
                                  <a:ext cx="1068070" cy="1087120"/>
                                </a:xfrm>
                                <a:prstGeom prst="rect">
                                  <a:avLst/>
                                </a:prstGeom>
                                <a:noFill/>
                                <a:ln>
                                  <a:noFill/>
                                </a:ln>
                              </pic:spPr>
                            </pic:pic>
                          </a:graphicData>
                        </a:graphic>
                      </wp:inline>
                    </w:drawing>
                  </w:r>
                </w:p>
              </w:tc>
              <w:tc>
                <w:tcPr>
                  <w:tcW w:w="959" w:type="pct"/>
                  <w:vAlign w:val="center"/>
                </w:tcPr>
                <w:p w14:paraId="091ED4B8">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危险废物</w:t>
                  </w:r>
                </w:p>
              </w:tc>
              <w:tc>
                <w:tcPr>
                  <w:tcW w:w="984" w:type="pct"/>
                  <w:vAlign w:val="center"/>
                </w:tcPr>
                <w:p w14:paraId="7ED33F74">
                  <w:pPr>
                    <w:pStyle w:val="98"/>
                    <w:rPr>
                      <w:rFonts w:hint="default" w:ascii="Times New Roman" w:hAnsi="Times New Roman" w:eastAsia="宋体" w:cs="Times New Roman"/>
                      <w:color w:val="000000"/>
                      <w:highlight w:val="none"/>
                    </w:rPr>
                  </w:pPr>
                  <w:r>
                    <w:rPr>
                      <w:rFonts w:hint="default" w:ascii="Times New Roman" w:hAnsi="Times New Roman" w:eastAsia="宋体" w:cs="Times New Roman"/>
                      <w:color w:val="000000"/>
                      <w:highlight w:val="none"/>
                    </w:rPr>
                    <w:t>表示危险废物贮存、处置场</w:t>
                  </w:r>
                </w:p>
              </w:tc>
            </w:tr>
          </w:tbl>
          <w:p w14:paraId="7EE4772F">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4、排污许可申报</w:t>
            </w:r>
          </w:p>
          <w:p w14:paraId="1DBD31AC">
            <w:pPr>
              <w:ind w:firstLine="420"/>
              <w:rPr>
                <w:rFonts w:hint="default" w:ascii="Times New Roman" w:hAnsi="Times New Roman" w:cs="Times New Roman"/>
                <w:color w:val="000000"/>
                <w:highlight w:val="none"/>
              </w:rPr>
            </w:pPr>
            <w:r>
              <w:rPr>
                <w:rFonts w:hint="default" w:ascii="Times New Roman" w:hAnsi="Times New Roman" w:cs="Times New Roman"/>
                <w:color w:val="000000"/>
                <w:highlight w:val="none"/>
              </w:rPr>
              <w:t>根据《固定污染源排污许可分类管理名录》（2019年版），拟建项目属于“二十一、化学原料和化学制品制造业 26”中“50、专用化学产品制造 266，环境污染处理专用药剂材料制造 2666”，实行登记管理。项目建成后验收前应及时办理排污许可手续。</w:t>
            </w:r>
          </w:p>
          <w:p w14:paraId="7E276707">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5、环境管理台账</w:t>
            </w:r>
          </w:p>
          <w:p w14:paraId="48A865B0">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企业应按照行业排污许可管理要求制定管理台账，落实环境管理台账记录的责任部门和责任人，明确工作职责，包括台账的记录、整理、维护和管理等，并对台账记录结果的真实性、完整性和规范性负责，台账保存期限不得少于五年。</w:t>
            </w:r>
          </w:p>
          <w:p w14:paraId="7F51EB5F">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6、环保信息公开</w:t>
            </w:r>
          </w:p>
          <w:p w14:paraId="04BFA4EF">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要求根据《企业事业单位环境信息公开办法》（环境保护部令第31号），企业事业单位应当按照强制公开和自愿公开相结合的原则，及时、如实地公开其环境信息。企业事业单位应当建立健全本单位环境信息公开制度，指定机构负责本单位环境信息公开日常工作，排污单位应当公开以下信息：</w:t>
            </w:r>
          </w:p>
          <w:p w14:paraId="47271D65">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（1）基础信息，包括单位名称、组织机构代码、法定代表人、生产地址、联系方式，以及生产经营和管理服务的主要内容、产品及规模；</w:t>
            </w:r>
          </w:p>
          <w:p w14:paraId="429F8ADA">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（2）排污信息，包括主要污染物及其他污染物的名称、排放方式、排放口数量和分布情况、排放浓度和总量、超标情况，以及执行的污染物排放标准、核定的排放总量；</w:t>
            </w:r>
          </w:p>
          <w:p w14:paraId="7D9E9AE4">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（3）防治污染设施的建设和运行情况；</w:t>
            </w:r>
          </w:p>
          <w:p w14:paraId="48A92AE4">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（4）建设项目环境影响评价及其他环境保护行政许可情况；</w:t>
            </w:r>
          </w:p>
          <w:p w14:paraId="1CDF55A8">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（5）其他应当公开的环境信息；</w:t>
            </w:r>
          </w:p>
          <w:p w14:paraId="3EE5C5EE">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列入国家重点监控企业名单的重点排污单位还应当公开其环境自行监测方案。</w:t>
            </w:r>
          </w:p>
          <w:p w14:paraId="0FE70245">
            <w:pPr>
              <w:adjustRightInd w:val="0"/>
              <w:snapToGrid w:val="0"/>
              <w:ind w:firstLine="420"/>
              <w:jc w:val="left"/>
              <w:rPr>
                <w:rFonts w:hint="default" w:ascii="Times New Roman" w:hAnsi="Times New Roman" w:cs="Times New Roman"/>
                <w:color w:val="000000"/>
                <w:highlight w:val="none"/>
              </w:rPr>
            </w:pPr>
            <w:r>
              <w:rPr>
                <w:rFonts w:hint="default" w:ascii="Times New Roman" w:hAnsi="Times New Roman" w:cs="Times New Roman"/>
                <w:color w:val="000000"/>
                <w:highlight w:val="none"/>
              </w:rPr>
              <w:t>建设单位应按照上述要求公开建设项目的相关信息，采取的信息公开途径可包括：①公告或者公开发行的信息专刊；②广播、电视等新闻媒体；③信息公开服务、监督热线电话；④本单位的资料索取点、信息公开栏、信息亭、电子屏幕、电子触摸屏等场所或者设施；⑤其他便于公众及时、准确获得信息的方式。</w:t>
            </w:r>
          </w:p>
        </w:tc>
      </w:tr>
    </w:tbl>
    <w:p w14:paraId="68940F1A">
      <w:pPr>
        <w:pStyle w:val="42"/>
        <w:jc w:val="center"/>
        <w:outlineLvl w:val="0"/>
        <w:rPr>
          <w:rFonts w:hint="default" w:ascii="Times New Roman" w:hAnsi="Times New Roman" w:cs="Times New Roman"/>
          <w:snapToGrid w:val="0"/>
          <w:highlight w:val="none"/>
        </w:rPr>
        <w:sectPr>
          <w:footerReference r:id="rId7" w:type="default"/>
          <w:pgSz w:w="11907" w:h="16840"/>
          <w:pgMar w:top="1440" w:right="1077" w:bottom="1440" w:left="1077" w:header="851" w:footer="850" w:gutter="0"/>
          <w:cols w:space="0" w:num="1"/>
          <w:docGrid w:linePitch="312" w:charSpace="0"/>
        </w:sectPr>
      </w:pPr>
    </w:p>
    <w:p w14:paraId="13143A9B">
      <w:pPr>
        <w:pStyle w:val="42"/>
        <w:jc w:val="center"/>
        <w:outlineLvl w:val="0"/>
        <w:rPr>
          <w:rFonts w:hint="default" w:ascii="Times New Roman" w:hAnsi="Times New Roman" w:eastAsia="黑体" w:cs="Times New Roman"/>
          <w:snapToGrid w:val="0"/>
          <w:sz w:val="30"/>
          <w:szCs w:val="30"/>
          <w:highlight w:val="none"/>
        </w:rPr>
      </w:pPr>
      <w:r>
        <w:rPr>
          <w:rFonts w:hint="default" w:ascii="Times New Roman" w:hAnsi="Times New Roman" w:eastAsia="黑体" w:cs="Times New Roman"/>
          <w:snapToGrid w:val="0"/>
          <w:sz w:val="30"/>
          <w:szCs w:val="30"/>
          <w:highlight w:val="none"/>
        </w:rPr>
        <w:t>六、结论</w:t>
      </w:r>
    </w:p>
    <w:tbl>
      <w:tblPr>
        <w:tblStyle w:val="46"/>
        <w:tblW w:w="879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7"/>
      </w:tblGrid>
      <w:tr w14:paraId="796A1D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35" w:hRule="atLeast"/>
          <w:jc w:val="center"/>
        </w:trPr>
        <w:tc>
          <w:tcPr>
            <w:tcW w:w="8797" w:type="dxa"/>
          </w:tcPr>
          <w:p w14:paraId="0A18FDD7">
            <w:pPr>
              <w:snapToGrid w:val="0"/>
              <w:spacing w:before="120" w:beforeLines="50" w:line="480" w:lineRule="auto"/>
              <w:ind w:firstLine="480" w:firstLineChars="200"/>
              <w:rPr>
                <w:rFonts w:hint="default" w:ascii="Times New Roman" w:hAnsi="Times New Roman" w:cs="Times New Roman"/>
                <w:bCs/>
                <w:sz w:val="24"/>
                <w:highlight w:val="none"/>
              </w:rPr>
            </w:pPr>
          </w:p>
          <w:p w14:paraId="7BCED70D">
            <w:pPr>
              <w:snapToGrid w:val="0"/>
              <w:spacing w:before="120" w:beforeLines="50" w:line="48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rPr>
              <w:t>综上所述，本项目的建设符合国家和地方产业政策，各项污染物能够实现达标排放，对环境的影响较小，不会造成区域环境功能的改变，因此从环境保护的角度来讲，本评价认为该项目在坚持“三同时”原则并采取一定的环保措施后，拟建项目是可行的。</w:t>
            </w:r>
          </w:p>
          <w:p w14:paraId="491D0588">
            <w:pPr>
              <w:spacing w:line="360" w:lineRule="auto"/>
              <w:rPr>
                <w:rFonts w:hint="default" w:ascii="Times New Roman" w:hAnsi="Times New Roman" w:cs="Times New Roman"/>
                <w:sz w:val="24"/>
                <w:highlight w:val="none"/>
              </w:rPr>
            </w:pPr>
          </w:p>
        </w:tc>
      </w:tr>
    </w:tbl>
    <w:p w14:paraId="76F40112">
      <w:pPr>
        <w:pStyle w:val="42"/>
        <w:jc w:val="center"/>
        <w:outlineLvl w:val="0"/>
        <w:rPr>
          <w:rFonts w:hint="default" w:ascii="Times New Roman" w:hAnsi="Times New Roman" w:eastAsia="黑体" w:cs="Times New Roman"/>
          <w:snapToGrid w:val="0"/>
          <w:sz w:val="30"/>
          <w:szCs w:val="30"/>
          <w:highlight w:val="none"/>
        </w:rPr>
      </w:pPr>
    </w:p>
    <w:p w14:paraId="09D9FC90">
      <w:pPr>
        <w:pStyle w:val="45"/>
        <w:rPr>
          <w:rFonts w:hint="default" w:ascii="Times New Roman" w:hAnsi="Times New Roman" w:cs="Times New Roman"/>
          <w:snapToGrid w:val="0"/>
          <w:highlight w:val="none"/>
        </w:rPr>
        <w:sectPr>
          <w:pgSz w:w="11907" w:h="16840"/>
          <w:pgMar w:top="1440" w:right="1077" w:bottom="1440" w:left="1077" w:header="851" w:footer="850" w:gutter="0"/>
          <w:cols w:space="0" w:num="1"/>
          <w:docGrid w:linePitch="312" w:charSpace="0"/>
        </w:sectPr>
      </w:pPr>
    </w:p>
    <w:p w14:paraId="0ABADEE2">
      <w:pPr>
        <w:pStyle w:val="42"/>
        <w:spacing w:before="0" w:beforeAutospacing="0" w:after="0" w:afterAutospacing="0" w:line="360" w:lineRule="auto"/>
        <w:outlineLvl w:val="0"/>
        <w:rPr>
          <w:rFonts w:hint="default" w:ascii="Times New Roman" w:hAnsi="Times New Roman" w:eastAsia="黑体" w:cs="Times New Roman"/>
          <w:snapToGrid w:val="0"/>
          <w:sz w:val="32"/>
          <w:szCs w:val="32"/>
          <w:highlight w:val="none"/>
        </w:rPr>
      </w:pPr>
      <w:r>
        <w:rPr>
          <w:rFonts w:hint="default" w:ascii="Times New Roman" w:hAnsi="Times New Roman" w:eastAsia="黑体" w:cs="Times New Roman"/>
          <w:snapToGrid w:val="0"/>
          <w:sz w:val="32"/>
          <w:szCs w:val="32"/>
          <w:highlight w:val="none"/>
        </w:rPr>
        <w:t>附表</w:t>
      </w:r>
    </w:p>
    <w:p w14:paraId="3E052AEA">
      <w:pPr>
        <w:pStyle w:val="42"/>
        <w:spacing w:before="0" w:beforeAutospacing="0" w:after="0" w:afterAutospacing="0"/>
        <w:jc w:val="center"/>
        <w:outlineLvl w:val="0"/>
        <w:rPr>
          <w:rFonts w:hint="default" w:ascii="Times New Roman" w:hAnsi="Times New Roman" w:cs="Times New Roman"/>
          <w:kern w:val="2"/>
          <w:sz w:val="32"/>
          <w:szCs w:val="32"/>
          <w:highlight w:val="none"/>
        </w:rPr>
      </w:pPr>
      <w:r>
        <w:rPr>
          <w:rFonts w:hint="default" w:ascii="Times New Roman" w:hAnsi="Times New Roman" w:cs="Times New Roman"/>
          <w:kern w:val="2"/>
          <w:sz w:val="32"/>
          <w:szCs w:val="32"/>
          <w:highlight w:val="none"/>
        </w:rPr>
        <w:t>建设项目污染物排放量汇总表</w:t>
      </w:r>
    </w:p>
    <w:tbl>
      <w:tblPr>
        <w:tblStyle w:val="46"/>
        <w:tblW w:w="1402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054"/>
        <w:gridCol w:w="1474"/>
        <w:gridCol w:w="1619"/>
        <w:gridCol w:w="1324"/>
        <w:gridCol w:w="1698"/>
        <w:gridCol w:w="1488"/>
        <w:gridCol w:w="1428"/>
        <w:gridCol w:w="1524"/>
        <w:gridCol w:w="1449"/>
      </w:tblGrid>
      <w:tr w14:paraId="7EA154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tcBorders>
              <w:tl2br w:val="single" w:color="auto" w:sz="4" w:space="0"/>
            </w:tcBorders>
            <w:tcMar>
              <w:left w:w="28" w:type="dxa"/>
              <w:right w:w="28" w:type="dxa"/>
            </w:tcMar>
            <w:vAlign w:val="center"/>
          </w:tcPr>
          <w:p w14:paraId="674C304B">
            <w:pPr>
              <w:pStyle w:val="94"/>
              <w:spacing w:beforeLines="0" w:afterLines="0" w:line="240" w:lineRule="auto"/>
              <w:ind w:right="99"/>
              <w:jc w:val="right"/>
              <w:rPr>
                <w:rFonts w:hint="default" w:ascii="Times New Roman" w:hAnsi="Times New Roman" w:cs="Times New Roman"/>
                <w:bCs/>
                <w:snapToGrid w:val="0"/>
                <w:spacing w:val="-6"/>
                <w:kern w:val="21"/>
                <w:szCs w:val="21"/>
                <w:highlight w:val="none"/>
              </w:rPr>
            </w:pPr>
            <w:bookmarkStart w:id="5" w:name="_Hlk95290405"/>
            <w:r>
              <w:rPr>
                <w:rFonts w:hint="default" w:ascii="Times New Roman" w:hAnsi="Times New Roman" w:cs="Times New Roman"/>
                <w:bCs/>
                <w:snapToGrid w:val="0"/>
                <w:spacing w:val="-6"/>
                <w:kern w:val="21"/>
                <w:szCs w:val="21"/>
                <w:highlight w:val="none"/>
              </w:rPr>
              <w:t>项目</w:t>
            </w:r>
          </w:p>
          <w:p w14:paraId="70E58C8D">
            <w:pPr>
              <w:pStyle w:val="94"/>
              <w:spacing w:beforeLines="0" w:afterLines="0" w:line="240" w:lineRule="auto"/>
              <w:jc w:val="left"/>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分类</w:t>
            </w:r>
          </w:p>
        </w:tc>
        <w:tc>
          <w:tcPr>
            <w:tcW w:w="2528" w:type="dxa"/>
            <w:gridSpan w:val="2"/>
            <w:tcMar>
              <w:left w:w="28" w:type="dxa"/>
              <w:right w:w="28" w:type="dxa"/>
            </w:tcMar>
            <w:vAlign w:val="center"/>
          </w:tcPr>
          <w:p w14:paraId="314DFF39">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污染物名称</w:t>
            </w:r>
          </w:p>
        </w:tc>
        <w:tc>
          <w:tcPr>
            <w:tcW w:w="1619" w:type="dxa"/>
            <w:tcMar>
              <w:left w:w="28" w:type="dxa"/>
              <w:right w:w="28" w:type="dxa"/>
            </w:tcMar>
            <w:vAlign w:val="center"/>
          </w:tcPr>
          <w:p w14:paraId="18450D3E">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现有工程</w:t>
            </w:r>
          </w:p>
          <w:p w14:paraId="2C19CDB4">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排放量（固体废物产生量）</w:t>
            </w: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1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kern w:val="2"/>
                <w:szCs w:val="21"/>
                <w:highlight w:val="none"/>
              </w:rPr>
              <w:t>①</w:t>
            </w:r>
            <w:r>
              <w:rPr>
                <w:rFonts w:hint="default" w:ascii="Times New Roman" w:hAnsi="Times New Roman" w:cs="Times New Roman"/>
                <w:bCs/>
                <w:snapToGrid w:val="0"/>
                <w:spacing w:val="-6"/>
                <w:kern w:val="21"/>
                <w:szCs w:val="21"/>
                <w:highlight w:val="none"/>
              </w:rPr>
              <w:fldChar w:fldCharType="end"/>
            </w:r>
          </w:p>
        </w:tc>
        <w:tc>
          <w:tcPr>
            <w:tcW w:w="1324" w:type="dxa"/>
            <w:tcMar>
              <w:left w:w="28" w:type="dxa"/>
              <w:right w:w="28" w:type="dxa"/>
            </w:tcMar>
            <w:vAlign w:val="center"/>
          </w:tcPr>
          <w:p w14:paraId="74F5457C">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现有工程</w:t>
            </w:r>
          </w:p>
          <w:p w14:paraId="007790C0">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许可排放量</w:t>
            </w:r>
          </w:p>
          <w:p w14:paraId="05F8BC0B">
            <w:pPr>
              <w:pStyle w:val="94"/>
              <w:spacing w:beforeLines="0" w:afterLines="0"/>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2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snapToGrid w:val="0"/>
                <w:spacing w:val="-6"/>
                <w:kern w:val="21"/>
                <w:szCs w:val="21"/>
                <w:highlight w:val="none"/>
              </w:rPr>
              <w:t>②</w:t>
            </w:r>
            <w:r>
              <w:rPr>
                <w:rFonts w:hint="default" w:ascii="Times New Roman" w:hAnsi="Times New Roman" w:cs="Times New Roman"/>
                <w:bCs/>
                <w:snapToGrid w:val="0"/>
                <w:spacing w:val="-6"/>
                <w:kern w:val="21"/>
                <w:szCs w:val="21"/>
                <w:highlight w:val="none"/>
              </w:rPr>
              <w:fldChar w:fldCharType="end"/>
            </w:r>
          </w:p>
        </w:tc>
        <w:tc>
          <w:tcPr>
            <w:tcW w:w="1698" w:type="dxa"/>
            <w:tcMar>
              <w:left w:w="28" w:type="dxa"/>
              <w:right w:w="28" w:type="dxa"/>
            </w:tcMar>
            <w:vAlign w:val="center"/>
          </w:tcPr>
          <w:p w14:paraId="32529E81">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在建工程</w:t>
            </w:r>
          </w:p>
          <w:p w14:paraId="26979C28">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排放量（固体废物产生量）</w:t>
            </w: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3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kern w:val="2"/>
                <w:szCs w:val="21"/>
                <w:highlight w:val="none"/>
              </w:rPr>
              <w:t>③</w:t>
            </w:r>
            <w:r>
              <w:rPr>
                <w:rFonts w:hint="default" w:ascii="Times New Roman" w:hAnsi="Times New Roman" w:cs="Times New Roman"/>
                <w:bCs/>
                <w:snapToGrid w:val="0"/>
                <w:spacing w:val="-6"/>
                <w:kern w:val="21"/>
                <w:szCs w:val="21"/>
                <w:highlight w:val="none"/>
              </w:rPr>
              <w:fldChar w:fldCharType="end"/>
            </w:r>
          </w:p>
        </w:tc>
        <w:tc>
          <w:tcPr>
            <w:tcW w:w="1488" w:type="dxa"/>
            <w:tcMar>
              <w:left w:w="28" w:type="dxa"/>
              <w:right w:w="28" w:type="dxa"/>
            </w:tcMar>
            <w:vAlign w:val="center"/>
          </w:tcPr>
          <w:p w14:paraId="214E6431">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本项目</w:t>
            </w:r>
          </w:p>
          <w:p w14:paraId="576669BA">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排放量（固体废物产生量）</w:t>
            </w: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4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kern w:val="2"/>
                <w:szCs w:val="21"/>
                <w:highlight w:val="none"/>
              </w:rPr>
              <w:t>④</w:t>
            </w:r>
            <w:r>
              <w:rPr>
                <w:rFonts w:hint="default" w:ascii="Times New Roman" w:hAnsi="Times New Roman" w:cs="Times New Roman"/>
                <w:bCs/>
                <w:snapToGrid w:val="0"/>
                <w:spacing w:val="-6"/>
                <w:kern w:val="21"/>
                <w:szCs w:val="21"/>
                <w:highlight w:val="none"/>
              </w:rPr>
              <w:fldChar w:fldCharType="end"/>
            </w:r>
          </w:p>
        </w:tc>
        <w:tc>
          <w:tcPr>
            <w:tcW w:w="1428" w:type="dxa"/>
            <w:tcMar>
              <w:left w:w="28" w:type="dxa"/>
              <w:right w:w="28" w:type="dxa"/>
            </w:tcMar>
            <w:vAlign w:val="center"/>
          </w:tcPr>
          <w:p w14:paraId="0EF2F66D">
            <w:pPr>
              <w:pStyle w:val="94"/>
              <w:spacing w:beforeLines="0" w:afterLines="0" w:line="240" w:lineRule="auto"/>
              <w:rPr>
                <w:rFonts w:hint="default" w:ascii="Times New Roman" w:hAnsi="Times New Roman" w:cs="Times New Roman"/>
                <w:bCs/>
                <w:snapToGrid w:val="0"/>
                <w:spacing w:val="-16"/>
                <w:kern w:val="21"/>
                <w:szCs w:val="21"/>
                <w:highlight w:val="none"/>
              </w:rPr>
            </w:pPr>
            <w:r>
              <w:rPr>
                <w:rFonts w:hint="default" w:ascii="Times New Roman" w:hAnsi="Times New Roman" w:cs="Times New Roman"/>
                <w:bCs/>
                <w:snapToGrid w:val="0"/>
                <w:spacing w:val="-16"/>
                <w:kern w:val="21"/>
                <w:szCs w:val="21"/>
                <w:highlight w:val="none"/>
              </w:rPr>
              <w:t>以新带老削减量</w:t>
            </w:r>
          </w:p>
          <w:p w14:paraId="19E47A55">
            <w:pPr>
              <w:pStyle w:val="94"/>
              <w:spacing w:beforeLines="0" w:afterLines="0" w:line="240" w:lineRule="auto"/>
              <w:rPr>
                <w:rFonts w:hint="default" w:ascii="Times New Roman" w:hAnsi="Times New Roman" w:cs="Times New Roman"/>
                <w:bCs/>
                <w:snapToGrid w:val="0"/>
                <w:spacing w:val="-16"/>
                <w:kern w:val="21"/>
                <w:szCs w:val="21"/>
                <w:highlight w:val="none"/>
              </w:rPr>
            </w:pPr>
            <w:r>
              <w:rPr>
                <w:rFonts w:hint="default" w:ascii="Times New Roman" w:hAnsi="Times New Roman" w:cs="Times New Roman"/>
                <w:bCs/>
                <w:snapToGrid w:val="0"/>
                <w:spacing w:val="-16"/>
                <w:kern w:val="21"/>
                <w:szCs w:val="21"/>
                <w:highlight w:val="none"/>
              </w:rPr>
              <w:t>（新建项目不填）</w:t>
            </w:r>
            <w:r>
              <w:rPr>
                <w:rFonts w:hint="default" w:ascii="Times New Roman" w:hAnsi="Times New Roman" w:cs="Times New Roman"/>
                <w:bCs/>
                <w:snapToGrid w:val="0"/>
                <w:spacing w:val="-16"/>
                <w:kern w:val="21"/>
                <w:szCs w:val="21"/>
                <w:highlight w:val="none"/>
              </w:rPr>
              <w:fldChar w:fldCharType="begin"/>
            </w:r>
            <w:r>
              <w:rPr>
                <w:rFonts w:hint="default" w:ascii="Times New Roman" w:hAnsi="Times New Roman" w:cs="Times New Roman"/>
                <w:bCs/>
                <w:snapToGrid w:val="0"/>
                <w:spacing w:val="-16"/>
                <w:kern w:val="21"/>
                <w:szCs w:val="21"/>
                <w:highlight w:val="none"/>
              </w:rPr>
              <w:instrText xml:space="preserve"> = 5 \* GB3 \* MERGEFORMAT </w:instrText>
            </w:r>
            <w:r>
              <w:rPr>
                <w:rFonts w:hint="default" w:ascii="Times New Roman" w:hAnsi="Times New Roman" w:cs="Times New Roman"/>
                <w:bCs/>
                <w:snapToGrid w:val="0"/>
                <w:spacing w:val="-16"/>
                <w:kern w:val="21"/>
                <w:szCs w:val="21"/>
                <w:highlight w:val="none"/>
              </w:rPr>
              <w:fldChar w:fldCharType="separate"/>
            </w:r>
            <w:r>
              <w:rPr>
                <w:rFonts w:hint="default" w:ascii="Times New Roman" w:hAnsi="Times New Roman" w:cs="Times New Roman"/>
                <w:bCs/>
                <w:kern w:val="2"/>
                <w:szCs w:val="21"/>
                <w:highlight w:val="none"/>
              </w:rPr>
              <w:t>⑤</w:t>
            </w:r>
            <w:r>
              <w:rPr>
                <w:rFonts w:hint="default" w:ascii="Times New Roman" w:hAnsi="Times New Roman" w:cs="Times New Roman"/>
                <w:bCs/>
                <w:snapToGrid w:val="0"/>
                <w:spacing w:val="-16"/>
                <w:kern w:val="21"/>
                <w:szCs w:val="21"/>
                <w:highlight w:val="none"/>
              </w:rPr>
              <w:fldChar w:fldCharType="end"/>
            </w:r>
          </w:p>
        </w:tc>
        <w:tc>
          <w:tcPr>
            <w:tcW w:w="1524" w:type="dxa"/>
            <w:tcMar>
              <w:left w:w="28" w:type="dxa"/>
              <w:right w:w="28" w:type="dxa"/>
            </w:tcMar>
            <w:vAlign w:val="center"/>
          </w:tcPr>
          <w:p w14:paraId="6D35D456">
            <w:pPr>
              <w:pStyle w:val="94"/>
              <w:spacing w:beforeLines="0" w:afterLines="0" w:line="240" w:lineRule="auto"/>
              <w:rPr>
                <w:rFonts w:hint="default" w:ascii="Times New Roman" w:hAnsi="Times New Roman" w:cs="Times New Roman"/>
                <w:bCs/>
                <w:snapToGrid w:val="0"/>
                <w:spacing w:val="-16"/>
                <w:kern w:val="21"/>
                <w:szCs w:val="21"/>
                <w:highlight w:val="none"/>
              </w:rPr>
            </w:pPr>
            <w:r>
              <w:rPr>
                <w:rFonts w:hint="default" w:ascii="Times New Roman" w:hAnsi="Times New Roman" w:cs="Times New Roman"/>
                <w:bCs/>
                <w:snapToGrid w:val="0"/>
                <w:spacing w:val="-16"/>
                <w:kern w:val="21"/>
                <w:szCs w:val="21"/>
                <w:highlight w:val="none"/>
              </w:rPr>
              <w:t>本项目建成后</w:t>
            </w:r>
          </w:p>
          <w:p w14:paraId="451FCFB1">
            <w:pPr>
              <w:pStyle w:val="94"/>
              <w:spacing w:beforeLines="0" w:afterLines="0" w:line="240" w:lineRule="auto"/>
              <w:rPr>
                <w:rFonts w:hint="default" w:ascii="Times New Roman" w:hAnsi="Times New Roman" w:cs="Times New Roman"/>
                <w:bCs/>
                <w:snapToGrid w:val="0"/>
                <w:spacing w:val="-16"/>
                <w:kern w:val="21"/>
                <w:szCs w:val="21"/>
                <w:highlight w:val="none"/>
              </w:rPr>
            </w:pPr>
            <w:r>
              <w:rPr>
                <w:rFonts w:hint="default" w:ascii="Times New Roman" w:hAnsi="Times New Roman" w:cs="Times New Roman"/>
                <w:bCs/>
                <w:snapToGrid w:val="0"/>
                <w:spacing w:val="-16"/>
                <w:kern w:val="21"/>
                <w:szCs w:val="21"/>
                <w:highlight w:val="none"/>
              </w:rPr>
              <w:t>全厂排放量（固体废物产生量）</w:t>
            </w:r>
            <w:r>
              <w:rPr>
                <w:rFonts w:hint="default" w:ascii="Times New Roman" w:hAnsi="Times New Roman" w:cs="Times New Roman"/>
                <w:bCs/>
                <w:snapToGrid w:val="0"/>
                <w:spacing w:val="-16"/>
                <w:kern w:val="21"/>
                <w:szCs w:val="21"/>
                <w:highlight w:val="none"/>
              </w:rPr>
              <w:fldChar w:fldCharType="begin"/>
            </w:r>
            <w:r>
              <w:rPr>
                <w:rFonts w:hint="default" w:ascii="Times New Roman" w:hAnsi="Times New Roman" w:cs="Times New Roman"/>
                <w:bCs/>
                <w:snapToGrid w:val="0"/>
                <w:spacing w:val="-16"/>
                <w:kern w:val="21"/>
                <w:szCs w:val="21"/>
                <w:highlight w:val="none"/>
              </w:rPr>
              <w:instrText xml:space="preserve"> = 6 \* GB3 \* MERGEFORMAT </w:instrText>
            </w:r>
            <w:r>
              <w:rPr>
                <w:rFonts w:hint="default" w:ascii="Times New Roman" w:hAnsi="Times New Roman" w:cs="Times New Roman"/>
                <w:bCs/>
                <w:snapToGrid w:val="0"/>
                <w:spacing w:val="-16"/>
                <w:kern w:val="21"/>
                <w:szCs w:val="21"/>
                <w:highlight w:val="none"/>
              </w:rPr>
              <w:fldChar w:fldCharType="separate"/>
            </w:r>
            <w:r>
              <w:rPr>
                <w:rFonts w:hint="default" w:ascii="Times New Roman" w:hAnsi="Times New Roman" w:cs="Times New Roman"/>
                <w:bCs/>
                <w:kern w:val="2"/>
                <w:szCs w:val="21"/>
                <w:highlight w:val="none"/>
              </w:rPr>
              <w:t>⑥</w:t>
            </w:r>
            <w:r>
              <w:rPr>
                <w:rFonts w:hint="default" w:ascii="Times New Roman" w:hAnsi="Times New Roman" w:cs="Times New Roman"/>
                <w:bCs/>
                <w:snapToGrid w:val="0"/>
                <w:spacing w:val="-16"/>
                <w:kern w:val="21"/>
                <w:szCs w:val="21"/>
                <w:highlight w:val="none"/>
              </w:rPr>
              <w:fldChar w:fldCharType="end"/>
            </w:r>
          </w:p>
        </w:tc>
        <w:tc>
          <w:tcPr>
            <w:tcW w:w="1449" w:type="dxa"/>
            <w:tcMar>
              <w:left w:w="28" w:type="dxa"/>
              <w:right w:w="28" w:type="dxa"/>
            </w:tcMar>
            <w:vAlign w:val="center"/>
          </w:tcPr>
          <w:p w14:paraId="706F9B3B">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t>变化量</w:t>
            </w:r>
          </w:p>
          <w:p w14:paraId="04A30FC9">
            <w:pPr>
              <w:pStyle w:val="94"/>
              <w:spacing w:beforeLines="0" w:afterLines="0" w:line="240" w:lineRule="auto"/>
              <w:rPr>
                <w:rFonts w:hint="default" w:ascii="Times New Roman" w:hAnsi="Times New Roman" w:cs="Times New Roman"/>
                <w:bCs/>
                <w:snapToGrid w:val="0"/>
                <w:spacing w:val="-6"/>
                <w:kern w:val="21"/>
                <w:szCs w:val="21"/>
                <w:highlight w:val="none"/>
              </w:rPr>
            </w:pPr>
            <w:r>
              <w:rPr>
                <w:rFonts w:hint="default" w:ascii="Times New Roman" w:hAnsi="Times New Roman" w:cs="Times New Roman"/>
                <w:bCs/>
                <w:snapToGrid w:val="0"/>
                <w:spacing w:val="-6"/>
                <w:kern w:val="21"/>
                <w:szCs w:val="21"/>
                <w:highlight w:val="none"/>
              </w:rPr>
              <w:fldChar w:fldCharType="begin"/>
            </w:r>
            <w:r>
              <w:rPr>
                <w:rFonts w:hint="default" w:ascii="Times New Roman" w:hAnsi="Times New Roman" w:cs="Times New Roman"/>
                <w:bCs/>
                <w:snapToGrid w:val="0"/>
                <w:spacing w:val="-6"/>
                <w:kern w:val="21"/>
                <w:szCs w:val="21"/>
                <w:highlight w:val="none"/>
              </w:rPr>
              <w:instrText xml:space="preserve"> = 7 \* GB3 \* MERGEFORMAT </w:instrText>
            </w:r>
            <w:r>
              <w:rPr>
                <w:rFonts w:hint="default" w:ascii="Times New Roman" w:hAnsi="Times New Roman" w:cs="Times New Roman"/>
                <w:bCs/>
                <w:snapToGrid w:val="0"/>
                <w:spacing w:val="-6"/>
                <w:kern w:val="21"/>
                <w:szCs w:val="21"/>
                <w:highlight w:val="none"/>
              </w:rPr>
              <w:fldChar w:fldCharType="separate"/>
            </w:r>
            <w:r>
              <w:rPr>
                <w:rFonts w:hint="default" w:ascii="Times New Roman" w:hAnsi="Times New Roman" w:cs="Times New Roman"/>
                <w:bCs/>
                <w:kern w:val="2"/>
                <w:szCs w:val="21"/>
                <w:highlight w:val="none"/>
              </w:rPr>
              <w:t>⑦</w:t>
            </w:r>
            <w:r>
              <w:rPr>
                <w:rFonts w:hint="default" w:ascii="Times New Roman" w:hAnsi="Times New Roman" w:cs="Times New Roman"/>
                <w:bCs/>
                <w:snapToGrid w:val="0"/>
                <w:spacing w:val="-6"/>
                <w:kern w:val="21"/>
                <w:szCs w:val="21"/>
                <w:highlight w:val="none"/>
              </w:rPr>
              <w:fldChar w:fldCharType="end"/>
            </w:r>
          </w:p>
        </w:tc>
      </w:tr>
      <w:tr w14:paraId="3EFFAD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restart"/>
            <w:vAlign w:val="center"/>
          </w:tcPr>
          <w:p w14:paraId="0E32D0F2">
            <w:pPr>
              <w:pStyle w:val="94"/>
              <w:spacing w:beforeLines="0" w:afterLines="0" w:line="240" w:lineRule="auto"/>
              <w:rPr>
                <w:rFonts w:hint="default" w:ascii="Times New Roman" w:hAnsi="Times New Roman" w:cs="Times New Roman"/>
                <w:snapToGrid w:val="0"/>
                <w:kern w:val="21"/>
                <w:szCs w:val="21"/>
                <w:highlight w:val="none"/>
              </w:rPr>
            </w:pPr>
            <w:r>
              <w:rPr>
                <w:rFonts w:hint="default" w:ascii="Times New Roman" w:hAnsi="Times New Roman" w:cs="Times New Roman"/>
                <w:snapToGrid w:val="0"/>
                <w:kern w:val="21"/>
                <w:szCs w:val="21"/>
                <w:highlight w:val="none"/>
              </w:rPr>
              <w:t>废气</w:t>
            </w:r>
          </w:p>
        </w:tc>
        <w:tc>
          <w:tcPr>
            <w:tcW w:w="2528" w:type="dxa"/>
            <w:gridSpan w:val="2"/>
            <w:shd w:val="clear" w:color="auto" w:fill="auto"/>
            <w:vAlign w:val="center"/>
          </w:tcPr>
          <w:p w14:paraId="4E869ADF">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VOCs</w:t>
            </w:r>
          </w:p>
        </w:tc>
        <w:tc>
          <w:tcPr>
            <w:tcW w:w="1619" w:type="dxa"/>
            <w:shd w:val="clear" w:color="auto" w:fill="auto"/>
            <w:vAlign w:val="center"/>
          </w:tcPr>
          <w:p w14:paraId="1CF03761">
            <w:pPr>
              <w:topLinePunct/>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0</w:t>
            </w:r>
          </w:p>
        </w:tc>
        <w:tc>
          <w:tcPr>
            <w:tcW w:w="1324" w:type="dxa"/>
            <w:shd w:val="clear" w:color="auto" w:fill="auto"/>
            <w:vAlign w:val="center"/>
          </w:tcPr>
          <w:p w14:paraId="468939F6">
            <w:pPr>
              <w:pStyle w:val="94"/>
              <w:spacing w:before="24" w:after="24"/>
              <w:rPr>
                <w:rFonts w:hint="default" w:ascii="Times New Roman" w:hAnsi="Times New Roman" w:cs="Times New Roman"/>
                <w:szCs w:val="21"/>
                <w:highlight w:val="none"/>
              </w:rPr>
            </w:pPr>
          </w:p>
        </w:tc>
        <w:tc>
          <w:tcPr>
            <w:tcW w:w="1698" w:type="dxa"/>
            <w:shd w:val="clear" w:color="auto" w:fill="auto"/>
            <w:vAlign w:val="center"/>
          </w:tcPr>
          <w:p w14:paraId="19817546">
            <w:pPr>
              <w:pStyle w:val="36"/>
              <w:spacing w:line="360" w:lineRule="exact"/>
              <w:jc w:val="center"/>
              <w:outlineLvl w:val="9"/>
              <w:rPr>
                <w:rFonts w:hint="default" w:ascii="Times New Roman" w:hAnsi="Times New Roman" w:eastAsia="宋体" w:cs="Times New Roman"/>
                <w:sz w:val="21"/>
                <w:szCs w:val="21"/>
                <w:highlight w:val="none"/>
              </w:rPr>
            </w:pPr>
          </w:p>
        </w:tc>
        <w:tc>
          <w:tcPr>
            <w:tcW w:w="1488" w:type="dxa"/>
            <w:shd w:val="clear" w:color="auto" w:fill="auto"/>
            <w:vAlign w:val="center"/>
          </w:tcPr>
          <w:p w14:paraId="167CCF48">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0.1</w:t>
            </w:r>
            <w:r>
              <w:rPr>
                <w:rFonts w:hint="eastAsia" w:cs="Times New Roman"/>
                <w:color w:val="000000"/>
                <w:highlight w:val="none"/>
                <w:lang w:val="en-US" w:eastAsia="zh-CN"/>
              </w:rPr>
              <w:t>76</w:t>
            </w:r>
            <w:r>
              <w:rPr>
                <w:rFonts w:hint="default" w:ascii="Times New Roman" w:hAnsi="Times New Roman" w:cs="Times New Roman"/>
                <w:highlight w:val="none"/>
              </w:rPr>
              <w:t>t/a</w:t>
            </w:r>
          </w:p>
        </w:tc>
        <w:tc>
          <w:tcPr>
            <w:tcW w:w="1428" w:type="dxa"/>
            <w:shd w:val="clear" w:color="auto" w:fill="auto"/>
            <w:vAlign w:val="center"/>
          </w:tcPr>
          <w:p w14:paraId="4D28B042">
            <w:pPr>
              <w:topLinePunct/>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0</w:t>
            </w:r>
          </w:p>
        </w:tc>
        <w:tc>
          <w:tcPr>
            <w:tcW w:w="1524" w:type="dxa"/>
            <w:shd w:val="clear" w:color="auto" w:fill="auto"/>
            <w:vAlign w:val="center"/>
          </w:tcPr>
          <w:p w14:paraId="2CFEA92C">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0.1</w:t>
            </w:r>
            <w:r>
              <w:rPr>
                <w:rFonts w:hint="eastAsia" w:cs="Times New Roman"/>
                <w:color w:val="000000"/>
                <w:highlight w:val="none"/>
                <w:lang w:val="en-US" w:eastAsia="zh-CN"/>
              </w:rPr>
              <w:t>76</w:t>
            </w:r>
            <w:r>
              <w:rPr>
                <w:rFonts w:hint="default" w:ascii="Times New Roman" w:hAnsi="Times New Roman" w:cs="Times New Roman"/>
                <w:highlight w:val="none"/>
              </w:rPr>
              <w:t>t/a</w:t>
            </w:r>
          </w:p>
        </w:tc>
        <w:tc>
          <w:tcPr>
            <w:tcW w:w="1449" w:type="dxa"/>
            <w:shd w:val="clear" w:color="auto" w:fill="auto"/>
            <w:vAlign w:val="center"/>
          </w:tcPr>
          <w:p w14:paraId="40ACC49E">
            <w:pPr>
              <w:pStyle w:val="283"/>
              <w:rPr>
                <w:rFonts w:hint="default" w:ascii="Times New Roman" w:hAnsi="Times New Roman" w:eastAsia="宋体" w:cs="Times New Roman"/>
                <w:color w:val="000000"/>
                <w:kern w:val="2"/>
                <w:sz w:val="21"/>
                <w:szCs w:val="21"/>
                <w:highlight w:val="none"/>
                <w:lang w:val="en-US" w:eastAsia="zh-CN" w:bidi="zh-CN"/>
              </w:rPr>
            </w:pP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rPr>
              <w:t>0.1</w:t>
            </w:r>
            <w:r>
              <w:rPr>
                <w:rFonts w:hint="eastAsia" w:cs="Times New Roman"/>
                <w:color w:val="000000"/>
                <w:highlight w:val="none"/>
                <w:lang w:val="en-US" w:eastAsia="zh-CN"/>
              </w:rPr>
              <w:t>76</w:t>
            </w:r>
            <w:r>
              <w:rPr>
                <w:rFonts w:hint="default" w:ascii="Times New Roman" w:hAnsi="Times New Roman" w:cs="Times New Roman"/>
                <w:highlight w:val="none"/>
              </w:rPr>
              <w:t>t/a</w:t>
            </w:r>
          </w:p>
        </w:tc>
      </w:tr>
      <w:tr w14:paraId="6F83D5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vAlign w:val="center"/>
          </w:tcPr>
          <w:p w14:paraId="71B97C1C">
            <w:pPr>
              <w:pStyle w:val="94"/>
              <w:spacing w:beforeLines="0" w:afterLines="0" w:line="240" w:lineRule="auto"/>
              <w:rPr>
                <w:rFonts w:hint="default" w:ascii="Times New Roman" w:hAnsi="Times New Roman" w:cs="Times New Roman"/>
                <w:snapToGrid w:val="0"/>
                <w:kern w:val="21"/>
                <w:szCs w:val="21"/>
                <w:highlight w:val="none"/>
              </w:rPr>
            </w:pPr>
          </w:p>
        </w:tc>
        <w:tc>
          <w:tcPr>
            <w:tcW w:w="2528" w:type="dxa"/>
            <w:gridSpan w:val="2"/>
            <w:shd w:val="clear" w:color="auto" w:fill="auto"/>
            <w:vAlign w:val="center"/>
          </w:tcPr>
          <w:p w14:paraId="73DB2472">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甲醇</w:t>
            </w:r>
          </w:p>
        </w:tc>
        <w:tc>
          <w:tcPr>
            <w:tcW w:w="1619" w:type="dxa"/>
            <w:shd w:val="clear" w:color="auto" w:fill="auto"/>
            <w:vAlign w:val="center"/>
          </w:tcPr>
          <w:p w14:paraId="3912275F">
            <w:pPr>
              <w:topLinePunct/>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0</w:t>
            </w:r>
          </w:p>
        </w:tc>
        <w:tc>
          <w:tcPr>
            <w:tcW w:w="1324" w:type="dxa"/>
            <w:shd w:val="clear" w:color="auto" w:fill="auto"/>
            <w:vAlign w:val="center"/>
          </w:tcPr>
          <w:p w14:paraId="087D2807">
            <w:pPr>
              <w:pStyle w:val="94"/>
              <w:spacing w:before="24" w:after="24"/>
              <w:rPr>
                <w:rFonts w:hint="default" w:ascii="Times New Roman" w:hAnsi="Times New Roman" w:cs="Times New Roman"/>
                <w:szCs w:val="21"/>
                <w:highlight w:val="none"/>
              </w:rPr>
            </w:pPr>
          </w:p>
        </w:tc>
        <w:tc>
          <w:tcPr>
            <w:tcW w:w="1698" w:type="dxa"/>
            <w:shd w:val="clear" w:color="auto" w:fill="auto"/>
            <w:vAlign w:val="center"/>
          </w:tcPr>
          <w:p w14:paraId="44755714">
            <w:pPr>
              <w:pStyle w:val="36"/>
              <w:spacing w:line="360" w:lineRule="exact"/>
              <w:jc w:val="center"/>
              <w:outlineLvl w:val="9"/>
              <w:rPr>
                <w:rFonts w:hint="default" w:ascii="Times New Roman" w:hAnsi="Times New Roman" w:eastAsia="宋体" w:cs="Times New Roman"/>
                <w:sz w:val="21"/>
                <w:szCs w:val="21"/>
                <w:highlight w:val="none"/>
              </w:rPr>
            </w:pPr>
          </w:p>
        </w:tc>
        <w:tc>
          <w:tcPr>
            <w:tcW w:w="1488" w:type="dxa"/>
            <w:shd w:val="clear" w:color="auto" w:fill="auto"/>
            <w:vAlign w:val="center"/>
          </w:tcPr>
          <w:p w14:paraId="649A7F7E">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0.08</w:t>
            </w:r>
            <w:r>
              <w:rPr>
                <w:rFonts w:hint="eastAsia" w:cs="Times New Roman"/>
                <w:color w:val="000000"/>
                <w:highlight w:val="none"/>
                <w:lang w:val="en-US" w:eastAsia="zh-CN"/>
              </w:rPr>
              <w:t>2</w:t>
            </w:r>
            <w:r>
              <w:rPr>
                <w:rFonts w:hint="default" w:ascii="Times New Roman" w:hAnsi="Times New Roman" w:cs="Times New Roman"/>
                <w:highlight w:val="none"/>
              </w:rPr>
              <w:t>t/a</w:t>
            </w:r>
          </w:p>
        </w:tc>
        <w:tc>
          <w:tcPr>
            <w:tcW w:w="1428" w:type="dxa"/>
            <w:shd w:val="clear" w:color="auto" w:fill="auto"/>
            <w:vAlign w:val="center"/>
          </w:tcPr>
          <w:p w14:paraId="1619EDD3">
            <w:pPr>
              <w:topLinePunct/>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0</w:t>
            </w:r>
          </w:p>
        </w:tc>
        <w:tc>
          <w:tcPr>
            <w:tcW w:w="1524" w:type="dxa"/>
            <w:shd w:val="clear" w:color="auto" w:fill="auto"/>
            <w:vAlign w:val="center"/>
          </w:tcPr>
          <w:p w14:paraId="7BC58473">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0.08</w:t>
            </w:r>
            <w:r>
              <w:rPr>
                <w:rFonts w:hint="eastAsia" w:cs="Times New Roman"/>
                <w:color w:val="000000"/>
                <w:highlight w:val="none"/>
                <w:lang w:val="en-US" w:eastAsia="zh-CN"/>
              </w:rPr>
              <w:t>2</w:t>
            </w:r>
            <w:r>
              <w:rPr>
                <w:rFonts w:hint="default" w:ascii="Times New Roman" w:hAnsi="Times New Roman" w:cs="Times New Roman"/>
                <w:highlight w:val="none"/>
              </w:rPr>
              <w:t>t/a</w:t>
            </w:r>
          </w:p>
        </w:tc>
        <w:tc>
          <w:tcPr>
            <w:tcW w:w="1449" w:type="dxa"/>
            <w:shd w:val="clear" w:color="auto" w:fill="auto"/>
            <w:vAlign w:val="center"/>
          </w:tcPr>
          <w:p w14:paraId="637736F2">
            <w:pPr>
              <w:pStyle w:val="283"/>
              <w:rPr>
                <w:rFonts w:hint="default" w:ascii="Times New Roman" w:hAnsi="Times New Roman" w:eastAsia="宋体" w:cs="Times New Roman"/>
                <w:color w:val="000000"/>
                <w:kern w:val="2"/>
                <w:sz w:val="21"/>
                <w:szCs w:val="21"/>
                <w:highlight w:val="none"/>
                <w:lang w:val="en-US" w:eastAsia="zh-CN" w:bidi="zh-CN"/>
              </w:rPr>
            </w:pP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rPr>
              <w:t>0.08</w:t>
            </w:r>
            <w:r>
              <w:rPr>
                <w:rFonts w:hint="eastAsia" w:cs="Times New Roman"/>
                <w:color w:val="000000"/>
                <w:highlight w:val="none"/>
                <w:lang w:val="en-US" w:eastAsia="zh-CN"/>
              </w:rPr>
              <w:t>2</w:t>
            </w:r>
            <w:r>
              <w:rPr>
                <w:rFonts w:hint="default" w:ascii="Times New Roman" w:hAnsi="Times New Roman" w:cs="Times New Roman"/>
                <w:highlight w:val="none"/>
              </w:rPr>
              <w:t>t/a</w:t>
            </w:r>
          </w:p>
        </w:tc>
      </w:tr>
      <w:tr w14:paraId="110249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vAlign w:val="center"/>
          </w:tcPr>
          <w:p w14:paraId="2FAEFFC8">
            <w:pPr>
              <w:pStyle w:val="94"/>
              <w:spacing w:beforeLines="0" w:afterLines="0" w:line="240" w:lineRule="auto"/>
              <w:rPr>
                <w:rFonts w:hint="default" w:ascii="Times New Roman" w:hAnsi="Times New Roman" w:cs="Times New Roman"/>
                <w:snapToGrid w:val="0"/>
                <w:kern w:val="21"/>
                <w:szCs w:val="21"/>
                <w:highlight w:val="none"/>
              </w:rPr>
            </w:pPr>
          </w:p>
        </w:tc>
        <w:tc>
          <w:tcPr>
            <w:tcW w:w="2528" w:type="dxa"/>
            <w:gridSpan w:val="2"/>
            <w:shd w:val="clear" w:color="auto" w:fill="auto"/>
            <w:vAlign w:val="center"/>
          </w:tcPr>
          <w:p w14:paraId="67976682">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正己烷</w:t>
            </w:r>
          </w:p>
        </w:tc>
        <w:tc>
          <w:tcPr>
            <w:tcW w:w="1619" w:type="dxa"/>
            <w:vAlign w:val="center"/>
          </w:tcPr>
          <w:p w14:paraId="364474AD">
            <w:pPr>
              <w:topLinePunct/>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0</w:t>
            </w:r>
          </w:p>
        </w:tc>
        <w:tc>
          <w:tcPr>
            <w:tcW w:w="1324" w:type="dxa"/>
            <w:vAlign w:val="center"/>
          </w:tcPr>
          <w:p w14:paraId="7B3CD674">
            <w:pPr>
              <w:pStyle w:val="94"/>
              <w:spacing w:before="24" w:after="24"/>
              <w:rPr>
                <w:rFonts w:hint="default" w:ascii="Times New Roman" w:hAnsi="Times New Roman" w:cs="Times New Roman"/>
                <w:szCs w:val="21"/>
                <w:highlight w:val="none"/>
              </w:rPr>
            </w:pPr>
          </w:p>
        </w:tc>
        <w:tc>
          <w:tcPr>
            <w:tcW w:w="1698" w:type="dxa"/>
            <w:vAlign w:val="center"/>
          </w:tcPr>
          <w:p w14:paraId="67FC1686">
            <w:pPr>
              <w:pStyle w:val="36"/>
              <w:spacing w:line="360" w:lineRule="exact"/>
              <w:jc w:val="center"/>
              <w:outlineLvl w:val="9"/>
              <w:rPr>
                <w:rFonts w:hint="default" w:ascii="Times New Roman" w:hAnsi="Times New Roman" w:eastAsia="宋体" w:cs="Times New Roman"/>
                <w:sz w:val="21"/>
                <w:szCs w:val="21"/>
                <w:highlight w:val="none"/>
              </w:rPr>
            </w:pPr>
          </w:p>
        </w:tc>
        <w:tc>
          <w:tcPr>
            <w:tcW w:w="1488" w:type="dxa"/>
            <w:shd w:val="clear" w:color="auto" w:fill="auto"/>
            <w:vAlign w:val="center"/>
          </w:tcPr>
          <w:p w14:paraId="4CF91295">
            <w:pPr>
              <w:pStyle w:val="283"/>
              <w:rPr>
                <w:rFonts w:hint="default" w:ascii="Times New Roman" w:hAnsi="Times New Roman" w:cs="Times New Roman"/>
                <w:color w:val="000000"/>
                <w:highlight w:val="none"/>
                <w:lang w:val="en-US"/>
              </w:rPr>
            </w:pPr>
            <w:r>
              <w:rPr>
                <w:rFonts w:hint="default" w:ascii="Times New Roman" w:hAnsi="Times New Roman" w:cs="Times New Roman"/>
                <w:color w:val="000000"/>
                <w:highlight w:val="none"/>
                <w:lang w:val="en-US"/>
              </w:rPr>
              <w:t>0.0</w:t>
            </w:r>
            <w:r>
              <w:rPr>
                <w:rFonts w:hint="eastAsia" w:cs="Times New Roman"/>
                <w:color w:val="000000"/>
                <w:highlight w:val="none"/>
                <w:lang w:val="en-US" w:eastAsia="zh-CN"/>
              </w:rPr>
              <w:t>28</w:t>
            </w:r>
            <w:r>
              <w:rPr>
                <w:rFonts w:hint="default" w:ascii="Times New Roman" w:hAnsi="Times New Roman" w:cs="Times New Roman"/>
                <w:highlight w:val="none"/>
              </w:rPr>
              <w:t>t/a</w:t>
            </w:r>
          </w:p>
        </w:tc>
        <w:tc>
          <w:tcPr>
            <w:tcW w:w="1428" w:type="dxa"/>
            <w:vAlign w:val="center"/>
          </w:tcPr>
          <w:p w14:paraId="0A4ABA4B">
            <w:pPr>
              <w:topLinePunct/>
              <w:adjustRightInd w:val="0"/>
              <w:snapToGrid w:val="0"/>
              <w:jc w:val="center"/>
              <w:rPr>
                <w:rFonts w:hint="default" w:ascii="Times New Roman" w:hAnsi="Times New Roman" w:cs="Times New Roman"/>
                <w:szCs w:val="21"/>
                <w:highlight w:val="none"/>
              </w:rPr>
            </w:pPr>
            <w:r>
              <w:rPr>
                <w:rFonts w:hint="default" w:ascii="Times New Roman" w:hAnsi="Times New Roman" w:cs="Times New Roman"/>
                <w:kern w:val="0"/>
                <w:szCs w:val="21"/>
                <w:highlight w:val="none"/>
              </w:rPr>
              <w:t>0</w:t>
            </w:r>
          </w:p>
        </w:tc>
        <w:tc>
          <w:tcPr>
            <w:tcW w:w="1524" w:type="dxa"/>
            <w:shd w:val="clear" w:color="auto" w:fill="auto"/>
            <w:vAlign w:val="center"/>
          </w:tcPr>
          <w:p w14:paraId="6FD992C1">
            <w:pPr>
              <w:pStyle w:val="283"/>
              <w:rPr>
                <w:rFonts w:hint="default" w:ascii="Times New Roman" w:hAnsi="Times New Roman" w:eastAsia="宋体" w:cs="Times New Roman"/>
                <w:color w:val="000000"/>
                <w:kern w:val="2"/>
                <w:sz w:val="21"/>
                <w:szCs w:val="21"/>
                <w:highlight w:val="none"/>
                <w:lang w:val="en-US" w:eastAsia="zh-CN" w:bidi="zh-CN"/>
              </w:rPr>
            </w:pPr>
            <w:r>
              <w:rPr>
                <w:rFonts w:hint="default" w:ascii="Times New Roman" w:hAnsi="Times New Roman" w:cs="Times New Roman"/>
                <w:color w:val="000000"/>
                <w:highlight w:val="none"/>
                <w:lang w:val="en-US"/>
              </w:rPr>
              <w:t>0.0</w:t>
            </w:r>
            <w:r>
              <w:rPr>
                <w:rFonts w:hint="eastAsia" w:cs="Times New Roman"/>
                <w:color w:val="000000"/>
                <w:highlight w:val="none"/>
                <w:lang w:val="en-US" w:eastAsia="zh-CN"/>
              </w:rPr>
              <w:t>28</w:t>
            </w:r>
            <w:r>
              <w:rPr>
                <w:rFonts w:hint="default" w:ascii="Times New Roman" w:hAnsi="Times New Roman" w:cs="Times New Roman"/>
                <w:highlight w:val="none"/>
              </w:rPr>
              <w:t>t/a</w:t>
            </w:r>
          </w:p>
        </w:tc>
        <w:tc>
          <w:tcPr>
            <w:tcW w:w="1449" w:type="dxa"/>
            <w:shd w:val="clear" w:color="auto" w:fill="auto"/>
            <w:vAlign w:val="center"/>
          </w:tcPr>
          <w:p w14:paraId="08DFE935">
            <w:pPr>
              <w:pStyle w:val="283"/>
              <w:rPr>
                <w:rFonts w:hint="default" w:ascii="Times New Roman" w:hAnsi="Times New Roman" w:eastAsia="宋体" w:cs="Times New Roman"/>
                <w:color w:val="000000"/>
                <w:kern w:val="2"/>
                <w:sz w:val="21"/>
                <w:szCs w:val="21"/>
                <w:highlight w:val="none"/>
                <w:lang w:val="en-US" w:eastAsia="zh-CN" w:bidi="zh-CN"/>
              </w:rPr>
            </w:pPr>
            <w:r>
              <w:rPr>
                <w:rFonts w:hint="eastAsia" w:ascii="Times New Roman" w:hAnsi="Times New Roman" w:cs="Times New Roman"/>
                <w:color w:val="000000"/>
                <w:highlight w:val="none"/>
                <w:lang w:val="en-US" w:eastAsia="zh-CN"/>
              </w:rPr>
              <w:t>+</w:t>
            </w:r>
            <w:r>
              <w:rPr>
                <w:rFonts w:hint="default" w:ascii="Times New Roman" w:hAnsi="Times New Roman" w:cs="Times New Roman"/>
                <w:color w:val="000000"/>
                <w:highlight w:val="none"/>
                <w:lang w:val="en-US"/>
              </w:rPr>
              <w:t>0.0</w:t>
            </w:r>
            <w:r>
              <w:rPr>
                <w:rFonts w:hint="eastAsia" w:cs="Times New Roman"/>
                <w:color w:val="000000"/>
                <w:highlight w:val="none"/>
                <w:lang w:val="en-US" w:eastAsia="zh-CN"/>
              </w:rPr>
              <w:t>28</w:t>
            </w:r>
            <w:r>
              <w:rPr>
                <w:rFonts w:hint="default" w:ascii="Times New Roman" w:hAnsi="Times New Roman" w:cs="Times New Roman"/>
                <w:highlight w:val="none"/>
              </w:rPr>
              <w:t>t/a</w:t>
            </w:r>
          </w:p>
        </w:tc>
      </w:tr>
      <w:tr w14:paraId="7B3869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restart"/>
            <w:vAlign w:val="center"/>
          </w:tcPr>
          <w:p w14:paraId="1FD35C9C">
            <w:pPr>
              <w:pStyle w:val="94"/>
              <w:spacing w:beforeLines="0" w:afterLines="0" w:line="240" w:lineRule="auto"/>
              <w:rPr>
                <w:rFonts w:hint="default" w:ascii="Times New Roman" w:hAnsi="Times New Roman" w:cs="Times New Roman"/>
                <w:snapToGrid w:val="0"/>
                <w:kern w:val="21"/>
                <w:szCs w:val="21"/>
                <w:highlight w:val="none"/>
              </w:rPr>
            </w:pPr>
            <w:r>
              <w:rPr>
                <w:rFonts w:hint="default" w:ascii="Times New Roman" w:hAnsi="Times New Roman" w:cs="Times New Roman"/>
                <w:snapToGrid w:val="0"/>
                <w:kern w:val="21"/>
                <w:szCs w:val="21"/>
                <w:highlight w:val="none"/>
              </w:rPr>
              <w:t>固体废物</w:t>
            </w:r>
          </w:p>
        </w:tc>
        <w:tc>
          <w:tcPr>
            <w:tcW w:w="1054" w:type="dxa"/>
            <w:vMerge w:val="restart"/>
            <w:shd w:val="clear" w:color="auto" w:fill="auto"/>
            <w:vAlign w:val="center"/>
          </w:tcPr>
          <w:p w14:paraId="0A947FB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危险废物</w:t>
            </w:r>
          </w:p>
        </w:tc>
        <w:tc>
          <w:tcPr>
            <w:tcW w:w="1474" w:type="dxa"/>
            <w:shd w:val="clear" w:color="auto" w:fill="auto"/>
            <w:vAlign w:val="center"/>
          </w:tcPr>
          <w:p w14:paraId="7DF3C440">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highlight w:val="none"/>
              </w:rPr>
              <w:t>废活性炭</w:t>
            </w:r>
          </w:p>
        </w:tc>
        <w:tc>
          <w:tcPr>
            <w:tcW w:w="1619" w:type="dxa"/>
            <w:shd w:val="clear" w:color="auto" w:fill="auto"/>
            <w:vAlign w:val="center"/>
          </w:tcPr>
          <w:p w14:paraId="0BBCBD5F">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0</w:t>
            </w:r>
          </w:p>
        </w:tc>
        <w:tc>
          <w:tcPr>
            <w:tcW w:w="1324" w:type="dxa"/>
            <w:shd w:val="clear" w:color="auto" w:fill="auto"/>
            <w:vAlign w:val="center"/>
          </w:tcPr>
          <w:p w14:paraId="62B98B33">
            <w:pPr>
              <w:pStyle w:val="283"/>
              <w:rPr>
                <w:rFonts w:hint="default" w:ascii="Times New Roman" w:hAnsi="Times New Roman" w:cs="Times New Roman"/>
                <w:highlight w:val="none"/>
                <w:lang w:val="en-US"/>
              </w:rPr>
            </w:pPr>
          </w:p>
        </w:tc>
        <w:tc>
          <w:tcPr>
            <w:tcW w:w="1698" w:type="dxa"/>
            <w:shd w:val="clear" w:color="auto" w:fill="auto"/>
            <w:vAlign w:val="center"/>
          </w:tcPr>
          <w:p w14:paraId="031E0B62">
            <w:pPr>
              <w:pStyle w:val="283"/>
              <w:rPr>
                <w:rFonts w:hint="default" w:ascii="Times New Roman" w:hAnsi="Times New Roman" w:cs="Times New Roman"/>
                <w:highlight w:val="none"/>
                <w:lang w:val="en-US"/>
              </w:rPr>
            </w:pPr>
          </w:p>
        </w:tc>
        <w:tc>
          <w:tcPr>
            <w:tcW w:w="1488" w:type="dxa"/>
            <w:shd w:val="clear" w:color="auto" w:fill="auto"/>
            <w:vAlign w:val="center"/>
          </w:tcPr>
          <w:p w14:paraId="32A758A3">
            <w:pPr>
              <w:pStyle w:val="283"/>
              <w:rPr>
                <w:rFonts w:hint="default" w:ascii="Times New Roman" w:hAnsi="Times New Roman" w:cs="Times New Roman"/>
                <w:highlight w:val="none"/>
                <w:lang w:val="en-US"/>
              </w:rPr>
            </w:pPr>
            <w:r>
              <w:rPr>
                <w:rFonts w:hint="eastAsia" w:cs="Times New Roman"/>
                <w:highlight w:val="none"/>
                <w:lang w:val="en-US" w:eastAsia="zh-CN"/>
              </w:rPr>
              <w:t>7.985</w:t>
            </w:r>
            <w:r>
              <w:rPr>
                <w:rFonts w:hint="default" w:ascii="Times New Roman" w:hAnsi="Times New Roman" w:cs="Times New Roman"/>
                <w:highlight w:val="none"/>
              </w:rPr>
              <w:t>t/a</w:t>
            </w:r>
          </w:p>
        </w:tc>
        <w:tc>
          <w:tcPr>
            <w:tcW w:w="1428" w:type="dxa"/>
            <w:shd w:val="clear" w:color="auto" w:fill="auto"/>
            <w:vAlign w:val="center"/>
          </w:tcPr>
          <w:p w14:paraId="59003B3C">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0</w:t>
            </w:r>
          </w:p>
        </w:tc>
        <w:tc>
          <w:tcPr>
            <w:tcW w:w="1524" w:type="dxa"/>
            <w:shd w:val="clear" w:color="auto" w:fill="auto"/>
            <w:vAlign w:val="center"/>
          </w:tcPr>
          <w:p w14:paraId="78ED4B5A">
            <w:pPr>
              <w:pStyle w:val="283"/>
              <w:rPr>
                <w:rFonts w:hint="default" w:ascii="Times New Roman" w:hAnsi="Times New Roman" w:cs="Times New Roman"/>
                <w:highlight w:val="none"/>
                <w:lang w:val="en-US"/>
              </w:rPr>
            </w:pPr>
            <w:r>
              <w:rPr>
                <w:rFonts w:hint="eastAsia" w:cs="Times New Roman"/>
                <w:highlight w:val="none"/>
                <w:lang w:val="en-US" w:eastAsia="zh-CN"/>
              </w:rPr>
              <w:t>7.985</w:t>
            </w:r>
            <w:r>
              <w:rPr>
                <w:rFonts w:hint="default" w:ascii="Times New Roman" w:hAnsi="Times New Roman" w:cs="Times New Roman"/>
                <w:highlight w:val="none"/>
              </w:rPr>
              <w:t>t/a</w:t>
            </w:r>
          </w:p>
        </w:tc>
        <w:tc>
          <w:tcPr>
            <w:tcW w:w="1449" w:type="dxa"/>
            <w:shd w:val="clear" w:color="auto" w:fill="auto"/>
            <w:vAlign w:val="center"/>
          </w:tcPr>
          <w:p w14:paraId="4270C4BD">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w:t>
            </w:r>
            <w:r>
              <w:rPr>
                <w:rFonts w:hint="eastAsia" w:cs="Times New Roman"/>
                <w:highlight w:val="none"/>
                <w:lang w:val="en-US" w:eastAsia="zh-CN"/>
              </w:rPr>
              <w:t>7.985</w:t>
            </w:r>
            <w:r>
              <w:rPr>
                <w:rFonts w:hint="default" w:ascii="Times New Roman" w:hAnsi="Times New Roman" w:cs="Times New Roman"/>
                <w:highlight w:val="none"/>
              </w:rPr>
              <w:t>t/a</w:t>
            </w:r>
          </w:p>
        </w:tc>
      </w:tr>
      <w:tr w14:paraId="72059C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0" w:type="dxa"/>
            <w:vMerge w:val="continue"/>
            <w:vAlign w:val="center"/>
          </w:tcPr>
          <w:p w14:paraId="3E22916E">
            <w:pPr>
              <w:pStyle w:val="94"/>
              <w:spacing w:beforeLines="0" w:afterLines="0" w:line="240" w:lineRule="auto"/>
              <w:rPr>
                <w:rFonts w:hint="default" w:ascii="Times New Roman" w:hAnsi="Times New Roman" w:cs="Times New Roman"/>
                <w:snapToGrid w:val="0"/>
                <w:kern w:val="21"/>
                <w:szCs w:val="21"/>
                <w:highlight w:val="none"/>
              </w:rPr>
            </w:pPr>
          </w:p>
        </w:tc>
        <w:tc>
          <w:tcPr>
            <w:tcW w:w="1054" w:type="dxa"/>
            <w:vMerge w:val="continue"/>
            <w:shd w:val="clear" w:color="auto" w:fill="auto"/>
            <w:vAlign w:val="center"/>
          </w:tcPr>
          <w:p w14:paraId="4F31F8E9">
            <w:pPr>
              <w:topLinePunct/>
              <w:adjustRightInd w:val="0"/>
              <w:snapToGrid w:val="0"/>
              <w:jc w:val="center"/>
              <w:rPr>
                <w:rFonts w:hint="default" w:ascii="Times New Roman" w:hAnsi="Times New Roman" w:cs="Times New Roman"/>
                <w:kern w:val="0"/>
                <w:szCs w:val="21"/>
                <w:highlight w:val="none"/>
              </w:rPr>
            </w:pPr>
          </w:p>
        </w:tc>
        <w:tc>
          <w:tcPr>
            <w:tcW w:w="1474" w:type="dxa"/>
            <w:shd w:val="clear" w:color="auto" w:fill="auto"/>
            <w:vAlign w:val="center"/>
          </w:tcPr>
          <w:p w14:paraId="4B26D537">
            <w:pPr>
              <w:topLinePunct/>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喷淋废水</w:t>
            </w:r>
          </w:p>
        </w:tc>
        <w:tc>
          <w:tcPr>
            <w:tcW w:w="1619" w:type="dxa"/>
            <w:shd w:val="clear" w:color="auto" w:fill="auto"/>
            <w:vAlign w:val="center"/>
          </w:tcPr>
          <w:p w14:paraId="2BCE7F44">
            <w:pPr>
              <w:topLinePunct/>
              <w:adjustRightInd w:val="0"/>
              <w:snapToGrid w:val="0"/>
              <w:jc w:val="center"/>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0</w:t>
            </w:r>
          </w:p>
        </w:tc>
        <w:tc>
          <w:tcPr>
            <w:tcW w:w="1324" w:type="dxa"/>
            <w:shd w:val="clear" w:color="auto" w:fill="auto"/>
            <w:vAlign w:val="center"/>
          </w:tcPr>
          <w:p w14:paraId="2BF516D7">
            <w:pPr>
              <w:pStyle w:val="283"/>
              <w:rPr>
                <w:rFonts w:hint="default" w:ascii="Times New Roman" w:hAnsi="Times New Roman" w:cs="Times New Roman"/>
                <w:highlight w:val="none"/>
                <w:lang w:val="en-US"/>
              </w:rPr>
            </w:pPr>
          </w:p>
        </w:tc>
        <w:tc>
          <w:tcPr>
            <w:tcW w:w="1698" w:type="dxa"/>
            <w:shd w:val="clear" w:color="auto" w:fill="auto"/>
            <w:vAlign w:val="center"/>
          </w:tcPr>
          <w:p w14:paraId="747A065A">
            <w:pPr>
              <w:pStyle w:val="283"/>
              <w:rPr>
                <w:rFonts w:hint="default" w:ascii="Times New Roman" w:hAnsi="Times New Roman" w:cs="Times New Roman"/>
                <w:highlight w:val="none"/>
                <w:lang w:val="en-US"/>
              </w:rPr>
            </w:pPr>
          </w:p>
        </w:tc>
        <w:tc>
          <w:tcPr>
            <w:tcW w:w="1488" w:type="dxa"/>
            <w:shd w:val="clear" w:color="auto" w:fill="auto"/>
            <w:vAlign w:val="center"/>
          </w:tcPr>
          <w:p w14:paraId="08529925">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4m</w:t>
            </w:r>
            <w:r>
              <w:rPr>
                <w:rFonts w:hint="default" w:ascii="Times New Roman" w:hAnsi="Times New Roman" w:cs="Times New Roman"/>
                <w:highlight w:val="none"/>
                <w:vertAlign w:val="superscript"/>
                <w:lang w:val="en-US"/>
              </w:rPr>
              <w:t>3</w:t>
            </w:r>
            <w:r>
              <w:rPr>
                <w:rFonts w:hint="default" w:ascii="Times New Roman" w:hAnsi="Times New Roman" w:cs="Times New Roman"/>
                <w:highlight w:val="none"/>
                <w:lang w:val="en-US"/>
              </w:rPr>
              <w:t>/a</w:t>
            </w:r>
          </w:p>
        </w:tc>
        <w:tc>
          <w:tcPr>
            <w:tcW w:w="1428" w:type="dxa"/>
            <w:shd w:val="clear" w:color="auto" w:fill="auto"/>
            <w:vAlign w:val="center"/>
          </w:tcPr>
          <w:p w14:paraId="63C9CA06">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0</w:t>
            </w:r>
          </w:p>
        </w:tc>
        <w:tc>
          <w:tcPr>
            <w:tcW w:w="1524" w:type="dxa"/>
            <w:shd w:val="clear" w:color="auto" w:fill="auto"/>
            <w:vAlign w:val="center"/>
          </w:tcPr>
          <w:p w14:paraId="4F58411D">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4m</w:t>
            </w:r>
            <w:r>
              <w:rPr>
                <w:rFonts w:hint="default" w:ascii="Times New Roman" w:hAnsi="Times New Roman" w:cs="Times New Roman"/>
                <w:highlight w:val="none"/>
                <w:vertAlign w:val="superscript"/>
                <w:lang w:val="en-US"/>
              </w:rPr>
              <w:t>3</w:t>
            </w:r>
            <w:r>
              <w:rPr>
                <w:rFonts w:hint="default" w:ascii="Times New Roman" w:hAnsi="Times New Roman" w:cs="Times New Roman"/>
                <w:highlight w:val="none"/>
                <w:lang w:val="en-US"/>
              </w:rPr>
              <w:t>/a</w:t>
            </w:r>
          </w:p>
        </w:tc>
        <w:tc>
          <w:tcPr>
            <w:tcW w:w="1449" w:type="dxa"/>
            <w:shd w:val="clear" w:color="auto" w:fill="auto"/>
            <w:vAlign w:val="center"/>
          </w:tcPr>
          <w:p w14:paraId="07C6D5D2">
            <w:pPr>
              <w:pStyle w:val="283"/>
              <w:rPr>
                <w:rFonts w:hint="default" w:ascii="Times New Roman" w:hAnsi="Times New Roman" w:cs="Times New Roman"/>
                <w:highlight w:val="none"/>
                <w:lang w:val="en-US"/>
              </w:rPr>
            </w:pPr>
            <w:r>
              <w:rPr>
                <w:rFonts w:hint="default" w:ascii="Times New Roman" w:hAnsi="Times New Roman" w:cs="Times New Roman"/>
                <w:highlight w:val="none"/>
                <w:lang w:val="en-US"/>
              </w:rPr>
              <w:t>+4m</w:t>
            </w:r>
            <w:r>
              <w:rPr>
                <w:rFonts w:hint="default" w:ascii="Times New Roman" w:hAnsi="Times New Roman" w:cs="Times New Roman"/>
                <w:highlight w:val="none"/>
                <w:vertAlign w:val="superscript"/>
                <w:lang w:val="en-US"/>
              </w:rPr>
              <w:t>3</w:t>
            </w:r>
            <w:r>
              <w:rPr>
                <w:rFonts w:hint="default" w:ascii="Times New Roman" w:hAnsi="Times New Roman" w:cs="Times New Roman"/>
                <w:highlight w:val="none"/>
                <w:lang w:val="en-US"/>
              </w:rPr>
              <w:t>/a</w:t>
            </w:r>
          </w:p>
        </w:tc>
      </w:tr>
      <w:bookmarkEnd w:id="5"/>
    </w:tbl>
    <w:p w14:paraId="5C4ED1D8">
      <w:pPr>
        <w:pStyle w:val="94"/>
        <w:spacing w:beforeLines="0" w:afterLines="0" w:line="240" w:lineRule="auto"/>
        <w:jc w:val="left"/>
        <w:rPr>
          <w:rFonts w:hint="default" w:ascii="Times New Roman" w:hAnsi="Times New Roman" w:eastAsia="黑体" w:cs="Times New Roman"/>
          <w:snapToGrid w:val="0"/>
          <w:spacing w:val="-6"/>
          <w:kern w:val="21"/>
          <w:szCs w:val="21"/>
          <w:highlight w:val="none"/>
        </w:rPr>
      </w:pPr>
      <w:r>
        <w:rPr>
          <w:rFonts w:hint="default" w:ascii="Times New Roman" w:hAnsi="Times New Roman" w:eastAsia="黑体" w:cs="Times New Roman"/>
          <w:snapToGrid w:val="0"/>
          <w:kern w:val="21"/>
          <w:szCs w:val="21"/>
          <w:highlight w:val="none"/>
        </w:rPr>
        <w:t>注：</w:t>
      </w:r>
      <w:r>
        <w:rPr>
          <w:rFonts w:hint="default" w:ascii="Times New Roman" w:hAnsi="Times New Roman" w:eastAsia="黑体" w:cs="Times New Roman"/>
          <w:snapToGrid w:val="0"/>
          <w:spacing w:val="-16"/>
          <w:kern w:val="21"/>
          <w:szCs w:val="21"/>
          <w:highlight w:val="none"/>
        </w:rPr>
        <w:fldChar w:fldCharType="begin"/>
      </w:r>
      <w:r>
        <w:rPr>
          <w:rFonts w:hint="default" w:ascii="Times New Roman" w:hAnsi="Times New Roman" w:eastAsia="黑体" w:cs="Times New Roman"/>
          <w:snapToGrid w:val="0"/>
          <w:spacing w:val="-16"/>
          <w:kern w:val="21"/>
          <w:szCs w:val="21"/>
          <w:highlight w:val="none"/>
        </w:rPr>
        <w:instrText xml:space="preserve"> = 6 \* GB3 \* MERGEFORMAT </w:instrText>
      </w:r>
      <w:r>
        <w:rPr>
          <w:rFonts w:hint="default" w:ascii="Times New Roman" w:hAnsi="Times New Roman" w:eastAsia="黑体" w:cs="Times New Roman"/>
          <w:snapToGrid w:val="0"/>
          <w:spacing w:val="-16"/>
          <w:kern w:val="21"/>
          <w:szCs w:val="21"/>
          <w:highlight w:val="none"/>
        </w:rPr>
        <w:fldChar w:fldCharType="separate"/>
      </w:r>
      <w:r>
        <w:rPr>
          <w:rFonts w:hint="default" w:ascii="Times New Roman" w:hAnsi="Times New Roman" w:eastAsia="黑体" w:cs="Times New Roman"/>
          <w:szCs w:val="21"/>
          <w:highlight w:val="none"/>
        </w:rPr>
        <w:t>⑥</w:t>
      </w:r>
      <w:r>
        <w:rPr>
          <w:rFonts w:hint="default" w:ascii="Times New Roman" w:hAnsi="Times New Roman" w:eastAsia="黑体" w:cs="Times New Roman"/>
          <w:snapToGrid w:val="0"/>
          <w:spacing w:val="-16"/>
          <w:kern w:val="21"/>
          <w:szCs w:val="21"/>
          <w:highlight w:val="none"/>
        </w:rPr>
        <w:fldChar w:fldCharType="end"/>
      </w:r>
      <w:r>
        <w:rPr>
          <w:rFonts w:hint="default" w:ascii="Times New Roman" w:hAnsi="Times New Roman" w:eastAsia="黑体" w:cs="Times New Roman"/>
          <w:snapToGrid w:val="0"/>
          <w:spacing w:val="-1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1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①</w:t>
      </w:r>
      <w:r>
        <w:rPr>
          <w:rFonts w:hint="default" w:ascii="Times New Roman" w:hAnsi="Times New Roman" w:eastAsia="黑体" w:cs="Times New Roman"/>
          <w:snapToGrid w:val="0"/>
          <w:spacing w:val="-6"/>
          <w:kern w:val="21"/>
          <w:szCs w:val="21"/>
          <w:highlight w:val="none"/>
        </w:rPr>
        <w:fldChar w:fldCharType="end"/>
      </w:r>
      <w:r>
        <w:rPr>
          <w:rFonts w:hint="default" w:ascii="Times New Roman" w:hAnsi="Times New Roman" w:eastAsia="黑体" w:cs="Times New Roman"/>
          <w:snapToGrid w:val="0"/>
          <w:spacing w:val="-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3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③</w:t>
      </w:r>
      <w:r>
        <w:rPr>
          <w:rFonts w:hint="default" w:ascii="Times New Roman" w:hAnsi="Times New Roman" w:eastAsia="黑体" w:cs="Times New Roman"/>
          <w:snapToGrid w:val="0"/>
          <w:spacing w:val="-6"/>
          <w:kern w:val="21"/>
          <w:szCs w:val="21"/>
          <w:highlight w:val="none"/>
        </w:rPr>
        <w:fldChar w:fldCharType="end"/>
      </w:r>
      <w:r>
        <w:rPr>
          <w:rFonts w:hint="default" w:ascii="Times New Roman" w:hAnsi="Times New Roman" w:eastAsia="黑体" w:cs="Times New Roman"/>
          <w:snapToGrid w:val="0"/>
          <w:spacing w:val="-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4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④</w:t>
      </w:r>
      <w:r>
        <w:rPr>
          <w:rFonts w:hint="default" w:ascii="Times New Roman" w:hAnsi="Times New Roman" w:eastAsia="黑体" w:cs="Times New Roman"/>
          <w:snapToGrid w:val="0"/>
          <w:spacing w:val="-6"/>
          <w:kern w:val="21"/>
          <w:szCs w:val="21"/>
          <w:highlight w:val="none"/>
        </w:rPr>
        <w:fldChar w:fldCharType="end"/>
      </w:r>
      <w:r>
        <w:rPr>
          <w:rFonts w:hint="default" w:ascii="Times New Roman" w:hAnsi="Times New Roman" w:eastAsia="黑体" w:cs="Times New Roman"/>
          <w:snapToGrid w:val="0"/>
          <w:spacing w:val="-6"/>
          <w:kern w:val="21"/>
          <w:szCs w:val="21"/>
          <w:highlight w:val="none"/>
        </w:rPr>
        <w:t>-</w:t>
      </w:r>
      <w:r>
        <w:rPr>
          <w:rFonts w:hint="default" w:ascii="Times New Roman" w:hAnsi="Times New Roman" w:eastAsia="黑体" w:cs="Times New Roman"/>
          <w:snapToGrid w:val="0"/>
          <w:spacing w:val="-16"/>
          <w:kern w:val="21"/>
          <w:szCs w:val="21"/>
          <w:highlight w:val="none"/>
        </w:rPr>
        <w:fldChar w:fldCharType="begin"/>
      </w:r>
      <w:r>
        <w:rPr>
          <w:rFonts w:hint="default" w:ascii="Times New Roman" w:hAnsi="Times New Roman" w:eastAsia="黑体" w:cs="Times New Roman"/>
          <w:snapToGrid w:val="0"/>
          <w:spacing w:val="-16"/>
          <w:kern w:val="21"/>
          <w:szCs w:val="21"/>
          <w:highlight w:val="none"/>
        </w:rPr>
        <w:instrText xml:space="preserve"> = 5 \* GB3 \* MERGEFORMAT </w:instrText>
      </w:r>
      <w:r>
        <w:rPr>
          <w:rFonts w:hint="default" w:ascii="Times New Roman" w:hAnsi="Times New Roman" w:eastAsia="黑体" w:cs="Times New Roman"/>
          <w:snapToGrid w:val="0"/>
          <w:spacing w:val="-16"/>
          <w:kern w:val="21"/>
          <w:szCs w:val="21"/>
          <w:highlight w:val="none"/>
        </w:rPr>
        <w:fldChar w:fldCharType="separate"/>
      </w:r>
      <w:r>
        <w:rPr>
          <w:rFonts w:hint="default" w:ascii="Times New Roman" w:hAnsi="Times New Roman" w:eastAsia="黑体" w:cs="Times New Roman"/>
          <w:szCs w:val="21"/>
          <w:highlight w:val="none"/>
        </w:rPr>
        <w:t>⑤</w:t>
      </w:r>
      <w:r>
        <w:rPr>
          <w:rFonts w:hint="default" w:ascii="Times New Roman" w:hAnsi="Times New Roman" w:eastAsia="黑体" w:cs="Times New Roman"/>
          <w:snapToGrid w:val="0"/>
          <w:spacing w:val="-16"/>
          <w:kern w:val="21"/>
          <w:szCs w:val="21"/>
          <w:highlight w:val="none"/>
        </w:rPr>
        <w:fldChar w:fldCharType="end"/>
      </w:r>
      <w:r>
        <w:rPr>
          <w:rFonts w:hint="default" w:ascii="Times New Roman" w:hAnsi="Times New Roman" w:eastAsia="黑体" w:cs="Times New Roman"/>
          <w:snapToGrid w:val="0"/>
          <w:spacing w:val="-1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7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⑦</w:t>
      </w:r>
      <w:r>
        <w:rPr>
          <w:rFonts w:hint="default" w:ascii="Times New Roman" w:hAnsi="Times New Roman" w:eastAsia="黑体" w:cs="Times New Roman"/>
          <w:snapToGrid w:val="0"/>
          <w:spacing w:val="-6"/>
          <w:kern w:val="21"/>
          <w:szCs w:val="21"/>
          <w:highlight w:val="none"/>
        </w:rPr>
        <w:fldChar w:fldCharType="end"/>
      </w:r>
      <w:r>
        <w:rPr>
          <w:rFonts w:hint="default" w:ascii="Times New Roman" w:hAnsi="Times New Roman" w:eastAsia="黑体" w:cs="Times New Roman"/>
          <w:snapToGrid w:val="0"/>
          <w:spacing w:val="-6"/>
          <w:kern w:val="21"/>
          <w:szCs w:val="21"/>
          <w:highlight w:val="none"/>
        </w:rPr>
        <w:t>=</w:t>
      </w:r>
      <w:r>
        <w:rPr>
          <w:rFonts w:hint="default" w:ascii="Times New Roman" w:hAnsi="Times New Roman" w:eastAsia="黑体" w:cs="Times New Roman"/>
          <w:snapToGrid w:val="0"/>
          <w:spacing w:val="-16"/>
          <w:kern w:val="21"/>
          <w:szCs w:val="21"/>
          <w:highlight w:val="none"/>
        </w:rPr>
        <w:fldChar w:fldCharType="begin"/>
      </w:r>
      <w:r>
        <w:rPr>
          <w:rFonts w:hint="default" w:ascii="Times New Roman" w:hAnsi="Times New Roman" w:eastAsia="黑体" w:cs="Times New Roman"/>
          <w:snapToGrid w:val="0"/>
          <w:spacing w:val="-16"/>
          <w:kern w:val="21"/>
          <w:szCs w:val="21"/>
          <w:highlight w:val="none"/>
        </w:rPr>
        <w:instrText xml:space="preserve"> = 6 \* GB3 \* MERGEFORMAT </w:instrText>
      </w:r>
      <w:r>
        <w:rPr>
          <w:rFonts w:hint="default" w:ascii="Times New Roman" w:hAnsi="Times New Roman" w:eastAsia="黑体" w:cs="Times New Roman"/>
          <w:snapToGrid w:val="0"/>
          <w:spacing w:val="-16"/>
          <w:kern w:val="21"/>
          <w:szCs w:val="21"/>
          <w:highlight w:val="none"/>
        </w:rPr>
        <w:fldChar w:fldCharType="separate"/>
      </w:r>
      <w:r>
        <w:rPr>
          <w:rFonts w:hint="default" w:ascii="Times New Roman" w:hAnsi="Times New Roman" w:eastAsia="黑体" w:cs="Times New Roman"/>
          <w:szCs w:val="21"/>
          <w:highlight w:val="none"/>
        </w:rPr>
        <w:t>⑥</w:t>
      </w:r>
      <w:r>
        <w:rPr>
          <w:rFonts w:hint="default" w:ascii="Times New Roman" w:hAnsi="Times New Roman" w:eastAsia="黑体" w:cs="Times New Roman"/>
          <w:snapToGrid w:val="0"/>
          <w:spacing w:val="-16"/>
          <w:kern w:val="21"/>
          <w:szCs w:val="21"/>
          <w:highlight w:val="none"/>
        </w:rPr>
        <w:fldChar w:fldCharType="end"/>
      </w:r>
      <w:r>
        <w:rPr>
          <w:rFonts w:hint="default" w:ascii="Times New Roman" w:hAnsi="Times New Roman" w:eastAsia="黑体" w:cs="Times New Roman"/>
          <w:snapToGrid w:val="0"/>
          <w:spacing w:val="-16"/>
          <w:kern w:val="21"/>
          <w:szCs w:val="21"/>
          <w:highlight w:val="none"/>
        </w:rPr>
        <w:t>-</w:t>
      </w:r>
      <w:r>
        <w:rPr>
          <w:rFonts w:hint="default" w:ascii="Times New Roman" w:hAnsi="Times New Roman" w:eastAsia="黑体" w:cs="Times New Roman"/>
          <w:snapToGrid w:val="0"/>
          <w:spacing w:val="-6"/>
          <w:kern w:val="21"/>
          <w:szCs w:val="21"/>
          <w:highlight w:val="none"/>
        </w:rPr>
        <w:fldChar w:fldCharType="begin"/>
      </w:r>
      <w:r>
        <w:rPr>
          <w:rFonts w:hint="default" w:ascii="Times New Roman" w:hAnsi="Times New Roman" w:eastAsia="黑体" w:cs="Times New Roman"/>
          <w:snapToGrid w:val="0"/>
          <w:spacing w:val="-6"/>
          <w:kern w:val="21"/>
          <w:szCs w:val="21"/>
          <w:highlight w:val="none"/>
        </w:rPr>
        <w:instrText xml:space="preserve"> = 1 \* GB3 \* MERGEFORMAT </w:instrText>
      </w:r>
      <w:r>
        <w:rPr>
          <w:rFonts w:hint="default" w:ascii="Times New Roman" w:hAnsi="Times New Roman" w:eastAsia="黑体" w:cs="Times New Roman"/>
          <w:snapToGrid w:val="0"/>
          <w:spacing w:val="-6"/>
          <w:kern w:val="21"/>
          <w:szCs w:val="21"/>
          <w:highlight w:val="none"/>
        </w:rPr>
        <w:fldChar w:fldCharType="separate"/>
      </w:r>
      <w:r>
        <w:rPr>
          <w:rFonts w:hint="default" w:ascii="Times New Roman" w:hAnsi="Times New Roman" w:eastAsia="黑体" w:cs="Times New Roman"/>
          <w:szCs w:val="21"/>
          <w:highlight w:val="none"/>
        </w:rPr>
        <w:t>①</w:t>
      </w:r>
      <w:r>
        <w:rPr>
          <w:rFonts w:hint="default" w:ascii="Times New Roman" w:hAnsi="Times New Roman" w:eastAsia="黑体" w:cs="Times New Roman"/>
          <w:snapToGrid w:val="0"/>
          <w:spacing w:val="-6"/>
          <w:kern w:val="21"/>
          <w:szCs w:val="21"/>
          <w:highlight w:val="none"/>
        </w:rPr>
        <w:fldChar w:fldCharType="end"/>
      </w:r>
    </w:p>
    <w:p w14:paraId="56D539FD">
      <w:pPr>
        <w:rPr>
          <w:rFonts w:hint="default" w:ascii="Times New Roman" w:hAnsi="Times New Roman" w:cs="Times New Roman"/>
          <w:highlight w:val="none"/>
        </w:rPr>
        <w:sectPr>
          <w:footerReference r:id="rId8" w:type="default"/>
          <w:type w:val="continuous"/>
          <w:pgSz w:w="16840" w:h="11907" w:orient="landscape"/>
          <w:pgMar w:top="1077" w:right="1440" w:bottom="1077" w:left="1440" w:header="851" w:footer="850" w:gutter="0"/>
          <w:cols w:space="0" w:num="1"/>
          <w:docGrid w:linePitch="312" w:charSpace="0"/>
        </w:sectPr>
      </w:pPr>
    </w:p>
    <w:p w14:paraId="4D1E75AD">
      <w:pPr>
        <w:autoSpaceDE w:val="0"/>
        <w:autoSpaceDN w:val="0"/>
        <w:adjustRightInd w:val="0"/>
        <w:rPr>
          <w:rFonts w:hint="default" w:ascii="Times New Roman" w:hAnsi="Times New Roman" w:eastAsia="黑体" w:cs="Times New Roman"/>
          <w:highlight w:val="none"/>
        </w:rPr>
        <w:sectPr>
          <w:type w:val="continuous"/>
          <w:pgSz w:w="16840" w:h="11907" w:orient="landscape"/>
          <w:pgMar w:top="1077" w:right="1440" w:bottom="1077" w:left="1440" w:header="851" w:footer="850" w:gutter="0"/>
          <w:cols w:space="0" w:num="1"/>
          <w:docGrid w:linePitch="312" w:charSpace="0"/>
        </w:sectPr>
      </w:pPr>
    </w:p>
    <w:p w14:paraId="249554BA">
      <w:pPr>
        <w:rPr>
          <w:rFonts w:hint="default" w:ascii="Times New Roman" w:hAnsi="Times New Roman" w:cs="Times New Roman"/>
          <w:b/>
          <w:bCs/>
          <w:color w:val="000000"/>
          <w:highlight w:val="none"/>
        </w:rPr>
      </w:pPr>
      <w:r>
        <w:rPr>
          <w:rFonts w:hint="default" w:ascii="Times New Roman" w:hAnsi="Times New Roman" w:cs="Times New Roman"/>
          <w:highlight w:val="none"/>
        </w:rPr>
        <mc:AlternateContent>
          <mc:Choice Requires="wps">
            <w:drawing>
              <wp:anchor distT="0" distB="0" distL="114300" distR="114300" simplePos="0" relativeHeight="251674624" behindDoc="0" locked="0" layoutInCell="1" allowOverlap="1">
                <wp:simplePos x="0" y="0"/>
                <wp:positionH relativeFrom="column">
                  <wp:posOffset>3121025</wp:posOffset>
                </wp:positionH>
                <wp:positionV relativeFrom="paragraph">
                  <wp:posOffset>8502015</wp:posOffset>
                </wp:positionV>
                <wp:extent cx="419100" cy="254000"/>
                <wp:effectExtent l="0" t="0" r="0" b="0"/>
                <wp:wrapNone/>
                <wp:docPr id="982769907" name="矩形 46"/>
                <wp:cNvGraphicFramePr/>
                <a:graphic xmlns:a="http://schemas.openxmlformats.org/drawingml/2006/main">
                  <a:graphicData uri="http://schemas.microsoft.com/office/word/2010/wordprocessingShape">
                    <wps:wsp>
                      <wps:cNvSpPr/>
                      <wps:spPr>
                        <a:xfrm>
                          <a:off x="0" y="0"/>
                          <a:ext cx="419100" cy="254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46" o:spid="_x0000_s1026" o:spt="1" style="position:absolute;left:0pt;margin-left:245.75pt;margin-top:669.45pt;height:20pt;width:33pt;z-index:251674624;v-text-anchor:middle;mso-width-relative:page;mso-height-relative:page;" fillcolor="#FFFFFF [3212]" filled="t" stroked="f" coordsize="21600,21600" o:gfxdata="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FnfGF2gAAAA0BAAAPAAAAAAAAAAEAIAAAACIAAABkcnMvZG93&#10;bnJldi54bWxQSwECFAAUAAAACACHTuJA6OIfanACAADTBAAADgAAAAAAAAABACAAAAApAQAAZHJz&#10;L2Uyb0RvYy54bWxQSwUGAAAAAAYABgBZAQAACwY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highlight w:val="none"/>
        </w:rPr>
        <w:t>附件1 委托书</w:t>
      </w:r>
    </w:p>
    <w:p w14:paraId="0FE0261C">
      <w:pPr>
        <w:adjustRightInd w:val="0"/>
        <w:snapToGrid w:val="0"/>
        <w:ind w:firstLine="964"/>
        <w:jc w:val="center"/>
        <w:rPr>
          <w:rFonts w:hint="default" w:ascii="Times New Roman" w:hAnsi="Times New Roman" w:cs="Times New Roman"/>
          <w:b/>
          <w:bCs/>
          <w:color w:val="000000"/>
          <w:sz w:val="48"/>
          <w:szCs w:val="48"/>
          <w:highlight w:val="none"/>
        </w:rPr>
      </w:pPr>
    </w:p>
    <w:p w14:paraId="2522BF0A">
      <w:pPr>
        <w:spacing w:before="114" w:line="228" w:lineRule="auto"/>
        <w:jc w:val="center"/>
        <w:rPr>
          <w:rFonts w:hint="default" w:ascii="Times New Roman" w:hAnsi="Times New Roman" w:eastAsia="黑体" w:cs="Times New Roman"/>
          <w:sz w:val="35"/>
          <w:szCs w:val="35"/>
          <w:highlight w:val="none"/>
        </w:rPr>
      </w:pPr>
      <w:r>
        <w:rPr>
          <w:rFonts w:hint="default" w:ascii="Times New Roman" w:hAnsi="Times New Roman" w:eastAsia="黑体" w:cs="Times New Roman"/>
          <w:spacing w:val="-4"/>
          <w:sz w:val="44"/>
          <w:szCs w:val="44"/>
          <w:highlight w:val="none"/>
        </w:rPr>
        <w:t>委</w:t>
      </w:r>
      <w:r>
        <w:rPr>
          <w:rFonts w:hint="default" w:ascii="Times New Roman" w:hAnsi="Times New Roman" w:eastAsia="黑体" w:cs="Times New Roman"/>
          <w:spacing w:val="21"/>
          <w:sz w:val="44"/>
          <w:szCs w:val="44"/>
          <w:highlight w:val="none"/>
        </w:rPr>
        <w:t xml:space="preserve"> </w:t>
      </w:r>
      <w:r>
        <w:rPr>
          <w:rFonts w:hint="default" w:ascii="Times New Roman" w:hAnsi="Times New Roman" w:eastAsia="黑体" w:cs="Times New Roman"/>
          <w:spacing w:val="-4"/>
          <w:sz w:val="44"/>
          <w:szCs w:val="44"/>
          <w:highlight w:val="none"/>
        </w:rPr>
        <w:t>托</w:t>
      </w:r>
      <w:r>
        <w:rPr>
          <w:rFonts w:hint="default" w:ascii="Times New Roman" w:hAnsi="Times New Roman" w:eastAsia="黑体" w:cs="Times New Roman"/>
          <w:spacing w:val="33"/>
          <w:sz w:val="44"/>
          <w:szCs w:val="44"/>
          <w:highlight w:val="none"/>
        </w:rPr>
        <w:t xml:space="preserve"> </w:t>
      </w:r>
      <w:r>
        <w:rPr>
          <w:rFonts w:hint="default" w:ascii="Times New Roman" w:hAnsi="Times New Roman" w:eastAsia="黑体" w:cs="Times New Roman"/>
          <w:spacing w:val="-4"/>
          <w:sz w:val="44"/>
          <w:szCs w:val="44"/>
          <w:highlight w:val="none"/>
        </w:rPr>
        <w:t>书</w:t>
      </w:r>
    </w:p>
    <w:p w14:paraId="4107A552">
      <w:pPr>
        <w:pStyle w:val="15"/>
        <w:spacing w:line="254" w:lineRule="auto"/>
        <w:ind w:firstLine="420"/>
        <w:rPr>
          <w:rFonts w:hint="default" w:ascii="Times New Roman" w:hAnsi="Times New Roman" w:cs="Times New Roman"/>
          <w:highlight w:val="none"/>
        </w:rPr>
      </w:pPr>
    </w:p>
    <w:p w14:paraId="5D5E0797">
      <w:pPr>
        <w:pStyle w:val="15"/>
        <w:spacing w:line="254" w:lineRule="auto"/>
        <w:ind w:firstLine="420"/>
        <w:rPr>
          <w:rFonts w:hint="default" w:ascii="Times New Roman" w:hAnsi="Times New Roman" w:cs="Times New Roman"/>
          <w:highlight w:val="none"/>
        </w:rPr>
      </w:pPr>
    </w:p>
    <w:p w14:paraId="7B560CA9">
      <w:pPr>
        <w:pStyle w:val="15"/>
        <w:spacing w:line="254" w:lineRule="auto"/>
        <w:ind w:firstLine="420"/>
        <w:rPr>
          <w:rFonts w:hint="default" w:ascii="Times New Roman" w:hAnsi="Times New Roman" w:cs="Times New Roman"/>
          <w:highlight w:val="none"/>
        </w:rPr>
      </w:pPr>
    </w:p>
    <w:p w14:paraId="2F30A34F">
      <w:pPr>
        <w:spacing w:before="91" w:line="360" w:lineRule="auto"/>
        <w:rPr>
          <w:rFonts w:hint="default" w:ascii="Times New Roman" w:hAnsi="Times New Roman" w:cs="Times New Roman"/>
          <w:sz w:val="28"/>
          <w:szCs w:val="28"/>
          <w:highlight w:val="none"/>
        </w:rPr>
      </w:pPr>
      <w:r>
        <w:rPr>
          <w:rFonts w:hint="default" w:ascii="Times New Roman" w:hAnsi="Times New Roman" w:cs="Times New Roman"/>
          <w:spacing w:val="-2"/>
          <w:sz w:val="28"/>
          <w:szCs w:val="28"/>
          <w:highlight w:val="none"/>
        </w:rPr>
        <w:t>山东星途大海工程项目管理咨询有限公司：</w:t>
      </w:r>
    </w:p>
    <w:p w14:paraId="77F5E789">
      <w:pPr>
        <w:spacing w:before="91" w:line="411" w:lineRule="auto"/>
        <w:ind w:left="26" w:right="50" w:firstLine="568"/>
        <w:rPr>
          <w:rFonts w:hint="default" w:ascii="Times New Roman" w:hAnsi="Times New Roman" w:cs="Times New Roman"/>
          <w:sz w:val="28"/>
          <w:szCs w:val="28"/>
          <w:highlight w:val="none"/>
        </w:rPr>
      </w:pPr>
      <w:r>
        <w:rPr>
          <w:rFonts w:hint="default" w:ascii="Times New Roman" w:hAnsi="Times New Roman" w:cs="Times New Roman"/>
          <w:spacing w:val="2"/>
          <w:sz w:val="28"/>
          <w:szCs w:val="28"/>
          <w:highlight w:val="none"/>
        </w:rPr>
        <w:t>根据《中华人民共和国环境影响评价法》和有关环境保护法律</w:t>
      </w:r>
      <w:r>
        <w:rPr>
          <w:rFonts w:hint="default" w:ascii="Times New Roman" w:hAnsi="Times New Roman" w:cs="Times New Roman"/>
          <w:spacing w:val="-4"/>
          <w:sz w:val="28"/>
          <w:szCs w:val="28"/>
          <w:highlight w:val="none"/>
        </w:rPr>
        <w:t>法规的要求，</w:t>
      </w:r>
      <w:r>
        <w:rPr>
          <w:rFonts w:hint="default" w:ascii="Times New Roman" w:hAnsi="Times New Roman" w:cs="Times New Roman"/>
          <w:spacing w:val="-4"/>
          <w:sz w:val="28"/>
          <w:szCs w:val="28"/>
          <w:highlight w:val="none"/>
          <w:u w:val="single"/>
        </w:rPr>
        <w:t>10万吨/年净水剂药剂生产项目</w:t>
      </w:r>
      <w:r>
        <w:rPr>
          <w:rFonts w:hint="default" w:ascii="Times New Roman" w:hAnsi="Times New Roman" w:cs="Times New Roman"/>
          <w:spacing w:val="-4"/>
          <w:sz w:val="28"/>
          <w:szCs w:val="28"/>
          <w:highlight w:val="none"/>
        </w:rPr>
        <w:t>需</w:t>
      </w:r>
      <w:r>
        <w:rPr>
          <w:rFonts w:hint="default" w:ascii="Times New Roman" w:hAnsi="Times New Roman" w:cs="Times New Roman"/>
          <w:spacing w:val="-5"/>
          <w:sz w:val="28"/>
          <w:szCs w:val="28"/>
          <w:highlight w:val="none"/>
        </w:rPr>
        <w:t>进行环境影响评价。兹委托贵单位承担该项目的环境影响评价工作，望接受委托后，</w:t>
      </w:r>
      <w:r>
        <w:rPr>
          <w:rFonts w:hint="default" w:ascii="Times New Roman" w:hAnsi="Times New Roman" w:cs="Times New Roman"/>
          <w:spacing w:val="-2"/>
          <w:sz w:val="28"/>
          <w:szCs w:val="28"/>
          <w:highlight w:val="none"/>
        </w:rPr>
        <w:t>尽快开展工作。</w:t>
      </w:r>
    </w:p>
    <w:p w14:paraId="2FC06ACE">
      <w:pPr>
        <w:pStyle w:val="15"/>
        <w:spacing w:line="287" w:lineRule="auto"/>
        <w:ind w:firstLine="420"/>
        <w:rPr>
          <w:rFonts w:hint="default" w:ascii="Times New Roman" w:hAnsi="Times New Roman" w:cs="Times New Roman"/>
          <w:highlight w:val="none"/>
        </w:rPr>
      </w:pPr>
    </w:p>
    <w:p w14:paraId="03CE3A61">
      <w:pPr>
        <w:pStyle w:val="15"/>
        <w:spacing w:line="287" w:lineRule="auto"/>
        <w:ind w:firstLine="420"/>
        <w:rPr>
          <w:rFonts w:hint="default" w:ascii="Times New Roman" w:hAnsi="Times New Roman" w:cs="Times New Roman"/>
          <w:highlight w:val="none"/>
        </w:rPr>
      </w:pPr>
    </w:p>
    <w:p w14:paraId="19A2510A">
      <w:pPr>
        <w:pStyle w:val="15"/>
        <w:spacing w:line="287" w:lineRule="auto"/>
        <w:ind w:firstLine="420"/>
        <w:rPr>
          <w:rFonts w:hint="default" w:ascii="Times New Roman" w:hAnsi="Times New Roman" w:cs="Times New Roman"/>
          <w:highlight w:val="none"/>
        </w:rPr>
      </w:pPr>
    </w:p>
    <w:p w14:paraId="030BB026">
      <w:pPr>
        <w:pStyle w:val="15"/>
        <w:spacing w:line="288" w:lineRule="auto"/>
        <w:ind w:firstLine="420"/>
        <w:rPr>
          <w:rFonts w:hint="default" w:ascii="Times New Roman" w:hAnsi="Times New Roman" w:cs="Times New Roman"/>
          <w:highlight w:val="none"/>
        </w:rPr>
      </w:pPr>
    </w:p>
    <w:p w14:paraId="7271482A">
      <w:pPr>
        <w:pStyle w:val="15"/>
        <w:spacing w:line="288" w:lineRule="auto"/>
        <w:ind w:firstLine="420"/>
        <w:rPr>
          <w:rFonts w:hint="default" w:ascii="Times New Roman" w:hAnsi="Times New Roman" w:cs="Times New Roman"/>
          <w:highlight w:val="none"/>
        </w:rPr>
      </w:pPr>
    </w:p>
    <w:p w14:paraId="7EEA7375">
      <w:pPr>
        <w:spacing w:before="91" w:line="624" w:lineRule="exact"/>
        <w:ind w:right="71" w:firstLine="556"/>
        <w:jc w:val="right"/>
        <w:rPr>
          <w:rFonts w:hint="default" w:ascii="Times New Roman" w:hAnsi="Times New Roman" w:cs="Times New Roman"/>
          <w:sz w:val="28"/>
          <w:szCs w:val="28"/>
          <w:highlight w:val="none"/>
        </w:rPr>
      </w:pPr>
      <w:r>
        <w:rPr>
          <w:rFonts w:hint="default" w:ascii="Times New Roman" w:hAnsi="Times New Roman" w:cs="Times New Roman"/>
          <w:spacing w:val="-1"/>
          <w:position w:val="26"/>
          <w:sz w:val="28"/>
          <w:szCs w:val="28"/>
          <w:highlight w:val="none"/>
        </w:rPr>
        <w:t>委托单位：山东瑞海金山化学有限公司</w:t>
      </w:r>
    </w:p>
    <w:p w14:paraId="035C5E8C">
      <w:pPr>
        <w:ind w:right="1112" w:firstLine="556"/>
        <w:jc w:val="center"/>
        <w:rPr>
          <w:rFonts w:hint="default" w:ascii="Times New Roman" w:hAnsi="Times New Roman" w:cs="Times New Roman"/>
          <w:color w:val="000000"/>
          <w:szCs w:val="21"/>
          <w:highlight w:val="none"/>
        </w:rPr>
      </w:pPr>
      <w:r>
        <w:rPr>
          <w:rFonts w:hint="default" w:ascii="Times New Roman" w:hAnsi="Times New Roman" w:cs="Times New Roman"/>
          <w:spacing w:val="-1"/>
          <w:sz w:val="28"/>
          <w:szCs w:val="28"/>
          <w:highlight w:val="none"/>
        </w:rPr>
        <w:t xml:space="preserve">                    委托时间：</w:t>
      </w:r>
      <w:r>
        <w:rPr>
          <w:rFonts w:hint="default" w:ascii="Times New Roman" w:hAnsi="Times New Roman" w:eastAsia="Times New Roman" w:cs="Times New Roman"/>
          <w:spacing w:val="-1"/>
          <w:sz w:val="28"/>
          <w:szCs w:val="28"/>
          <w:highlight w:val="none"/>
        </w:rPr>
        <w:t>202</w:t>
      </w:r>
      <w:r>
        <w:rPr>
          <w:rFonts w:hint="default" w:ascii="Times New Roman" w:hAnsi="Times New Roman" w:cs="Times New Roman"/>
          <w:spacing w:val="-1"/>
          <w:sz w:val="28"/>
          <w:szCs w:val="28"/>
          <w:highlight w:val="none"/>
        </w:rPr>
        <w:t>6</w:t>
      </w:r>
      <w:r>
        <w:rPr>
          <w:rFonts w:hint="default" w:ascii="Times New Roman" w:hAnsi="Times New Roman" w:eastAsia="Times New Roman" w:cs="Times New Roman"/>
          <w:spacing w:val="-1"/>
          <w:sz w:val="28"/>
          <w:szCs w:val="28"/>
          <w:highlight w:val="none"/>
        </w:rPr>
        <w:t>年</w:t>
      </w:r>
      <w:r>
        <w:rPr>
          <w:rFonts w:hint="default" w:ascii="Times New Roman" w:hAnsi="Times New Roman" w:cs="Times New Roman"/>
          <w:spacing w:val="-1"/>
          <w:sz w:val="28"/>
          <w:szCs w:val="28"/>
          <w:highlight w:val="none"/>
        </w:rPr>
        <w:t>3</w:t>
      </w:r>
      <w:r>
        <w:rPr>
          <w:rFonts w:hint="default" w:ascii="Times New Roman" w:hAnsi="Times New Roman" w:eastAsia="Times New Roman" w:cs="Times New Roman"/>
          <w:spacing w:val="-1"/>
          <w:sz w:val="28"/>
          <w:szCs w:val="28"/>
          <w:highlight w:val="none"/>
        </w:rPr>
        <w:t>月</w:t>
      </w:r>
      <w:r>
        <w:rPr>
          <w:rFonts w:hint="default" w:ascii="Times New Roman" w:hAnsi="Times New Roman" w:cs="Times New Roman"/>
          <w:spacing w:val="-1"/>
          <w:sz w:val="28"/>
          <w:szCs w:val="28"/>
          <w:highlight w:val="none"/>
        </w:rPr>
        <w:t>2日</w:t>
      </w:r>
    </w:p>
    <w:p w14:paraId="09A3CAE6">
      <w:pPr>
        <w:jc w:val="left"/>
        <w:rPr>
          <w:rFonts w:hint="default" w:ascii="Times New Roman" w:hAnsi="Times New Roman" w:cs="Times New Roman"/>
          <w:b/>
          <w:bCs/>
          <w:color w:val="000000"/>
          <w:highlight w:val="none"/>
        </w:rPr>
      </w:pPr>
    </w:p>
    <w:p w14:paraId="6BAB8935">
      <w:pPr>
        <w:jc w:val="left"/>
        <w:rPr>
          <w:rFonts w:hint="default" w:ascii="Times New Roman" w:hAnsi="Times New Roman" w:cs="Times New Roman"/>
          <w:b/>
          <w:bCs/>
          <w:color w:val="000000"/>
          <w:highlight w:val="none"/>
        </w:rPr>
      </w:pPr>
    </w:p>
    <w:p w14:paraId="2EBBA42D">
      <w:pPr>
        <w:jc w:val="left"/>
        <w:rPr>
          <w:rFonts w:hint="default" w:ascii="Times New Roman" w:hAnsi="Times New Roman" w:cs="Times New Roman"/>
          <w:b/>
          <w:bCs/>
          <w:color w:val="000000"/>
          <w:highlight w:val="none"/>
        </w:rPr>
      </w:pPr>
    </w:p>
    <w:p w14:paraId="6F9617CE">
      <w:pPr>
        <w:jc w:val="left"/>
        <w:rPr>
          <w:rFonts w:hint="default" w:ascii="Times New Roman" w:hAnsi="Times New Roman" w:cs="Times New Roman"/>
          <w:b/>
          <w:bCs/>
          <w:color w:val="000000"/>
          <w:highlight w:val="none"/>
        </w:rPr>
      </w:pPr>
    </w:p>
    <w:p w14:paraId="6C1C2249">
      <w:pPr>
        <w:jc w:val="left"/>
        <w:rPr>
          <w:rFonts w:hint="default" w:ascii="Times New Roman" w:hAnsi="Times New Roman" w:cs="Times New Roman"/>
          <w:b/>
          <w:bCs/>
          <w:color w:val="000000"/>
          <w:highlight w:val="none"/>
        </w:rPr>
      </w:pPr>
    </w:p>
    <w:p w14:paraId="0E5C2C74">
      <w:pPr>
        <w:jc w:val="left"/>
        <w:rPr>
          <w:rFonts w:hint="default" w:ascii="Times New Roman" w:hAnsi="Times New Roman" w:cs="Times New Roman"/>
          <w:b/>
          <w:bCs/>
          <w:color w:val="000000"/>
          <w:highlight w:val="none"/>
        </w:rPr>
      </w:pPr>
    </w:p>
    <w:p w14:paraId="01222135">
      <w:pPr>
        <w:jc w:val="left"/>
        <w:rPr>
          <w:rFonts w:hint="default" w:ascii="Times New Roman" w:hAnsi="Times New Roman" w:cs="Times New Roman"/>
          <w:b/>
          <w:bCs/>
          <w:color w:val="000000"/>
          <w:highlight w:val="none"/>
        </w:rPr>
      </w:pPr>
    </w:p>
    <w:p w14:paraId="1560912C">
      <w:pPr>
        <w:jc w:val="left"/>
        <w:rPr>
          <w:rFonts w:hint="default" w:ascii="Times New Roman" w:hAnsi="Times New Roman" w:cs="Times New Roman"/>
          <w:b/>
          <w:bCs/>
          <w:color w:val="000000"/>
          <w:highlight w:val="none"/>
        </w:rPr>
      </w:pPr>
    </w:p>
    <w:p w14:paraId="34AE1130">
      <w:pP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br w:type="page"/>
      </w:r>
    </w:p>
    <w:p w14:paraId="14D6395E">
      <w:pPr>
        <w:pStyle w:val="15"/>
        <w:spacing w:line="255" w:lineRule="auto"/>
        <w:rPr>
          <w:rFonts w:hint="default" w:ascii="Times New Roman" w:hAnsi="Times New Roman" w:cs="Times New Roman"/>
          <w:b/>
          <w:bCs/>
          <w:color w:val="000000"/>
          <w:kern w:val="2"/>
          <w:sz w:val="21"/>
          <w:szCs w:val="24"/>
          <w:highlight w:val="none"/>
        </w:rPr>
      </w:pPr>
      <w:r>
        <w:rPr>
          <w:rFonts w:hint="default" w:ascii="Times New Roman" w:hAnsi="Times New Roman" w:cs="Times New Roman"/>
          <w:b/>
          <w:bCs/>
          <w:color w:val="000000"/>
          <w:kern w:val="2"/>
          <w:sz w:val="21"/>
          <w:szCs w:val="24"/>
          <w:highlight w:val="none"/>
        </w:rPr>
        <mc:AlternateContent>
          <mc:Choice Requires="wps">
            <w:drawing>
              <wp:anchor distT="0" distB="0" distL="114300" distR="114300" simplePos="0" relativeHeight="251675648" behindDoc="0" locked="0" layoutInCell="1" allowOverlap="1">
                <wp:simplePos x="0" y="0"/>
                <wp:positionH relativeFrom="column">
                  <wp:posOffset>2473325</wp:posOffset>
                </wp:positionH>
                <wp:positionV relativeFrom="paragraph">
                  <wp:posOffset>8853805</wp:posOffset>
                </wp:positionV>
                <wp:extent cx="488950" cy="203200"/>
                <wp:effectExtent l="0" t="0" r="6350" b="6350"/>
                <wp:wrapNone/>
                <wp:docPr id="594355494" name="矩形 54"/>
                <wp:cNvGraphicFramePr/>
                <a:graphic xmlns:a="http://schemas.openxmlformats.org/drawingml/2006/main">
                  <a:graphicData uri="http://schemas.microsoft.com/office/word/2010/wordprocessingShape">
                    <wps:wsp>
                      <wps:cNvSpPr/>
                      <wps:spPr>
                        <a:xfrm>
                          <a:off x="0" y="0"/>
                          <a:ext cx="488950" cy="203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4" o:spid="_x0000_s1026" o:spt="1" style="position:absolute;left:0pt;margin-left:194.75pt;margin-top:697.15pt;height:16pt;width:38.5pt;z-index:251675648;v-text-anchor:middle;mso-width-relative:page;mso-height-relative:page;" fillcolor="#FFFFFF [3212]" filled="t" stroked="f" coordsize="21600,21600" o:gfxdata="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61I2Z3AAAAA0BAAAPAAAAAAAAAAEAIAAAACIAAABkcnMv&#10;ZG93bnJldi54bWxQSwECFAAUAAAACACHTuJAjgxVE3ECAADTBAAADgAAAAAAAAABACAAAAArAQAA&#10;ZHJzL2Uyb0RvYy54bWxQSwUGAAAAAAYABgBZAQAADgY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kern w:val="2"/>
          <w:sz w:val="21"/>
          <w:szCs w:val="24"/>
          <w:highlight w:val="none"/>
        </w:rPr>
        <w:t>附件2  营业执照</w:t>
      </w:r>
    </w:p>
    <w:p w14:paraId="79637B96">
      <w:pPr>
        <w:spacing w:before="78" w:line="219" w:lineRule="auto"/>
        <w:ind w:left="42"/>
        <w:rPr>
          <w:rFonts w:hint="default" w:ascii="Times New Roman" w:hAnsi="Times New Roman" w:cs="Times New Roman"/>
          <w:spacing w:val="-8"/>
          <w:sz w:val="24"/>
          <w:highlight w:val="none"/>
        </w:rPr>
      </w:pPr>
      <w:r>
        <w:rPr>
          <w:rFonts w:hint="default" w:ascii="Times New Roman" w:hAnsi="Times New Roman" w:cs="Times New Roman"/>
          <w:highlight w:val="none"/>
        </w:rPr>
        <w:drawing>
          <wp:inline distT="0" distB="0" distL="114300" distR="114300">
            <wp:extent cx="5290185" cy="7550785"/>
            <wp:effectExtent l="0" t="0" r="5715" b="12065"/>
            <wp:docPr id="6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3"/>
                    <pic:cNvPicPr>
                      <a:picLocks noChangeAspect="1"/>
                    </pic:cNvPicPr>
                  </pic:nvPicPr>
                  <pic:blipFill>
                    <a:blip r:embed="rId53"/>
                    <a:stretch>
                      <a:fillRect/>
                    </a:stretch>
                  </pic:blipFill>
                  <pic:spPr>
                    <a:xfrm rot="10800000">
                      <a:off x="0" y="0"/>
                      <a:ext cx="5290185" cy="7550785"/>
                    </a:xfrm>
                    <a:prstGeom prst="rect">
                      <a:avLst/>
                    </a:prstGeom>
                    <a:noFill/>
                    <a:ln>
                      <a:noFill/>
                    </a:ln>
                  </pic:spPr>
                </pic:pic>
              </a:graphicData>
            </a:graphic>
          </wp:inline>
        </w:drawing>
      </w:r>
    </w:p>
    <w:p w14:paraId="78892708">
      <w:pPr>
        <w:spacing w:before="78" w:line="219" w:lineRule="auto"/>
        <w:ind w:left="42"/>
        <w:rPr>
          <w:rFonts w:hint="default" w:ascii="Times New Roman" w:hAnsi="Times New Roman" w:eastAsia="黑体" w:cs="Times New Roman"/>
          <w:spacing w:val="-4"/>
          <w:sz w:val="24"/>
          <w:highlight w:val="none"/>
        </w:rPr>
      </w:pPr>
      <w:r>
        <w:rPr>
          <w:rFonts w:hint="default" w:ascii="Times New Roman" w:hAnsi="Times New Roman" w:cs="Times New Roman"/>
          <w:highlight w:val="none"/>
        </w:rPr>
        <mc:AlternateContent>
          <mc:Choice Requires="wps">
            <w:drawing>
              <wp:anchor distT="0" distB="0" distL="114300" distR="114300" simplePos="0" relativeHeight="251661312" behindDoc="0" locked="0" layoutInCell="1" allowOverlap="1">
                <wp:simplePos x="0" y="0"/>
                <wp:positionH relativeFrom="column">
                  <wp:posOffset>2479675</wp:posOffset>
                </wp:positionH>
                <wp:positionV relativeFrom="paragraph">
                  <wp:posOffset>115570</wp:posOffset>
                </wp:positionV>
                <wp:extent cx="488950" cy="565150"/>
                <wp:effectExtent l="0" t="0" r="6350" b="6350"/>
                <wp:wrapNone/>
                <wp:docPr id="1840196119" name="矩形 54"/>
                <wp:cNvGraphicFramePr/>
                <a:graphic xmlns:a="http://schemas.openxmlformats.org/drawingml/2006/main">
                  <a:graphicData uri="http://schemas.microsoft.com/office/word/2010/wordprocessingShape">
                    <wps:wsp>
                      <wps:cNvSpPr/>
                      <wps:spPr>
                        <a:xfrm>
                          <a:off x="0" y="0"/>
                          <a:ext cx="488950" cy="5651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4" o:spid="_x0000_s1026" o:spt="1" style="position:absolute;left:0pt;margin-left:195.25pt;margin-top:9.1pt;height:44.5pt;width:38.5pt;z-index:251661312;v-text-anchor:middle;mso-width-relative:page;mso-height-relative:page;" fillcolor="#FFFFFF" filled="t" stroked="f" coordsize="21600,21600" o:gfxdata="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PA0Y6/ZAAAACgEAAA8AAAAAAAAA&#10;AQAgAAAAIgAAAGRycy9kb3ducmV2LnhtbFBLAQIUABQAAAAIAIdO4kC3Y4rcggIAAPIEAAAOAAAA&#10;AAAAAAEAIAAAACgBAABkcnMvZTJvRG9jLnhtbFBLBQYAAAAABgAGAFkBAAAcBgAAAAA=&#10;">
                <v:fill on="t" focussize="0,0"/>
                <v:stroke on="f" weight="1pt" miterlimit="8" joinstyle="miter"/>
                <v:imagedata o:title=""/>
                <o:lock v:ext="edit" aspectratio="f"/>
              </v:rect>
            </w:pict>
          </mc:Fallback>
        </mc:AlternateContent>
      </w:r>
      <w:r>
        <w:rPr>
          <w:rFonts w:hint="default" w:ascii="Times New Roman" w:hAnsi="Times New Roman" w:cs="Times New Roman"/>
          <w:spacing w:val="-8"/>
          <w:sz w:val="24"/>
          <w:highlight w:val="none"/>
        </w:rPr>
        <w:br w:type="page"/>
      </w:r>
    </w:p>
    <w:p w14:paraId="40AB57F7">
      <w:pPr>
        <w:pStyle w:val="15"/>
        <w:spacing w:line="255" w:lineRule="auto"/>
        <w:rPr>
          <w:rFonts w:hint="default" w:ascii="Times New Roman" w:hAnsi="Times New Roman" w:cs="Times New Roman"/>
          <w:highlight w:val="none"/>
        </w:r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82816" behindDoc="0" locked="0" layoutInCell="1" allowOverlap="1">
                <wp:simplePos x="0" y="0"/>
                <wp:positionH relativeFrom="column">
                  <wp:posOffset>2060575</wp:posOffset>
                </wp:positionH>
                <wp:positionV relativeFrom="paragraph">
                  <wp:posOffset>8495665</wp:posOffset>
                </wp:positionV>
                <wp:extent cx="704850" cy="285750"/>
                <wp:effectExtent l="0" t="0" r="0" b="0"/>
                <wp:wrapNone/>
                <wp:docPr id="1521695589" name="矩形 76"/>
                <wp:cNvGraphicFramePr/>
                <a:graphic xmlns:a="http://schemas.openxmlformats.org/drawingml/2006/main">
                  <a:graphicData uri="http://schemas.microsoft.com/office/word/2010/wordprocessingShape">
                    <wps:wsp>
                      <wps:cNvSpPr/>
                      <wps:spPr>
                        <a:xfrm>
                          <a:off x="0" y="0"/>
                          <a:ext cx="704850" cy="2857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162.25pt;margin-top:668.95pt;height:22.5pt;width:55.5pt;z-index:251682816;v-text-anchor:middle;mso-width-relative:page;mso-height-relative:page;" fillcolor="#FFFFFF" filled="t" stroked="f" coordsize="21600,21600" o:gfxdata="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5t+jc9sAAAANAQAADwAAAAAA&#10;AAABACAAAAAiAAAAZHJzL2Rvd25yZXYueG1sUEsBAhQAFAAAAAgAh07iQCMNGsWCAgAA8gQAAA4A&#10;AAAAAAAAAQAgAAAAKgEAAGRycy9lMm9Eb2MueG1sUEsFBgAAAAAGAAYAWQEAAB4GA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kern w:val="2"/>
          <w:sz w:val="21"/>
          <w:szCs w:val="24"/>
          <w:highlight w:val="none"/>
        </w:rPr>
        <mc:AlternateContent>
          <mc:Choice Requires="wps">
            <w:drawing>
              <wp:anchor distT="0" distB="0" distL="114300" distR="114300" simplePos="0" relativeHeight="251685888" behindDoc="0" locked="0" layoutInCell="1" allowOverlap="1">
                <wp:simplePos x="0" y="0"/>
                <wp:positionH relativeFrom="column">
                  <wp:posOffset>1851025</wp:posOffset>
                </wp:positionH>
                <wp:positionV relativeFrom="paragraph">
                  <wp:posOffset>8362315</wp:posOffset>
                </wp:positionV>
                <wp:extent cx="1390650" cy="609600"/>
                <wp:effectExtent l="0" t="0" r="0" b="0"/>
                <wp:wrapNone/>
                <wp:docPr id="84" name="矩形 59"/>
                <wp:cNvGraphicFramePr/>
                <a:graphic xmlns:a="http://schemas.openxmlformats.org/drawingml/2006/main">
                  <a:graphicData uri="http://schemas.microsoft.com/office/word/2010/wordprocessingShape">
                    <wps:wsp>
                      <wps:cNvSpPr/>
                      <wps:spPr>
                        <a:xfrm>
                          <a:off x="0" y="0"/>
                          <a:ext cx="1390650" cy="609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9" o:spid="_x0000_s1026" o:spt="1" style="position:absolute;left:0pt;margin-left:145.75pt;margin-top:658.45pt;height:48pt;width:109.5pt;z-index:251685888;v-text-anchor:middle;mso-width-relative:page;mso-height-relative:page;" fillcolor="#FFFFFF [3212]" filled="t" stroked="f" coordsize="21600,21600" o:gfxdata="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tlzP7bAAAADQEAAA8AAAAAAAAAAQAgAAAAIgAAAGRycy9kb3ducmV2&#10;LnhtbFBLAQIUABQAAAAIAIdO4kBQaKO9awIAAM0EAAAOAAAAAAAAAAEAIAAAACoBAABkcnMvZTJv&#10;RG9jLnhtbFBLBQYAAAAABgAGAFkBAAAHBg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kern w:val="2"/>
          <w:sz w:val="21"/>
          <w:szCs w:val="24"/>
          <w:highlight w:val="none"/>
        </w:rPr>
        <w:t>附件3  备案证明</w:t>
      </w:r>
      <w:r>
        <w:rPr>
          <w:rFonts w:hint="default" w:ascii="Times New Roman" w:hAnsi="Times New Roman" w:cs="Times New Roman"/>
          <w:highlight w:val="none"/>
        </w:rPr>
        <mc:AlternateContent>
          <mc:Choice Requires="wps">
            <w:drawing>
              <wp:anchor distT="0" distB="0" distL="114300" distR="114300" simplePos="0" relativeHeight="251662336" behindDoc="0" locked="0" layoutInCell="1" allowOverlap="1">
                <wp:simplePos x="0" y="0"/>
                <wp:positionH relativeFrom="column">
                  <wp:posOffset>2225675</wp:posOffset>
                </wp:positionH>
                <wp:positionV relativeFrom="paragraph">
                  <wp:posOffset>8406765</wp:posOffset>
                </wp:positionV>
                <wp:extent cx="488950" cy="203200"/>
                <wp:effectExtent l="0" t="0" r="6350" b="6350"/>
                <wp:wrapNone/>
                <wp:docPr id="458780680" name="矩形 54"/>
                <wp:cNvGraphicFramePr/>
                <a:graphic xmlns:a="http://schemas.openxmlformats.org/drawingml/2006/main">
                  <a:graphicData uri="http://schemas.microsoft.com/office/word/2010/wordprocessingShape">
                    <wps:wsp>
                      <wps:cNvSpPr/>
                      <wps:spPr>
                        <a:xfrm>
                          <a:off x="0" y="0"/>
                          <a:ext cx="488950" cy="2032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4" o:spid="_x0000_s1026" o:spt="1" style="position:absolute;left:0pt;margin-left:175.25pt;margin-top:661.95pt;height:16pt;width:38.5pt;z-index:251662336;v-text-anchor:middle;mso-width-relative:page;mso-height-relative:page;" fillcolor="#FFFFFF" filled="t" stroked="f" coordsize="21600,21600" o:gfxdata="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flId42wAAAA0BAAAPAAAAAAAA&#10;AAEAIAAAACIAAABkcnMvZG93bnJldi54bWxQSwECFAAUAAAACACHTuJAyK0UAYECAADxBAAADgAA&#10;AAAAAAABACAAAAAqAQAAZHJzL2Uyb0RvYy54bWxQSwUGAAAAAAYABgBZAQAAHQYAAAAA&#10;">
                <v:fill on="t" focussize="0,0"/>
                <v:stroke on="f" weight="1pt" miterlimit="8" joinstyle="miter"/>
                <v:imagedata o:title=""/>
                <o:lock v:ext="edit" aspectratio="f"/>
              </v:rect>
            </w:pict>
          </mc:Fallback>
        </mc:AlternateContent>
      </w:r>
    </w:p>
    <w:p w14:paraId="085A7487">
      <w:pPr>
        <w:spacing w:line="11736" w:lineRule="exact"/>
        <w:rPr>
          <w:rFonts w:hint="default" w:ascii="Times New Roman" w:hAnsi="Times New Roman" w:cs="Times New Roman"/>
          <w:highlight w:val="none"/>
        </w:rPr>
        <w:sectPr>
          <w:headerReference r:id="rId9" w:type="default"/>
          <w:footerReference r:id="rId10" w:type="default"/>
          <w:pgSz w:w="11906" w:h="16839"/>
          <w:pgMar w:top="1431" w:right="1785" w:bottom="1099" w:left="1785" w:header="0" w:footer="836" w:gutter="0"/>
          <w:cols w:space="720" w:num="1"/>
        </w:sectPr>
      </w:pPr>
      <w:r>
        <w:rPr>
          <w:rFonts w:hint="default" w:ascii="Times New Roman" w:hAnsi="Times New Roman" w:cs="Times New Roman"/>
          <w:highlight w:val="none"/>
        </w:rPr>
        <w:drawing>
          <wp:inline distT="0" distB="0" distL="114300" distR="114300">
            <wp:extent cx="5295900" cy="6125210"/>
            <wp:effectExtent l="0" t="0" r="0" b="8890"/>
            <wp:docPr id="6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2"/>
                    <pic:cNvPicPr>
                      <a:picLocks noChangeAspect="1"/>
                    </pic:cNvPicPr>
                  </pic:nvPicPr>
                  <pic:blipFill>
                    <a:blip r:embed="rId54"/>
                    <a:srcRect l="15715" t="6402" r="14538" b="21012"/>
                    <a:stretch>
                      <a:fillRect/>
                    </a:stretch>
                  </pic:blipFill>
                  <pic:spPr>
                    <a:xfrm>
                      <a:off x="0" y="0"/>
                      <a:ext cx="5295900" cy="6125210"/>
                    </a:xfrm>
                    <a:prstGeom prst="rect">
                      <a:avLst/>
                    </a:prstGeom>
                    <a:noFill/>
                    <a:ln>
                      <a:noFill/>
                    </a:ln>
                  </pic:spPr>
                </pic:pic>
              </a:graphicData>
            </a:graphic>
          </wp:inline>
        </w:drawing>
      </w:r>
    </w:p>
    <w:p w14:paraId="113511B3">
      <w:pPr>
        <w:pStyle w:val="15"/>
        <w:spacing w:line="255" w:lineRule="auto"/>
        <w:rPr>
          <w:rFonts w:hint="default" w:ascii="Times New Roman" w:hAnsi="Times New Roman" w:cs="Times New Roman"/>
          <w:b/>
          <w:bCs/>
          <w:color w:val="000000"/>
          <w:kern w:val="2"/>
          <w:sz w:val="21"/>
          <w:szCs w:val="24"/>
          <w:highlight w:val="none"/>
        </w:rPr>
      </w:pPr>
      <w:r>
        <w:rPr>
          <w:rFonts w:hint="default" w:ascii="Times New Roman" w:hAnsi="Times New Roman" w:cs="Times New Roman"/>
          <w:b/>
          <w:bCs/>
          <w:color w:val="000000"/>
          <w:kern w:val="2"/>
          <w:sz w:val="21"/>
          <w:szCs w:val="24"/>
          <w:highlight w:val="none"/>
        </w:rPr>
        <mc:AlternateContent>
          <mc:Choice Requires="wps">
            <w:drawing>
              <wp:anchor distT="0" distB="0" distL="114300" distR="114300" simplePos="0" relativeHeight="251677696" behindDoc="0" locked="0" layoutInCell="1" allowOverlap="1">
                <wp:simplePos x="0" y="0"/>
                <wp:positionH relativeFrom="column">
                  <wp:posOffset>1851025</wp:posOffset>
                </wp:positionH>
                <wp:positionV relativeFrom="paragraph">
                  <wp:posOffset>8362315</wp:posOffset>
                </wp:positionV>
                <wp:extent cx="1390650" cy="609600"/>
                <wp:effectExtent l="0" t="0" r="0" b="0"/>
                <wp:wrapNone/>
                <wp:docPr id="1988306847" name="矩形 59"/>
                <wp:cNvGraphicFramePr/>
                <a:graphic xmlns:a="http://schemas.openxmlformats.org/drawingml/2006/main">
                  <a:graphicData uri="http://schemas.microsoft.com/office/word/2010/wordprocessingShape">
                    <wps:wsp>
                      <wps:cNvSpPr/>
                      <wps:spPr>
                        <a:xfrm>
                          <a:off x="0" y="0"/>
                          <a:ext cx="1390650" cy="609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9" o:spid="_x0000_s1026" o:spt="1" style="position:absolute;left:0pt;margin-left:145.75pt;margin-top:658.45pt;height:48pt;width:109.5pt;z-index:251677696;v-text-anchor:middle;mso-width-relative:page;mso-height-relative:page;" fillcolor="#FFFFFF [3212]" filled="t" stroked="f" coordsize="21600,21600" o:gfxdata="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&#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tlzP7bAAAADQEAAA8AAAAAAAAAAQAgAAAAIgAAAGRy&#10;cy9kb3ducmV2LnhtbFBLAQIUABQAAAAIAIdO4kA+ruwkdAIAANUEAAAOAAAAAAAAAAEAIAAAACoB&#10;AABkcnMvZTJvRG9jLnhtbFBLBQYAAAAABgAGAFkBAAAQBg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kern w:val="2"/>
          <w:sz w:val="21"/>
          <w:szCs w:val="24"/>
          <w:highlight w:val="none"/>
        </w:rPr>
        <w:t>附件4  承诺书</w:t>
      </w:r>
    </w:p>
    <w:p w14:paraId="3BF4AB69">
      <w:pPr>
        <w:ind w:firstLine="883"/>
        <w:jc w:val="center"/>
        <w:rPr>
          <w:rFonts w:hint="default" w:ascii="Times New Roman" w:hAnsi="Times New Roman" w:cs="Times New Roman"/>
          <w:b/>
          <w:sz w:val="44"/>
          <w:szCs w:val="44"/>
          <w:highlight w:val="none"/>
        </w:rPr>
      </w:pPr>
    </w:p>
    <w:p w14:paraId="3460BB81">
      <w:pPr>
        <w:ind w:firstLine="1767" w:firstLineChars="400"/>
        <w:rPr>
          <w:rFonts w:hint="default" w:ascii="Times New Roman" w:hAnsi="Times New Roman" w:cs="Times New Roman"/>
          <w:b/>
          <w:sz w:val="44"/>
          <w:szCs w:val="44"/>
          <w:highlight w:val="none"/>
        </w:rPr>
      </w:pPr>
      <w:r>
        <w:rPr>
          <w:rFonts w:hint="default" w:ascii="Times New Roman" w:hAnsi="Times New Roman" w:cs="Times New Roman"/>
          <w:b/>
          <w:sz w:val="44"/>
          <w:szCs w:val="44"/>
          <w:highlight w:val="none"/>
        </w:rPr>
        <w:t>环境影响评价信息公开承诺书</w:t>
      </w:r>
    </w:p>
    <w:p w14:paraId="7E060DF7">
      <w:pPr>
        <w:ind w:firstLine="562"/>
        <w:rPr>
          <w:rFonts w:hint="default" w:ascii="Times New Roman" w:hAnsi="Times New Roman" w:cs="Times New Roman"/>
          <w:b/>
          <w:sz w:val="28"/>
          <w:szCs w:val="28"/>
          <w:highlight w:val="none"/>
        </w:rPr>
      </w:pPr>
    </w:p>
    <w:p w14:paraId="4952AF38">
      <w:pPr>
        <w:spacing w:before="100" w:line="476" w:lineRule="auto"/>
        <w:rPr>
          <w:rFonts w:hint="default" w:ascii="Times New Roman" w:hAnsi="Times New Roman" w:cs="Times New Roman"/>
          <w:bCs/>
          <w:sz w:val="32"/>
          <w:szCs w:val="32"/>
          <w:highlight w:val="none"/>
        </w:rPr>
      </w:pPr>
      <w:r>
        <w:rPr>
          <w:rFonts w:hint="default" w:ascii="Times New Roman" w:hAnsi="Times New Roman" w:cs="Times New Roman"/>
          <w:bCs/>
          <w:sz w:val="32"/>
          <w:szCs w:val="32"/>
          <w:highlight w:val="none"/>
        </w:rPr>
        <w:t>淄博市生态环境局临淄分局：</w:t>
      </w:r>
    </w:p>
    <w:p w14:paraId="0418E62B">
      <w:pPr>
        <w:spacing w:before="100" w:line="476" w:lineRule="auto"/>
        <w:ind w:left="23" w:firstLine="624"/>
        <w:rPr>
          <w:rFonts w:hint="default" w:ascii="Times New Roman" w:hAnsi="Times New Roman" w:cs="Times New Roman"/>
          <w:bCs/>
          <w:sz w:val="32"/>
          <w:szCs w:val="32"/>
          <w:highlight w:val="none"/>
        </w:rPr>
      </w:pPr>
      <w:r>
        <w:rPr>
          <w:rFonts w:hint="default" w:ascii="Times New Roman" w:hAnsi="Times New Roman" w:cs="Times New Roman"/>
          <w:bCs/>
          <w:sz w:val="32"/>
          <w:szCs w:val="32"/>
          <w:highlight w:val="none"/>
        </w:rPr>
        <w:t>我单位</w:t>
      </w:r>
      <w:r>
        <w:rPr>
          <w:rFonts w:hint="default" w:ascii="Times New Roman" w:hAnsi="Times New Roman" w:cs="Times New Roman"/>
          <w:bCs/>
          <w:sz w:val="32"/>
          <w:szCs w:val="32"/>
          <w:highlight w:val="none"/>
          <w:u w:val="single"/>
        </w:rPr>
        <w:t>10万吨/年净水剂药剂生产项目</w:t>
      </w:r>
      <w:r>
        <w:rPr>
          <w:rFonts w:hint="default" w:ascii="Times New Roman" w:hAnsi="Times New Roman" w:cs="Times New Roman"/>
          <w:bCs/>
          <w:sz w:val="32"/>
          <w:szCs w:val="32"/>
          <w:highlight w:val="none"/>
        </w:rPr>
        <w:t>已达到受理条件，按照环保部《建设项目环境影响评价政府信息公开指南（试行）》（环办〔2013〕103号）文件要求，为认真履行企业职责，自愿依法主动公开建设项目环境影响报告表全文信息（同时附删除涉及国家机密、商业秘密等内容及删除依据和理由说明报告），并依法承担因信息公开带来的后果。</w:t>
      </w:r>
    </w:p>
    <w:p w14:paraId="4A42A589">
      <w:pPr>
        <w:ind w:firstLine="640"/>
        <w:rPr>
          <w:rFonts w:hint="default" w:ascii="Times New Roman" w:hAnsi="Times New Roman" w:cs="Times New Roman"/>
          <w:bCs/>
          <w:sz w:val="32"/>
          <w:szCs w:val="32"/>
          <w:highlight w:val="none"/>
        </w:rPr>
      </w:pPr>
      <w:r>
        <w:rPr>
          <w:rFonts w:hint="default" w:ascii="Times New Roman" w:hAnsi="Times New Roman" w:cs="Times New Roman"/>
          <w:bCs/>
          <w:sz w:val="32"/>
          <w:szCs w:val="32"/>
          <w:highlight w:val="none"/>
        </w:rPr>
        <w:t>特此承诺！</w:t>
      </w:r>
    </w:p>
    <w:p w14:paraId="79D54F29">
      <w:pPr>
        <w:ind w:firstLine="900" w:firstLineChars="300"/>
        <w:jc w:val="center"/>
        <w:rPr>
          <w:rFonts w:hint="default" w:ascii="Times New Roman" w:hAnsi="Times New Roman" w:cs="Times New Roman"/>
          <w:bCs/>
          <w:sz w:val="30"/>
          <w:szCs w:val="30"/>
          <w:highlight w:val="none"/>
        </w:rPr>
      </w:pPr>
      <w:r>
        <w:rPr>
          <w:rFonts w:hint="default" w:ascii="Times New Roman" w:hAnsi="Times New Roman" w:cs="Times New Roman"/>
          <w:bCs/>
          <w:sz w:val="30"/>
          <w:szCs w:val="30"/>
          <w:highlight w:val="none"/>
        </w:rPr>
        <w:t xml:space="preserve">        </w:t>
      </w:r>
    </w:p>
    <w:p w14:paraId="074AC24C">
      <w:pPr>
        <w:ind w:firstLine="900" w:firstLineChars="300"/>
        <w:jc w:val="center"/>
        <w:rPr>
          <w:rFonts w:hint="default" w:ascii="Times New Roman" w:hAnsi="Times New Roman" w:cs="Times New Roman"/>
          <w:bCs/>
          <w:sz w:val="30"/>
          <w:szCs w:val="30"/>
          <w:highlight w:val="none"/>
        </w:rPr>
      </w:pPr>
    </w:p>
    <w:p w14:paraId="5A0C8E63">
      <w:pPr>
        <w:ind w:firstLine="900" w:firstLineChars="300"/>
        <w:jc w:val="center"/>
        <w:rPr>
          <w:rFonts w:hint="default" w:ascii="Times New Roman" w:hAnsi="Times New Roman" w:cs="Times New Roman"/>
          <w:bCs/>
          <w:sz w:val="30"/>
          <w:szCs w:val="30"/>
          <w:highlight w:val="none"/>
        </w:rPr>
      </w:pPr>
    </w:p>
    <w:p w14:paraId="2EBF4F52">
      <w:pPr>
        <w:ind w:firstLine="900" w:firstLineChars="300"/>
        <w:jc w:val="center"/>
        <w:rPr>
          <w:rFonts w:hint="default" w:ascii="Times New Roman" w:hAnsi="Times New Roman" w:cs="Times New Roman"/>
          <w:bCs/>
          <w:sz w:val="30"/>
          <w:szCs w:val="30"/>
          <w:highlight w:val="none"/>
        </w:rPr>
      </w:pPr>
    </w:p>
    <w:p w14:paraId="7C52D114">
      <w:pPr>
        <w:ind w:firstLine="900" w:firstLineChars="300"/>
        <w:jc w:val="center"/>
        <w:rPr>
          <w:rFonts w:hint="default" w:ascii="Times New Roman" w:hAnsi="Times New Roman" w:cs="Times New Roman"/>
          <w:bCs/>
          <w:sz w:val="30"/>
          <w:szCs w:val="30"/>
          <w:highlight w:val="none"/>
        </w:rPr>
      </w:pPr>
    </w:p>
    <w:p w14:paraId="102BF9BC">
      <w:pPr>
        <w:spacing w:before="100" w:line="476" w:lineRule="auto"/>
        <w:ind w:left="23" w:firstLine="624"/>
        <w:rPr>
          <w:rFonts w:hint="default" w:ascii="Times New Roman" w:hAnsi="Times New Roman" w:cs="Times New Roman"/>
          <w:bCs/>
          <w:sz w:val="32"/>
          <w:szCs w:val="32"/>
          <w:highlight w:val="none"/>
        </w:rPr>
      </w:pPr>
      <w:r>
        <w:rPr>
          <w:rFonts w:hint="default" w:ascii="Times New Roman" w:hAnsi="Times New Roman" w:cs="Times New Roman"/>
          <w:bCs/>
          <w:sz w:val="30"/>
          <w:szCs w:val="30"/>
          <w:highlight w:val="none"/>
        </w:rPr>
        <w:t xml:space="preserve">     </w:t>
      </w:r>
      <w:r>
        <w:rPr>
          <w:rFonts w:hint="default" w:ascii="Times New Roman" w:hAnsi="Times New Roman" w:cs="Times New Roman"/>
          <w:bCs/>
          <w:sz w:val="32"/>
          <w:szCs w:val="32"/>
          <w:highlight w:val="none"/>
        </w:rPr>
        <w:t>建设单位：山东瑞海金山化学有限公司（盖章）</w:t>
      </w:r>
    </w:p>
    <w:p w14:paraId="02185261">
      <w:pPr>
        <w:pStyle w:val="45"/>
        <w:spacing w:after="0"/>
        <w:ind w:firstLine="0" w:firstLineChars="0"/>
        <w:jc w:val="center"/>
        <w:rPr>
          <w:rFonts w:hint="default" w:ascii="Times New Roman" w:hAnsi="Times New Roman" w:cs="Times New Roman"/>
          <w:b/>
          <w:bCs/>
          <w:color w:val="000000"/>
          <w:highlight w:val="none"/>
        </w:rPr>
      </w:pPr>
      <w:r>
        <w:rPr>
          <w:rFonts w:hint="default" w:ascii="Times New Roman" w:hAnsi="Times New Roman" w:cs="Times New Roman"/>
          <w:bCs/>
          <w:sz w:val="32"/>
          <w:szCs w:val="32"/>
          <w:highlight w:val="none"/>
        </w:rPr>
        <w:t xml:space="preserve">            年   月   日</w:t>
      </w:r>
    </w:p>
    <w:p w14:paraId="7A1D05BD">
      <w:pPr>
        <w:rPr>
          <w:rFonts w:hint="default" w:ascii="Times New Roman" w:hAnsi="Times New Roman" w:cs="Times New Roman"/>
          <w:highlight w:val="none"/>
        </w:rPr>
      </w:pPr>
      <w:r>
        <w:rPr>
          <w:rFonts w:hint="default" w:ascii="Times New Roman" w:hAnsi="Times New Roman" w:cs="Times New Roman"/>
          <w:highlight w:val="none"/>
        </w:rPr>
        <w:br w:type="page"/>
      </w:r>
    </w:p>
    <w:p w14:paraId="46720DD6">
      <w:pPr>
        <w:pStyle w:val="15"/>
        <w:spacing w:line="255" w:lineRule="auto"/>
        <w:jc w:val="left"/>
        <w:rPr>
          <w:rFonts w:hint="default" w:ascii="Times New Roman" w:hAnsi="Times New Roman" w:cs="Times New Roman"/>
          <w:b/>
          <w:bCs/>
          <w:color w:val="000000"/>
          <w:kern w:val="2"/>
          <w:sz w:val="21"/>
          <w:szCs w:val="24"/>
          <w:highlight w:val="none"/>
        </w:rPr>
      </w:pPr>
      <w:r>
        <w:rPr>
          <w:rFonts w:hint="default" w:ascii="Times New Roman" w:hAnsi="Times New Roman" w:cs="Times New Roman"/>
          <w:b/>
          <w:bCs/>
          <w:color w:val="000000"/>
          <w:kern w:val="2"/>
          <w:sz w:val="21"/>
          <w:szCs w:val="24"/>
          <w:highlight w:val="none"/>
        </w:rPr>
        <w:t>附件5：土地使用证明</w:t>
      </w:r>
      <w:r>
        <w:rPr>
          <w:rFonts w:hint="default" w:ascii="Times New Roman" w:hAnsi="Times New Roman" w:cs="Times New Roman"/>
          <w:highlight w:val="none"/>
        </w:rPr>
        <w:drawing>
          <wp:inline distT="0" distB="0" distL="114300" distR="114300">
            <wp:extent cx="6799580" cy="5257165"/>
            <wp:effectExtent l="0" t="0" r="635" b="1270"/>
            <wp:docPr id="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
                    <pic:cNvPicPr>
                      <a:picLocks noChangeAspect="1"/>
                    </pic:cNvPicPr>
                  </pic:nvPicPr>
                  <pic:blipFill>
                    <a:blip r:embed="rId55"/>
                    <a:stretch>
                      <a:fillRect/>
                    </a:stretch>
                  </pic:blipFill>
                  <pic:spPr>
                    <a:xfrm rot="16200000">
                      <a:off x="0" y="0"/>
                      <a:ext cx="6799580" cy="5257165"/>
                    </a:xfrm>
                    <a:prstGeom prst="rect">
                      <a:avLst/>
                    </a:prstGeom>
                    <a:noFill/>
                    <a:ln>
                      <a:noFill/>
                    </a:ln>
                  </pic:spPr>
                </pic:pic>
              </a:graphicData>
            </a:graphic>
          </wp:inline>
        </w:drawing>
      </w:r>
    </w:p>
    <w:p w14:paraId="2089A3FC">
      <w:pPr>
        <w:pStyle w:val="15"/>
        <w:spacing w:line="255" w:lineRule="auto"/>
        <w:rPr>
          <w:rFonts w:hint="default" w:ascii="Times New Roman" w:hAnsi="Times New Roman" w:cs="Times New Roman"/>
          <w:b/>
          <w:bCs/>
          <w:color w:val="000000"/>
          <w:kern w:val="2"/>
          <w:sz w:val="21"/>
          <w:szCs w:val="24"/>
          <w:highlight w:val="none"/>
        </w:rPr>
      </w:pPr>
      <w:r>
        <w:rPr>
          <w:rFonts w:hint="default" w:ascii="Times New Roman" w:hAnsi="Times New Roman" w:cs="Times New Roman"/>
          <w:highlight w:val="none"/>
        </w:rPr>
        <w:drawing>
          <wp:inline distT="0" distB="0" distL="114300" distR="114300">
            <wp:extent cx="8933180" cy="5149850"/>
            <wp:effectExtent l="0" t="0" r="12700" b="1270"/>
            <wp:docPr id="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
                    <pic:cNvPicPr>
                      <a:picLocks noChangeAspect="1"/>
                    </pic:cNvPicPr>
                  </pic:nvPicPr>
                  <pic:blipFill>
                    <a:blip r:embed="rId56"/>
                    <a:stretch>
                      <a:fillRect/>
                    </a:stretch>
                  </pic:blipFill>
                  <pic:spPr>
                    <a:xfrm rot="16200000">
                      <a:off x="0" y="0"/>
                      <a:ext cx="8933180" cy="5149850"/>
                    </a:xfrm>
                    <a:prstGeom prst="rect">
                      <a:avLst/>
                    </a:prstGeom>
                    <a:noFill/>
                    <a:ln>
                      <a:noFill/>
                    </a:ln>
                  </pic:spPr>
                </pic:pic>
              </a:graphicData>
            </a:graphic>
          </wp:inline>
        </w:drawing>
      </w:r>
    </w:p>
    <w:p w14:paraId="5B64BAD6">
      <w:pPr>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br w:type="page"/>
      </w:r>
    </w:p>
    <w:p w14:paraId="426077BD">
      <w:pPr>
        <w:spacing w:before="78" w:line="219" w:lineRule="auto"/>
        <w:ind w:left="42"/>
        <w:rPr>
          <w:rFonts w:hint="default" w:ascii="Times New Roman" w:hAnsi="Times New Roman" w:cs="Times New Roman"/>
          <w:b/>
          <w:bCs/>
          <w:color w:val="000000"/>
          <w:highlight w:val="none"/>
        </w:rPr>
      </w:pPr>
      <w:r>
        <w:rPr>
          <w:rFonts w:hint="default" w:ascii="Times New Roman" w:hAnsi="Times New Roman" w:cs="Times New Roman"/>
          <w:highlight w:val="none"/>
        </w:rPr>
        <mc:AlternateContent>
          <mc:Choice Requires="wps">
            <w:drawing>
              <wp:anchor distT="0" distB="0" distL="114300" distR="114300" simplePos="0" relativeHeight="251684864" behindDoc="0" locked="0" layoutInCell="1" allowOverlap="1">
                <wp:simplePos x="0" y="0"/>
                <wp:positionH relativeFrom="column">
                  <wp:posOffset>2403475</wp:posOffset>
                </wp:positionH>
                <wp:positionV relativeFrom="paragraph">
                  <wp:posOffset>8950325</wp:posOffset>
                </wp:positionV>
                <wp:extent cx="482600" cy="196850"/>
                <wp:effectExtent l="0" t="0" r="0" b="0"/>
                <wp:wrapNone/>
                <wp:docPr id="502764715" name="矩形 66"/>
                <wp:cNvGraphicFramePr/>
                <a:graphic xmlns:a="http://schemas.openxmlformats.org/drawingml/2006/main">
                  <a:graphicData uri="http://schemas.microsoft.com/office/word/2010/wordprocessingShape">
                    <wps:wsp>
                      <wps:cNvSpPr/>
                      <wps:spPr>
                        <a:xfrm>
                          <a:off x="0" y="0"/>
                          <a:ext cx="482600" cy="1968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6" o:spid="_x0000_s1026" o:spt="1" style="position:absolute;left:0pt;margin-left:189.25pt;margin-top:704.75pt;height:15.5pt;width:38pt;z-index:251684864;v-text-anchor:middle;mso-width-relative:page;mso-height-relative:page;" fillcolor="#FFFFFF [3212]" filled="t" stroked="f" coordsize="21600,21600" o:gfxdata="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xJIwT9oAAAANAQAADwAAAAAAAAABACAAAAAiAAAAZHJzL2Rv&#10;d25yZXYueG1sUEsBAhQAFAAAAAgAh07iQBQWiRpxAgAA0wQAAA4AAAAAAAAAAQAgAAAAKQEAAGRy&#10;cy9lMm9Eb2MueG1sUEsFBgAAAAAGAAYAWQEAAAwGA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3840" behindDoc="0" locked="0" layoutInCell="1" allowOverlap="1">
                <wp:simplePos x="0" y="0"/>
                <wp:positionH relativeFrom="column">
                  <wp:posOffset>2397125</wp:posOffset>
                </wp:positionH>
                <wp:positionV relativeFrom="paragraph">
                  <wp:posOffset>8959215</wp:posOffset>
                </wp:positionV>
                <wp:extent cx="647700" cy="368300"/>
                <wp:effectExtent l="0" t="0" r="0" b="0"/>
                <wp:wrapNone/>
                <wp:docPr id="1691908176" name="矩形 65"/>
                <wp:cNvGraphicFramePr/>
                <a:graphic xmlns:a="http://schemas.openxmlformats.org/drawingml/2006/main">
                  <a:graphicData uri="http://schemas.microsoft.com/office/word/2010/wordprocessingShape">
                    <wps:wsp>
                      <wps:cNvSpPr/>
                      <wps:spPr>
                        <a:xfrm>
                          <a:off x="0" y="0"/>
                          <a:ext cx="647700" cy="3683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5" o:spid="_x0000_s1026" o:spt="1" style="position:absolute;left:0pt;margin-left:188.75pt;margin-top:705.45pt;height:29pt;width:51pt;z-index:251683840;v-text-anchor:middle;mso-width-relative:page;mso-height-relative:page;" fillcolor="#FFFFFF [3212]" filled="t" stroked="f" coordsize="21600,21600" o:gfxdata="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qQ9pHbAAAADQEAAA8AAAAAAAAAAQAgAAAAIgAAAGRycy9k&#10;b3ducmV2LnhtbFBLAQIUABQAAAAIAIdO4kCMzTR+cQIAANQEAAAOAAAAAAAAAAEAIAAAACoBAABk&#10;cnMvZTJvRG9jLnhtbFBLBQYAAAAABgAGAFkBAAAN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1792" behindDoc="0" locked="0" layoutInCell="1" allowOverlap="1">
                <wp:simplePos x="0" y="0"/>
                <wp:positionH relativeFrom="column">
                  <wp:posOffset>2295525</wp:posOffset>
                </wp:positionH>
                <wp:positionV relativeFrom="paragraph">
                  <wp:posOffset>9003665</wp:posOffset>
                </wp:positionV>
                <wp:extent cx="742950" cy="330200"/>
                <wp:effectExtent l="0" t="0" r="0" b="0"/>
                <wp:wrapNone/>
                <wp:docPr id="1123292449" name="矩形 64"/>
                <wp:cNvGraphicFramePr/>
                <a:graphic xmlns:a="http://schemas.openxmlformats.org/drawingml/2006/main">
                  <a:graphicData uri="http://schemas.microsoft.com/office/word/2010/wordprocessingShape">
                    <wps:wsp>
                      <wps:cNvSpPr/>
                      <wps:spPr>
                        <a:xfrm>
                          <a:off x="0" y="0"/>
                          <a:ext cx="742950" cy="330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4" o:spid="_x0000_s1026" o:spt="1" style="position:absolute;left:0pt;margin-left:180.75pt;margin-top:708.95pt;height:26pt;width:58.5pt;z-index:251681792;v-text-anchor:middle;mso-width-relative:page;mso-height-relative:page;" fillcolor="#FFFFFF [3212]" filled="t" stroked="f" coordsize="21600,21600" o:gfxdata="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OLPOvbAAAADQEAAA8AAAAAAAAAAQAgAAAAIgAAAGRycy9k&#10;b3ducmV2LnhtbFBLAQIUABQAAAAIAIdO4kBxH7U2cQIAANQEAAAOAAAAAAAAAAEAIAAAACoBAABk&#10;cnMvZTJvRG9jLnhtbFBLBQYAAAAABgAGAFkBAAAN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0768" behindDoc="0" locked="0" layoutInCell="1" allowOverlap="1">
                <wp:simplePos x="0" y="0"/>
                <wp:positionH relativeFrom="column">
                  <wp:posOffset>2219325</wp:posOffset>
                </wp:positionH>
                <wp:positionV relativeFrom="paragraph">
                  <wp:posOffset>8971915</wp:posOffset>
                </wp:positionV>
                <wp:extent cx="844550" cy="349250"/>
                <wp:effectExtent l="0" t="0" r="0" b="0"/>
                <wp:wrapNone/>
                <wp:docPr id="476726009" name="矩形 63"/>
                <wp:cNvGraphicFramePr/>
                <a:graphic xmlns:a="http://schemas.openxmlformats.org/drawingml/2006/main">
                  <a:graphicData uri="http://schemas.microsoft.com/office/word/2010/wordprocessingShape">
                    <wps:wsp>
                      <wps:cNvSpPr/>
                      <wps:spPr>
                        <a:xfrm>
                          <a:off x="0" y="0"/>
                          <a:ext cx="844550" cy="3492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3" o:spid="_x0000_s1026" o:spt="1" style="position:absolute;left:0pt;margin-left:174.75pt;margin-top:706.45pt;height:27.5pt;width:66.5pt;z-index:251680768;v-text-anchor:middle;mso-width-relative:page;mso-height-relative:page;" fillcolor="#FFFFFF [3212]" filled="t" stroked="f" coordsize="21600,21600" o:gfxdata="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u/0zDbAAAADQEAAA8AAAAAAAAAAQAgAAAAIgAAAGRycy9k&#10;b3ducmV2LnhtbFBLAQIUABQAAAAIAIdO4kBla7b4cQIAANMEAAAOAAAAAAAAAAEAIAAAACoBAABk&#10;cnMvZTJvRG9jLnhtbFBLBQYAAAAABgAGAFkBAAAN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9744" behindDoc="0" locked="0" layoutInCell="1" allowOverlap="1">
                <wp:simplePos x="0" y="0"/>
                <wp:positionH relativeFrom="column">
                  <wp:posOffset>2263775</wp:posOffset>
                </wp:positionH>
                <wp:positionV relativeFrom="paragraph">
                  <wp:posOffset>8990965</wp:posOffset>
                </wp:positionV>
                <wp:extent cx="965200" cy="457200"/>
                <wp:effectExtent l="0" t="0" r="6350" b="0"/>
                <wp:wrapNone/>
                <wp:docPr id="969837078" name="矩形: 圆角 62"/>
                <wp:cNvGraphicFramePr/>
                <a:graphic xmlns:a="http://schemas.openxmlformats.org/drawingml/2006/main">
                  <a:graphicData uri="http://schemas.microsoft.com/office/word/2010/wordprocessingShape">
                    <wps:wsp>
                      <wps:cNvSpPr/>
                      <wps:spPr>
                        <a:xfrm>
                          <a:off x="0" y="0"/>
                          <a:ext cx="965200" cy="457200"/>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矩形: 圆角 62" o:spid="_x0000_s1026" o:spt="2" style="position:absolute;left:0pt;margin-left:178.25pt;margin-top:707.95pt;height:36pt;width:76pt;z-index:251679744;v-text-anchor:middle;mso-width-relative:page;mso-height-relative:page;" fillcolor="#FFFFFF [3212]" filled="t" stroked="f" coordsize="21600,21600" arcsize="0.166666666666667" o:gfxdata="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LCtHHDZAAAADQEAAA8AAAAAAAAA&#10;AQAgAAAAIgAAAGRycy9kb3ducmV2LnhtbFBLAQIUABQAAAAIAIdO4kBkE6rHggIAAOAEAAAOAAAA&#10;AAAAAAEAIAAAACgBAABkcnMvZTJvRG9jLnhtbFBLBQYAAAAABgAGAFkBAAAcBgAAAAA=&#10;">
                <v:fill on="t" focussize="0,0"/>
                <v:stroke on="f" weight="1pt" miterlimit="8" joinstyle="miter"/>
                <v:imagedata o:title=""/>
                <o:lock v:ext="edit" aspectratio="f"/>
              </v:round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8720" behindDoc="0" locked="0" layoutInCell="1" allowOverlap="1">
                <wp:simplePos x="0" y="0"/>
                <wp:positionH relativeFrom="column">
                  <wp:posOffset>2441575</wp:posOffset>
                </wp:positionH>
                <wp:positionV relativeFrom="paragraph">
                  <wp:posOffset>8927465</wp:posOffset>
                </wp:positionV>
                <wp:extent cx="622300" cy="374650"/>
                <wp:effectExtent l="0" t="0" r="6350" b="6350"/>
                <wp:wrapNone/>
                <wp:docPr id="468165178" name="矩形 61"/>
                <wp:cNvGraphicFramePr/>
                <a:graphic xmlns:a="http://schemas.openxmlformats.org/drawingml/2006/main">
                  <a:graphicData uri="http://schemas.microsoft.com/office/word/2010/wordprocessingShape">
                    <wps:wsp>
                      <wps:cNvSpPr/>
                      <wps:spPr>
                        <a:xfrm>
                          <a:off x="0" y="0"/>
                          <a:ext cx="622300" cy="3746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1" o:spid="_x0000_s1026" o:spt="1" style="position:absolute;left:0pt;margin-left:192.25pt;margin-top:702.95pt;height:29.5pt;width:49pt;z-index:251678720;v-text-anchor:middle;mso-width-relative:page;mso-height-relative:page;" fillcolor="#FFFFFF [3212]" filled="t" stroked="f" coordsize="21600,21600" o:gfxdata="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MXRfvbAAAADQEAAA8AAAAAAAAAAQAgAAAAIgAAAGRycy9k&#10;b3ducmV2LnhtbFBLAQIUABQAAAAIAIdO4kAGHfsUcQIAANMEAAAOAAAAAAAAAAEAIAAAACoBAABk&#10;cnMvZTJvRG9jLnhtbFBLBQYAAAAABgAGAFkBAAAN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6672" behindDoc="0" locked="0" layoutInCell="1" allowOverlap="1">
                <wp:simplePos x="0" y="0"/>
                <wp:positionH relativeFrom="column">
                  <wp:posOffset>2390775</wp:posOffset>
                </wp:positionH>
                <wp:positionV relativeFrom="paragraph">
                  <wp:posOffset>9054465</wp:posOffset>
                </wp:positionV>
                <wp:extent cx="673100" cy="234950"/>
                <wp:effectExtent l="0" t="0" r="0" b="0"/>
                <wp:wrapNone/>
                <wp:docPr id="1484296059" name="矩形 60"/>
                <wp:cNvGraphicFramePr/>
                <a:graphic xmlns:a="http://schemas.openxmlformats.org/drawingml/2006/main">
                  <a:graphicData uri="http://schemas.microsoft.com/office/word/2010/wordprocessingShape">
                    <wps:wsp>
                      <wps:cNvSpPr/>
                      <wps:spPr>
                        <a:xfrm>
                          <a:off x="0" y="0"/>
                          <a:ext cx="673100" cy="2349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0" o:spid="_x0000_s1026" o:spt="1" style="position:absolute;left:0pt;margin-left:188.25pt;margin-top:712.95pt;height:18.5pt;width:53pt;z-index:251676672;v-text-anchor:middle;mso-width-relative:page;mso-height-relative:page;" fillcolor="#FFFFFF [3212]" filled="t" stroked="f" coordsize="21600,21600" o:gfxdata="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9WuE79wAAAANAQAADwAAAAAAAAABACAAAAAiAAAAZHJz&#10;L2Rvd25yZXYueG1sUEsBAhQAFAAAAAgAh07iQO5XrmVyAgAA1AQAAA4AAAAAAAAAAQAgAAAAKwEA&#10;AGRycy9lMm9Eb2MueG1sUEsFBgAAAAAGAAYAWQEAAA8GA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6912" behindDoc="0" locked="0" layoutInCell="1" allowOverlap="1">
                <wp:simplePos x="0" y="0"/>
                <wp:positionH relativeFrom="column">
                  <wp:posOffset>2409825</wp:posOffset>
                </wp:positionH>
                <wp:positionV relativeFrom="paragraph">
                  <wp:posOffset>8997315</wp:posOffset>
                </wp:positionV>
                <wp:extent cx="590550" cy="342900"/>
                <wp:effectExtent l="0" t="0" r="0" b="0"/>
                <wp:wrapNone/>
                <wp:docPr id="352479721" name="矩形 68"/>
                <wp:cNvGraphicFramePr/>
                <a:graphic xmlns:a="http://schemas.openxmlformats.org/drawingml/2006/main">
                  <a:graphicData uri="http://schemas.microsoft.com/office/word/2010/wordprocessingShape">
                    <wps:wsp>
                      <wps:cNvSpPr/>
                      <wps:spPr>
                        <a:xfrm>
                          <a:off x="0" y="0"/>
                          <a:ext cx="590550" cy="342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8" o:spid="_x0000_s1026" o:spt="1" style="position:absolute;left:0pt;margin-left:189.75pt;margin-top:708.45pt;height:27pt;width:46.5pt;z-index:251686912;v-text-anchor:middle;mso-width-relative:page;mso-height-relative:page;" fillcolor="#FFFFFF [3212]" filled="t" stroked="f" coordsize="21600,21600" o:gfxdata="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5CsqfbAAAADQEAAA8AAAAAAAAAAQAgAAAAIgAAAGRycy9k&#10;b3ducmV2LnhtbFBLAQIUABQAAAAIAIdO4kDGFX38cQIAANMEAAAOAAAAAAAAAAEAIAAAACoBAABk&#10;cnMvZTJvRG9jLnhtbFBLBQYAAAAABgAGAFkBAAANBg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87936" behindDoc="0" locked="0" layoutInCell="1" allowOverlap="1">
                <wp:simplePos x="0" y="0"/>
                <wp:positionH relativeFrom="column">
                  <wp:posOffset>2447925</wp:posOffset>
                </wp:positionH>
                <wp:positionV relativeFrom="paragraph">
                  <wp:posOffset>1109345</wp:posOffset>
                </wp:positionV>
                <wp:extent cx="546100" cy="273050"/>
                <wp:effectExtent l="0" t="0" r="6350" b="0"/>
                <wp:wrapNone/>
                <wp:docPr id="1828959876" name="矩形 69"/>
                <wp:cNvGraphicFramePr/>
                <a:graphic xmlns:a="http://schemas.openxmlformats.org/drawingml/2006/main">
                  <a:graphicData uri="http://schemas.microsoft.com/office/word/2010/wordprocessingShape">
                    <wps:wsp>
                      <wps:cNvSpPr/>
                      <wps:spPr>
                        <a:xfrm>
                          <a:off x="0" y="0"/>
                          <a:ext cx="546100" cy="2730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9" o:spid="_x0000_s1026" o:spt="1" style="position:absolute;left:0pt;margin-left:192.75pt;margin-top:87.35pt;height:21.5pt;width:43pt;z-index:251687936;v-text-anchor:middle;mso-width-relative:page;mso-height-relative:page;" fillcolor="#FFFFFF [3212]" filled="t" stroked="f" coordsize="21600,21600" o:gfxdata="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plcKUNoAAAALAQAADwAAAAAAAAABACAAAAAiAAAAZHJzL2Rv&#10;d25yZXYueG1sUEsBAhQAFAAAAAgAh07iQMdOhFVxAgAA1AQAAA4AAAAAAAAAAQAgAAAAKQEAAGRy&#10;cy9lMm9Eb2MueG1sUEsFBgAAAAAGAAYAWQEAAAwGAAAAAA==&#10;">
                <v:fill on="t" focussize="0,0"/>
                <v:stroke on="f" weight="1pt" miterlimit="8" joinstyle="miter"/>
                <v:imagedata o:title=""/>
                <o:lock v:ext="edit" aspectratio="f"/>
              </v:rect>
            </w:pict>
          </mc:Fallback>
        </mc:AlternateContent>
      </w:r>
      <w:r>
        <w:rPr>
          <w:rFonts w:hint="default" w:ascii="Times New Roman" w:hAnsi="Times New Roman" w:cs="Times New Roman"/>
          <w:b/>
          <w:bCs/>
          <w:color w:val="000000"/>
          <w:highlight w:val="none"/>
        </w:rPr>
        <w:t>附件6资料真实性承诺书</w:t>
      </w:r>
    </w:p>
    <w:p w14:paraId="09DE58E4">
      <w:pPr>
        <w:pStyle w:val="26"/>
        <w:ind w:left="0" w:leftChars="0"/>
        <w:rPr>
          <w:rFonts w:hint="default" w:ascii="Times New Roman" w:hAnsi="Times New Roman" w:cs="Times New Roman"/>
          <w:highlight w:val="none"/>
        </w:rPr>
      </w:pPr>
    </w:p>
    <w:p w14:paraId="3204E464">
      <w:pPr>
        <w:pStyle w:val="15"/>
        <w:spacing w:line="256" w:lineRule="auto"/>
        <w:rPr>
          <w:rFonts w:hint="default" w:ascii="Times New Roman" w:hAnsi="Times New Roman" w:cs="Times New Roman"/>
          <w:highlight w:val="none"/>
        </w:rPr>
      </w:pPr>
    </w:p>
    <w:p w14:paraId="00BAA7B3">
      <w:pPr>
        <w:spacing w:before="101" w:line="224" w:lineRule="auto"/>
        <w:jc w:val="center"/>
        <w:rPr>
          <w:rFonts w:hint="default" w:ascii="Times New Roman" w:hAnsi="Times New Roman" w:cs="Times New Roman"/>
          <w:sz w:val="44"/>
          <w:szCs w:val="44"/>
          <w:highlight w:val="none"/>
        </w:rPr>
      </w:pPr>
      <w:r>
        <w:rPr>
          <w:rFonts w:hint="default" w:ascii="Times New Roman" w:hAnsi="Times New Roman" w:cs="Times New Roman"/>
          <w:spacing w:val="10"/>
          <w:sz w:val="44"/>
          <w:szCs w:val="44"/>
          <w:highlight w:val="none"/>
        </w:rPr>
        <w:t>资料真实性承诺书</w:t>
      </w:r>
    </w:p>
    <w:p w14:paraId="13C02990">
      <w:pPr>
        <w:pStyle w:val="15"/>
        <w:spacing w:line="334" w:lineRule="auto"/>
        <w:rPr>
          <w:rFonts w:hint="default" w:ascii="Times New Roman" w:hAnsi="Times New Roman" w:cs="Times New Roman"/>
          <w:highlight w:val="none"/>
        </w:rPr>
      </w:pPr>
    </w:p>
    <w:p w14:paraId="4E07413F">
      <w:pPr>
        <w:pStyle w:val="15"/>
        <w:spacing w:line="321" w:lineRule="auto"/>
        <w:rPr>
          <w:rFonts w:hint="default" w:ascii="Times New Roman" w:hAnsi="Times New Roman" w:cs="Times New Roman"/>
          <w:highlight w:val="none"/>
        </w:rPr>
      </w:pPr>
    </w:p>
    <w:p w14:paraId="075EDB41">
      <w:pPr>
        <w:spacing w:before="100" w:line="476" w:lineRule="auto"/>
        <w:ind w:left="23" w:firstLine="645"/>
        <w:rPr>
          <w:rFonts w:hint="default" w:ascii="Times New Roman" w:hAnsi="Times New Roman" w:cs="Times New Roman"/>
          <w:sz w:val="31"/>
          <w:szCs w:val="31"/>
          <w:highlight w:val="none"/>
        </w:rPr>
      </w:pPr>
      <w:r>
        <w:rPr>
          <w:rFonts w:hint="default" w:ascii="Times New Roman" w:hAnsi="Times New Roman" w:cs="Times New Roman"/>
          <w:spacing w:val="1"/>
          <w:sz w:val="31"/>
          <w:szCs w:val="31"/>
          <w:highlight w:val="none"/>
        </w:rPr>
        <w:t>我公司委托</w:t>
      </w:r>
      <w:r>
        <w:rPr>
          <w:rFonts w:hint="default" w:ascii="Times New Roman" w:hAnsi="Times New Roman" w:cs="Times New Roman"/>
          <w:spacing w:val="1"/>
          <w:sz w:val="31"/>
          <w:szCs w:val="31"/>
          <w:highlight w:val="none"/>
          <w:u w:val="single"/>
        </w:rPr>
        <w:t>山东星途大海工程项目管理咨询有限公司</w:t>
      </w:r>
      <w:r>
        <w:rPr>
          <w:rFonts w:hint="default" w:ascii="Times New Roman" w:hAnsi="Times New Roman" w:cs="Times New Roman"/>
          <w:spacing w:val="1"/>
          <w:sz w:val="31"/>
          <w:szCs w:val="31"/>
          <w:highlight w:val="none"/>
        </w:rPr>
        <w:t>编制的</w:t>
      </w:r>
      <w:r>
        <w:rPr>
          <w:rFonts w:hint="default" w:ascii="Times New Roman" w:hAnsi="Times New Roman" w:cs="Times New Roman"/>
          <w:spacing w:val="2"/>
          <w:sz w:val="31"/>
          <w:szCs w:val="31"/>
          <w:highlight w:val="none"/>
          <w:u w:val="single"/>
        </w:rPr>
        <w:t>10万吨/年净水剂药剂生产项目</w:t>
      </w:r>
      <w:r>
        <w:rPr>
          <w:rFonts w:hint="default" w:ascii="Times New Roman" w:hAnsi="Times New Roman" w:cs="Times New Roman"/>
          <w:spacing w:val="2"/>
          <w:sz w:val="31"/>
          <w:szCs w:val="31"/>
          <w:highlight w:val="none"/>
        </w:rPr>
        <w:t>环境影响报告表，已经我公司确认，环评报告所述内容与我公司建设项目情况一致；我公司对提供给</w:t>
      </w:r>
      <w:r>
        <w:rPr>
          <w:rFonts w:hint="default" w:ascii="Times New Roman" w:hAnsi="Times New Roman" w:cs="Times New Roman"/>
          <w:spacing w:val="2"/>
          <w:sz w:val="31"/>
          <w:szCs w:val="31"/>
          <w:highlight w:val="none"/>
          <w:u w:val="single"/>
        </w:rPr>
        <w:t>山东星途大海工程项目管理咨询有限公司</w:t>
      </w:r>
      <w:r>
        <w:rPr>
          <w:rFonts w:hint="default" w:ascii="Times New Roman" w:hAnsi="Times New Roman" w:cs="Times New Roman"/>
          <w:spacing w:val="2"/>
          <w:sz w:val="31"/>
          <w:szCs w:val="31"/>
          <w:highlight w:val="none"/>
        </w:rPr>
        <w:t>资料的准确性和真实性完全负责，如存在隐瞒和假报等情况及由此导致的一切后果，我公司负全部法律责任。</w:t>
      </w:r>
    </w:p>
    <w:p w14:paraId="5D0E01D0">
      <w:pPr>
        <w:pStyle w:val="15"/>
        <w:spacing w:line="321" w:lineRule="auto"/>
        <w:rPr>
          <w:rFonts w:hint="default" w:ascii="Times New Roman" w:hAnsi="Times New Roman" w:cs="Times New Roman"/>
          <w:highlight w:val="none"/>
        </w:rPr>
      </w:pPr>
    </w:p>
    <w:p w14:paraId="7D68610D">
      <w:pPr>
        <w:spacing w:before="101" w:line="225" w:lineRule="auto"/>
        <w:ind w:left="667"/>
        <w:rPr>
          <w:rFonts w:hint="default" w:ascii="Times New Roman" w:hAnsi="Times New Roman" w:cs="Times New Roman"/>
          <w:sz w:val="31"/>
          <w:szCs w:val="31"/>
          <w:highlight w:val="none"/>
        </w:rPr>
      </w:pPr>
      <w:r>
        <w:rPr>
          <w:rFonts w:hint="default" w:ascii="Times New Roman" w:hAnsi="Times New Roman" w:cs="Times New Roman"/>
          <w:spacing w:val="5"/>
          <w:sz w:val="31"/>
          <w:szCs w:val="31"/>
          <w:highlight w:val="none"/>
        </w:rPr>
        <w:t>特此承诺！</w:t>
      </w:r>
    </w:p>
    <w:p w14:paraId="28601D6B">
      <w:pPr>
        <w:pStyle w:val="15"/>
        <w:spacing w:line="258" w:lineRule="auto"/>
        <w:rPr>
          <w:rFonts w:hint="default" w:ascii="Times New Roman" w:hAnsi="Times New Roman" w:cs="Times New Roman"/>
          <w:highlight w:val="none"/>
        </w:rPr>
      </w:pPr>
    </w:p>
    <w:p w14:paraId="0A5568B7">
      <w:pPr>
        <w:spacing w:before="91" w:line="624" w:lineRule="exact"/>
        <w:ind w:right="71"/>
        <w:jc w:val="right"/>
        <w:rPr>
          <w:rFonts w:hint="default" w:ascii="Times New Roman" w:hAnsi="Times New Roman" w:cs="Times New Roman"/>
          <w:spacing w:val="-1"/>
          <w:position w:val="26"/>
          <w:sz w:val="28"/>
          <w:szCs w:val="28"/>
          <w:highlight w:val="none"/>
        </w:rPr>
      </w:pPr>
    </w:p>
    <w:p w14:paraId="099EFBF7">
      <w:pPr>
        <w:spacing w:before="91" w:line="624" w:lineRule="exact"/>
        <w:ind w:right="71"/>
        <w:jc w:val="right"/>
        <w:rPr>
          <w:rFonts w:hint="default" w:ascii="Times New Roman" w:hAnsi="Times New Roman" w:cs="Times New Roman"/>
          <w:sz w:val="28"/>
          <w:szCs w:val="28"/>
          <w:highlight w:val="none"/>
        </w:rPr>
      </w:pPr>
      <w:r>
        <w:rPr>
          <w:rFonts w:hint="default" w:ascii="Times New Roman" w:hAnsi="Times New Roman" w:cs="Times New Roman"/>
          <w:spacing w:val="-1"/>
          <w:position w:val="26"/>
          <w:sz w:val="28"/>
          <w:szCs w:val="28"/>
          <w:highlight w:val="none"/>
        </w:rPr>
        <w:t xml:space="preserve"> 山东瑞海金山化学有限公司</w:t>
      </w:r>
    </w:p>
    <w:p w14:paraId="3334F126">
      <w:pPr>
        <w:spacing w:before="1" w:line="219" w:lineRule="auto"/>
        <w:ind w:firstLine="5560" w:firstLineChars="2000"/>
        <w:rPr>
          <w:rFonts w:hint="default" w:ascii="Times New Roman" w:hAnsi="Times New Roman" w:cs="Times New Roman"/>
          <w:spacing w:val="-1"/>
          <w:sz w:val="28"/>
          <w:szCs w:val="28"/>
          <w:highlight w:val="none"/>
        </w:rPr>
      </w:pPr>
    </w:p>
    <w:p w14:paraId="1113FE0C">
      <w:pPr>
        <w:spacing w:before="1" w:line="219" w:lineRule="auto"/>
        <w:ind w:firstLine="5282" w:firstLineChars="1900"/>
        <w:rPr>
          <w:rFonts w:hint="default" w:ascii="Times New Roman" w:hAnsi="Times New Roman" w:eastAsia="Times New Roman" w:cs="Times New Roman"/>
          <w:spacing w:val="-1"/>
          <w:sz w:val="28"/>
          <w:szCs w:val="28"/>
          <w:highlight w:val="none"/>
        </w:rPr>
      </w:pPr>
      <w:r>
        <w:rPr>
          <w:rFonts w:hint="default" w:ascii="Times New Roman" w:hAnsi="Times New Roman" w:cs="Times New Roman"/>
          <w:spacing w:val="-1"/>
          <w:sz w:val="28"/>
          <w:szCs w:val="28"/>
          <w:highlight w:val="none"/>
        </w:rPr>
        <w:t xml:space="preserve">     </w:t>
      </w:r>
      <w:r>
        <w:rPr>
          <w:rFonts w:hint="default" w:ascii="Times New Roman" w:hAnsi="Times New Roman" w:eastAsia="Times New Roman" w:cs="Times New Roman"/>
          <w:spacing w:val="-1"/>
          <w:sz w:val="28"/>
          <w:szCs w:val="28"/>
          <w:highlight w:val="none"/>
        </w:rPr>
        <w:t>年</w:t>
      </w:r>
      <w:r>
        <w:rPr>
          <w:rFonts w:hint="default" w:ascii="Times New Roman" w:hAnsi="Times New Roman" w:cs="Times New Roman"/>
          <w:spacing w:val="-1"/>
          <w:sz w:val="28"/>
          <w:szCs w:val="28"/>
          <w:highlight w:val="none"/>
        </w:rPr>
        <w:t xml:space="preserve">   </w:t>
      </w:r>
      <w:r>
        <w:rPr>
          <w:rFonts w:hint="default" w:ascii="Times New Roman" w:hAnsi="Times New Roman" w:eastAsia="Times New Roman" w:cs="Times New Roman"/>
          <w:spacing w:val="-1"/>
          <w:sz w:val="28"/>
          <w:szCs w:val="28"/>
          <w:highlight w:val="none"/>
        </w:rPr>
        <w:t>月</w:t>
      </w:r>
      <w:r>
        <w:rPr>
          <w:rFonts w:hint="default" w:ascii="Times New Roman" w:hAnsi="Times New Roman" w:eastAsia="等线" w:cs="Times New Roman"/>
          <w:spacing w:val="-1"/>
          <w:sz w:val="28"/>
          <w:szCs w:val="28"/>
          <w:highlight w:val="none"/>
        </w:rPr>
        <w:t xml:space="preserve">   </w:t>
      </w:r>
      <w:r>
        <w:rPr>
          <w:rFonts w:hint="default" w:ascii="Times New Roman" w:hAnsi="Times New Roman" w:eastAsia="Times New Roman" w:cs="Times New Roman"/>
          <w:spacing w:val="-1"/>
          <w:sz w:val="28"/>
          <w:szCs w:val="28"/>
          <w:highlight w:val="none"/>
        </w:rPr>
        <w:t>日</w:t>
      </w:r>
    </w:p>
    <w:p w14:paraId="4705D186">
      <w:pPr>
        <w:spacing w:before="1" w:line="219" w:lineRule="auto"/>
        <w:ind w:firstLine="4170" w:firstLineChars="1500"/>
        <w:rPr>
          <w:rFonts w:hint="default" w:ascii="Times New Roman" w:hAnsi="Times New Roman" w:eastAsia="Times New Roman" w:cs="Times New Roman"/>
          <w:spacing w:val="-1"/>
          <w:sz w:val="28"/>
          <w:szCs w:val="28"/>
          <w:highlight w:val="none"/>
        </w:rPr>
        <w:sectPr>
          <w:footerReference r:id="rId11" w:type="default"/>
          <w:pgSz w:w="11906" w:h="16839"/>
          <w:pgMar w:top="1431" w:right="1785" w:bottom="1100" w:left="1785" w:header="0" w:footer="836" w:gutter="0"/>
          <w:cols w:space="720" w:num="1"/>
        </w:sectPr>
      </w:pPr>
    </w:p>
    <w:p w14:paraId="4543E03D">
      <w:pPr>
        <w:pStyle w:val="26"/>
        <w:ind w:left="0" w:leftChars="0"/>
        <w:rPr>
          <w:rFonts w:hint="default" w:ascii="Times New Roman" w:hAnsi="Times New Roman" w:cs="Times New Roman"/>
          <w:b/>
          <w:bCs/>
          <w:color w:val="000000"/>
          <w:highlight w:val="none"/>
        </w:rPr>
      </w:pPr>
      <w:r>
        <w:rPr>
          <w:rFonts w:hint="default" w:ascii="Times New Roman" w:hAnsi="Times New Roman" w:cs="Times New Roman"/>
          <w:b/>
          <w:bCs/>
          <w:color w:val="000000"/>
          <w:highlight w:val="none"/>
        </w:rPr>
        <w:t>附件8确认说明</w:t>
      </w:r>
    </w:p>
    <w:p w14:paraId="57FE66D7">
      <w:pPr>
        <w:pStyle w:val="26"/>
        <w:ind w:left="0" w:leftChars="0"/>
        <w:rPr>
          <w:rFonts w:hint="default" w:ascii="Times New Roman" w:hAnsi="Times New Roman" w:cs="Times New Roman"/>
          <w:b/>
          <w:bCs/>
          <w:color w:val="000000"/>
          <w:highlight w:val="none"/>
        </w:rPr>
      </w:pPr>
    </w:p>
    <w:p w14:paraId="55BC2869">
      <w:pPr>
        <w:pStyle w:val="275"/>
        <w:jc w:val="center"/>
        <w:rPr>
          <w:rFonts w:hint="default" w:ascii="Times New Roman" w:hAnsi="Times New Roman" w:cs="Times New Roman"/>
          <w:b/>
          <w:bCs/>
          <w:sz w:val="44"/>
          <w:szCs w:val="44"/>
          <w:highlight w:val="none"/>
        </w:rPr>
      </w:pPr>
      <w:r>
        <w:rPr>
          <w:rFonts w:hint="default" w:ascii="Times New Roman" w:hAnsi="Times New Roman" w:cs="Times New Roman"/>
          <w:b/>
          <w:bCs/>
          <w:sz w:val="44"/>
          <w:szCs w:val="44"/>
          <w:highlight w:val="none"/>
          <w:lang w:val="en-US"/>
        </w:rPr>
        <w:t>已阅确认说明</w:t>
      </w:r>
    </w:p>
    <w:p w14:paraId="2E6729F9">
      <w:pPr>
        <w:pStyle w:val="276"/>
        <w:spacing w:after="0" w:line="360" w:lineRule="auto"/>
        <w:rPr>
          <w:rFonts w:hint="default" w:ascii="Times New Roman" w:hAnsi="Times New Roman" w:cs="Times New Roman"/>
          <w:sz w:val="32"/>
          <w:szCs w:val="32"/>
          <w:highlight w:val="none"/>
          <w:lang w:val="en-US" w:eastAsia="zh-CN"/>
        </w:rPr>
      </w:pPr>
    </w:p>
    <w:p w14:paraId="46C20987">
      <w:pPr>
        <w:spacing w:line="360" w:lineRule="auto"/>
        <w:rPr>
          <w:rFonts w:hint="default" w:ascii="Times New Roman" w:hAnsi="Times New Roman" w:cs="Times New Roman"/>
          <w:sz w:val="32"/>
          <w:szCs w:val="32"/>
          <w:highlight w:val="none"/>
        </w:rPr>
      </w:pPr>
      <w:r>
        <w:rPr>
          <w:rFonts w:hint="default" w:ascii="Times New Roman" w:hAnsi="Times New Roman" w:cs="Times New Roman"/>
          <w:sz w:val="32"/>
          <w:szCs w:val="32"/>
          <w:highlight w:val="none"/>
        </w:rPr>
        <w:t xml:space="preserve">    我单位委托山东星途大海工程项目管理咨询有限公司编制的《山东瑞海金山化学有限公司10万吨/年净水剂药剂生产项目》环境影响评价报告表，报批版报告表内容已经我单位确认，环评报告所述内容与我单位建设项目一致，我单位将严格按照环评报告所示内容建设，确保批建一致。</w:t>
      </w:r>
    </w:p>
    <w:p w14:paraId="1CF4523E">
      <w:pPr>
        <w:pStyle w:val="276"/>
        <w:spacing w:after="0" w:line="570" w:lineRule="exact"/>
        <w:ind w:firstLine="3200" w:firstLineChars="1000"/>
        <w:jc w:val="left"/>
        <w:rPr>
          <w:rFonts w:hint="default" w:ascii="Times New Roman" w:hAnsi="Times New Roman" w:cs="Times New Roman"/>
          <w:sz w:val="32"/>
          <w:szCs w:val="32"/>
          <w:highlight w:val="none"/>
          <w:lang w:val="en-US" w:eastAsia="zh-CN"/>
        </w:rPr>
      </w:pPr>
    </w:p>
    <w:p w14:paraId="6403D1F6">
      <w:pPr>
        <w:pStyle w:val="276"/>
        <w:spacing w:after="0" w:line="570" w:lineRule="exact"/>
        <w:ind w:firstLine="3200" w:firstLineChars="1000"/>
        <w:jc w:val="left"/>
        <w:rPr>
          <w:rFonts w:hint="default" w:ascii="Times New Roman" w:hAnsi="Times New Roman" w:cs="Times New Roman"/>
          <w:sz w:val="32"/>
          <w:szCs w:val="32"/>
          <w:highlight w:val="none"/>
          <w:lang w:val="en-US" w:eastAsia="zh-CN"/>
        </w:rPr>
      </w:pPr>
    </w:p>
    <w:p w14:paraId="019AC87A">
      <w:pPr>
        <w:spacing w:before="78" w:line="219" w:lineRule="auto"/>
        <w:ind w:firstLine="3840" w:firstLineChars="1200"/>
        <w:rPr>
          <w:rFonts w:hint="default" w:ascii="Times New Roman" w:hAnsi="Times New Roman" w:cs="Times New Roman"/>
          <w:sz w:val="32"/>
          <w:szCs w:val="32"/>
          <w:highlight w:val="none"/>
          <w:lang w:bidi="zh-TW"/>
        </w:rPr>
      </w:pPr>
      <w:r>
        <w:rPr>
          <w:rFonts w:hint="default" w:ascii="Times New Roman" w:hAnsi="Times New Roman" w:cs="Times New Roman"/>
          <w:sz w:val="32"/>
          <w:szCs w:val="32"/>
          <w:highlight w:val="none"/>
          <w:lang w:bidi="zh-TW"/>
        </w:rPr>
        <w:t>山东瑞海金山化学有限公司</w:t>
      </w:r>
    </w:p>
    <w:p w14:paraId="2A099855">
      <w:pPr>
        <w:spacing w:before="78" w:line="219" w:lineRule="auto"/>
        <w:ind w:left="42" w:firstLine="4160" w:firstLineChars="1300"/>
        <w:rPr>
          <w:rFonts w:hint="default" w:ascii="Times New Roman" w:hAnsi="Times New Roman" w:cs="Times New Roman"/>
          <w:sz w:val="32"/>
          <w:szCs w:val="32"/>
          <w:highlight w:val="none"/>
          <w:u w:val="single"/>
          <w:lang w:bidi="zh-TW"/>
        </w:rPr>
      </w:pPr>
    </w:p>
    <w:p w14:paraId="4D25CE92">
      <w:pPr>
        <w:ind w:firstLine="4480" w:firstLineChars="1400"/>
        <w:jc w:val="left"/>
        <w:rPr>
          <w:rFonts w:hint="default" w:ascii="Times New Roman" w:hAnsi="Times New Roman" w:cs="Times New Roman"/>
          <w:highlight w:val="none"/>
        </w:rPr>
        <w:sectPr>
          <w:pgSz w:w="11906" w:h="16839"/>
          <w:pgMar w:top="1431" w:right="1785" w:bottom="1099" w:left="1785" w:header="0" w:footer="836" w:gutter="0"/>
          <w:cols w:space="720" w:num="1"/>
        </w:sectPr>
      </w:pPr>
      <w:r>
        <w:rPr>
          <w:rFonts w:hint="default" w:ascii="Times New Roman" w:hAnsi="Times New Roman" w:cs="Times New Roman"/>
          <w:sz w:val="32"/>
          <w:szCs w:val="32"/>
          <w:highlight w:val="none"/>
          <w:lang w:bidi="zh-TW"/>
        </w:rPr>
        <w:t xml:space="preserve">     年   月   日</w:t>
      </w:r>
    </w:p>
    <w:p w14:paraId="3E728647">
      <w:pPr>
        <w:jc w:val="center"/>
        <w:rPr>
          <w:rFonts w:hint="default" w:ascii="Times New Roman" w:hAnsi="Times New Roman" w:eastAsia="黑体" w:cs="Times New Roman"/>
          <w:spacing w:val="-4"/>
          <w:sz w:val="24"/>
          <w:highlight w:val="none"/>
        </w:rPr>
      </w:pPr>
      <w:r>
        <w:rPr>
          <w:rFonts w:hint="default" w:ascii="Times New Roman" w:hAnsi="Times New Roman" w:cs="Times New Roman"/>
          <w:highlight w:val="none"/>
        </w:rPr>
        <mc:AlternateContent>
          <mc:Choice Requires="wps">
            <w:drawing>
              <wp:anchor distT="0" distB="0" distL="114300" distR="114300" simplePos="0" relativeHeight="251663360" behindDoc="0" locked="0" layoutInCell="1" allowOverlap="1">
                <wp:simplePos x="0" y="0"/>
                <wp:positionH relativeFrom="column">
                  <wp:posOffset>4572635</wp:posOffset>
                </wp:positionH>
                <wp:positionV relativeFrom="paragraph">
                  <wp:posOffset>2613025</wp:posOffset>
                </wp:positionV>
                <wp:extent cx="990600" cy="297815"/>
                <wp:effectExtent l="219710" t="4445" r="8890" b="383540"/>
                <wp:wrapNone/>
                <wp:docPr id="33" name="矩形标注 33"/>
                <wp:cNvGraphicFramePr/>
                <a:graphic xmlns:a="http://schemas.openxmlformats.org/drawingml/2006/main">
                  <a:graphicData uri="http://schemas.microsoft.com/office/word/2010/wordprocessingShape">
                    <wps:wsp>
                      <wps:cNvSpPr/>
                      <wps:spPr>
                        <a:xfrm>
                          <a:off x="0" y="0"/>
                          <a:ext cx="990600" cy="297815"/>
                        </a:xfrm>
                        <a:prstGeom prst="wedgeRectCallout">
                          <a:avLst>
                            <a:gd name="adj1" fmla="val -69166"/>
                            <a:gd name="adj2" fmla="val 169402"/>
                          </a:avLst>
                        </a:prstGeom>
                        <a:solidFill>
                          <a:srgbClr val="FFFFFF"/>
                        </a:solidFill>
                        <a:ln w="9525" cap="flat" cmpd="sng">
                          <a:solidFill>
                            <a:srgbClr val="000000"/>
                          </a:solidFill>
                          <a:prstDash val="solid"/>
                          <a:miter/>
                          <a:headEnd type="none" w="med" len="med"/>
                          <a:tailEnd type="none" w="med" len="med"/>
                        </a:ln>
                      </wps:spPr>
                      <wps:txbx>
                        <w:txbxContent>
                          <w:p w14:paraId="7E5E7671">
                            <w:pPr>
                              <w:rPr>
                                <w:color w:val="FF0000"/>
                                <w:sz w:val="28"/>
                                <w:szCs w:val="28"/>
                              </w:rPr>
                            </w:pPr>
                            <w:r>
                              <w:rPr>
                                <w:rFonts w:hint="eastAsia"/>
                                <w:color w:val="FF0000"/>
                                <w:sz w:val="28"/>
                                <w:szCs w:val="28"/>
                              </w:rPr>
                              <w:t>项目位置</w:t>
                            </w:r>
                          </w:p>
                        </w:txbxContent>
                      </wps:txbx>
                      <wps:bodyPr upright="1"/>
                    </wps:wsp>
                  </a:graphicData>
                </a:graphic>
              </wp:anchor>
            </w:drawing>
          </mc:Choice>
          <mc:Fallback>
            <w:pict>
              <v:shape id="_x0000_s1026" o:spid="_x0000_s1026" o:spt="61" type="#_x0000_t61" style="position:absolute;left:0pt;margin-left:360.05pt;margin-top:205.75pt;height:23.45pt;width:78pt;z-index:251663360;mso-width-relative:page;mso-height-relative:page;" fillcolor="#FFFFFF" filled="t" stroked="t" coordsize="21600,21600" o:gfxdata="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LC6G9kAAAALAQAADwAAAAAAAAABACAAAAAiAAAAZHJzL2Rv&#10;d25yZXYueG1sUEsBAhQAFAAAAAgAh07iQFiPkHQ5AgAAjwQAAA4AAAAAAAAAAQAgAAAAKAEAAGRy&#10;cy9lMm9Eb2MueG1sUEsFBgAAAAAGAAYAWQEAANMFAAAAAA==&#10;" adj="-4140,47391">
                <v:fill on="t" focussize="0,0"/>
                <v:stroke color="#000000" joinstyle="miter"/>
                <v:imagedata o:title=""/>
                <o:lock v:ext="edit" aspectratio="f"/>
                <v:textbox>
                  <w:txbxContent>
                    <w:p w14:paraId="7E5E7671">
                      <w:pPr>
                        <w:rPr>
                          <w:color w:val="FF0000"/>
                          <w:sz w:val="28"/>
                          <w:szCs w:val="28"/>
                        </w:rPr>
                      </w:pPr>
                      <w:r>
                        <w:rPr>
                          <w:rFonts w:hint="eastAsia"/>
                          <w:color w:val="FF0000"/>
                          <w:sz w:val="28"/>
                          <w:szCs w:val="28"/>
                        </w:rPr>
                        <w:t>项目位置</w:t>
                      </w:r>
                    </w:p>
                  </w:txbxContent>
                </v:textbox>
              </v:shape>
            </w:pict>
          </mc:Fallback>
        </mc:AlternateContent>
      </w: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88960" behindDoc="0" locked="0" layoutInCell="1" allowOverlap="1">
                <wp:simplePos x="0" y="0"/>
                <wp:positionH relativeFrom="column">
                  <wp:posOffset>2479675</wp:posOffset>
                </wp:positionH>
                <wp:positionV relativeFrom="paragraph">
                  <wp:posOffset>9060815</wp:posOffset>
                </wp:positionV>
                <wp:extent cx="457200" cy="304800"/>
                <wp:effectExtent l="0" t="0" r="0" b="0"/>
                <wp:wrapNone/>
                <wp:docPr id="44101253" name="矩形 74"/>
                <wp:cNvGraphicFramePr/>
                <a:graphic xmlns:a="http://schemas.openxmlformats.org/drawingml/2006/main">
                  <a:graphicData uri="http://schemas.microsoft.com/office/word/2010/wordprocessingShape">
                    <wps:wsp>
                      <wps:cNvSpPr/>
                      <wps:spPr>
                        <a:xfrm>
                          <a:off x="0" y="0"/>
                          <a:ext cx="457200" cy="3048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4" o:spid="_x0000_s1026" o:spt="1" style="position:absolute;left:0pt;margin-left:195.25pt;margin-top:713.45pt;height:24pt;width:36pt;z-index:251688960;v-text-anchor:middle;mso-width-relative:page;mso-height-relative:page;" fillcolor="#FFFFFF [3212]" filled="t" stroked="f" coordsize="21600,21600" o:gfxdata="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kxUbfbAAAADQEAAA8AAAAAAAAAAQAgAAAAIgAAAGRycy9kb3du&#10;cmV2LnhtbFBLAQIUABQAAAAIAIdO4kDN6mA/bgIAANIEAAAOAAAAAAAAAAEAIAAAACoBAABkcnMv&#10;ZTJvRG9jLnhtbFBLBQYAAAAABgAGAFkBAAAKBgAAAAA=&#10;">
                <v:fill on="t" focussize="0,0"/>
                <v:stroke on="f" weight="1pt" miterlimit="8" joinstyle="miter"/>
                <v:imagedata o:title=""/>
                <o:lock v:ext="edit" aspectratio="f"/>
              </v:rect>
            </w:pict>
          </mc:Fallback>
        </mc:AlternateContent>
      </w: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89984" behindDoc="0" locked="0" layoutInCell="1" allowOverlap="1">
                <wp:simplePos x="0" y="0"/>
                <wp:positionH relativeFrom="column">
                  <wp:posOffset>2786380</wp:posOffset>
                </wp:positionH>
                <wp:positionV relativeFrom="paragraph">
                  <wp:posOffset>379095</wp:posOffset>
                </wp:positionV>
                <wp:extent cx="704850" cy="285750"/>
                <wp:effectExtent l="0" t="0" r="0" b="0"/>
                <wp:wrapNone/>
                <wp:docPr id="308031162" name="矩形 76"/>
                <wp:cNvGraphicFramePr/>
                <a:graphic xmlns:a="http://schemas.openxmlformats.org/drawingml/2006/main">
                  <a:graphicData uri="http://schemas.microsoft.com/office/word/2010/wordprocessingShape">
                    <wps:wsp>
                      <wps:cNvSpPr/>
                      <wps:spPr>
                        <a:xfrm>
                          <a:off x="0" y="0"/>
                          <a:ext cx="704850" cy="2857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219.4pt;margin-top:29.85pt;height:22.5pt;width:55.5pt;z-index:251689984;v-text-anchor:middle;mso-width-relative:page;mso-height-relative:page;" fillcolor="#FFFFFF [3212]" filled="t" stroked="f" coordsize="21600,21600" o:gfxdata="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Kn+wdNoAAAAKAQAADwAAAAAAAAABACAAAAAiAAAAZHJzL2Rv&#10;d25yZXYueG1sUEsBAhQAFAAAAAgAh07iQIFiXr9xAgAA0wQAAA4AAAAAAAAAAQAgAAAAKQEAAGRy&#10;cy9lMm9Eb2MueG1sUEsFBgAAAAAGAAYAWQEAAAwGA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w:drawing>
          <wp:anchor distT="0" distB="0" distL="114300" distR="114300" simplePos="0" relativeHeight="251708416" behindDoc="0" locked="0" layoutInCell="1" allowOverlap="1">
            <wp:simplePos x="0" y="0"/>
            <wp:positionH relativeFrom="column">
              <wp:posOffset>7876540</wp:posOffset>
            </wp:positionH>
            <wp:positionV relativeFrom="paragraph">
              <wp:posOffset>51435</wp:posOffset>
            </wp:positionV>
            <wp:extent cx="1193800" cy="1243330"/>
            <wp:effectExtent l="0" t="0" r="6350" b="1397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193800" cy="1243330"/>
                    </a:xfrm>
                    <a:prstGeom prst="rect">
                      <a:avLst/>
                    </a:prstGeom>
                    <a:noFill/>
                    <a:ln>
                      <a:noFill/>
                    </a:ln>
                  </pic:spPr>
                </pic:pic>
              </a:graphicData>
            </a:graphic>
          </wp:anchor>
        </w:drawing>
      </w:r>
      <w:r>
        <w:rPr>
          <w:rFonts w:hint="default" w:ascii="Times New Roman" w:hAnsi="Times New Roman" w:cs="Times New Roman"/>
          <w:highlight w:val="none"/>
        </w:rPr>
        <w:drawing>
          <wp:inline distT="0" distB="0" distL="114300" distR="114300">
            <wp:extent cx="9089390" cy="6031230"/>
            <wp:effectExtent l="9525" t="9525" r="26035" b="17145"/>
            <wp:docPr id="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5"/>
                    <pic:cNvPicPr>
                      <a:picLocks noChangeAspect="1"/>
                    </pic:cNvPicPr>
                  </pic:nvPicPr>
                  <pic:blipFill>
                    <a:blip r:embed="rId58"/>
                    <a:stretch>
                      <a:fillRect/>
                    </a:stretch>
                  </pic:blipFill>
                  <pic:spPr>
                    <a:xfrm>
                      <a:off x="0" y="0"/>
                      <a:ext cx="9089390" cy="6031230"/>
                    </a:xfrm>
                    <a:prstGeom prst="rect">
                      <a:avLst/>
                    </a:prstGeom>
                    <a:noFill/>
                    <a:ln>
                      <a:solidFill>
                        <a:schemeClr val="tx1"/>
                      </a:solidFill>
                    </a:ln>
                  </pic:spPr>
                </pic:pic>
              </a:graphicData>
            </a:graphic>
          </wp:inline>
        </w:drawing>
      </w:r>
      <w:r>
        <w:rPr>
          <w:rFonts w:hint="default" w:ascii="Times New Roman" w:hAnsi="Times New Roman" w:eastAsia="黑体" w:cs="Times New Roman"/>
          <w:spacing w:val="-4"/>
          <w:sz w:val="24"/>
          <w:highlight w:val="none"/>
        </w:rPr>
        <w:t>附图1  项目地理位置图</w:t>
      </w:r>
    </w:p>
    <w:p w14:paraId="4A961BAC">
      <w:pPr>
        <w:jc w:val="center"/>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707392" behindDoc="0" locked="0" layoutInCell="1" allowOverlap="1">
            <wp:simplePos x="0" y="0"/>
            <wp:positionH relativeFrom="column">
              <wp:posOffset>7371715</wp:posOffset>
            </wp:positionH>
            <wp:positionV relativeFrom="paragraph">
              <wp:posOffset>51435</wp:posOffset>
            </wp:positionV>
            <wp:extent cx="1193800" cy="1243330"/>
            <wp:effectExtent l="0" t="0" r="6350" b="1397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193800" cy="1243330"/>
                    </a:xfrm>
                    <a:prstGeom prst="rect">
                      <a:avLst/>
                    </a:prstGeom>
                    <a:noFill/>
                    <a:ln>
                      <a:noFill/>
                    </a:ln>
                  </pic:spPr>
                </pic:pic>
              </a:graphicData>
            </a:graphic>
          </wp:anchor>
        </w:drawing>
      </w:r>
      <w:r>
        <w:rPr>
          <w:rFonts w:hint="default" w:ascii="Times New Roman" w:hAnsi="Times New Roman" w:cs="Times New Roman"/>
          <w:sz w:val="18"/>
          <w:highlight w:val="none"/>
        </w:rPr>
        <mc:AlternateContent>
          <mc:Choice Requires="wps">
            <w:drawing>
              <wp:anchor distT="0" distB="0" distL="114300" distR="114300" simplePos="0" relativeHeight="251704320" behindDoc="0" locked="0" layoutInCell="1" allowOverlap="1">
                <wp:simplePos x="0" y="0"/>
                <wp:positionH relativeFrom="column">
                  <wp:posOffset>6585585</wp:posOffset>
                </wp:positionH>
                <wp:positionV relativeFrom="paragraph">
                  <wp:posOffset>1657985</wp:posOffset>
                </wp:positionV>
                <wp:extent cx="1000125" cy="1000125"/>
                <wp:effectExtent l="6350" t="6350" r="22225" b="22225"/>
                <wp:wrapNone/>
                <wp:docPr id="37" name="任意多边形 37"/>
                <wp:cNvGraphicFramePr/>
                <a:graphic xmlns:a="http://schemas.openxmlformats.org/drawingml/2006/main">
                  <a:graphicData uri="http://schemas.microsoft.com/office/word/2010/wordprocessingShape">
                    <wps:wsp>
                      <wps:cNvSpPr/>
                      <wps:spPr>
                        <a:xfrm>
                          <a:off x="7283450" y="2237740"/>
                          <a:ext cx="1000125" cy="1000125"/>
                        </a:xfrm>
                        <a:custGeom>
                          <a:avLst/>
                          <a:gdLst>
                            <a:gd name="connisteX0" fmla="*/ 952500 w 1000125"/>
                            <a:gd name="connsiteY0" fmla="*/ 1000125 h 1000125"/>
                            <a:gd name="connisteX1" fmla="*/ 1000125 w 1000125"/>
                            <a:gd name="connsiteY1" fmla="*/ 123825 h 1000125"/>
                            <a:gd name="connisteX2" fmla="*/ 104775 w 1000125"/>
                            <a:gd name="connsiteY2" fmla="*/ 114300 h 1000125"/>
                            <a:gd name="connisteX3" fmla="*/ 123825 w 1000125"/>
                            <a:gd name="connsiteY3" fmla="*/ 0 h 1000125"/>
                            <a:gd name="connisteX4" fmla="*/ 0 w 1000125"/>
                            <a:gd name="connsiteY4" fmla="*/ 0 h 1000125"/>
                            <a:gd name="connisteX5" fmla="*/ 28575 w 1000125"/>
                            <a:gd name="connsiteY5" fmla="*/ 885825 h 1000125"/>
                            <a:gd name="connisteX6" fmla="*/ 895350 w 1000125"/>
                            <a:gd name="connsiteY6" fmla="*/ 981075 h 1000125"/>
                            <a:gd name="connisteX7" fmla="*/ 952500 w 1000125"/>
                            <a:gd name="connsiteY7" fmla="*/ 1000125 h 10001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000125" h="1000125">
                              <a:moveTo>
                                <a:pt x="952500" y="1000125"/>
                              </a:moveTo>
                              <a:lnTo>
                                <a:pt x="1000125" y="123825"/>
                              </a:lnTo>
                              <a:lnTo>
                                <a:pt x="104775" y="114300"/>
                              </a:lnTo>
                              <a:lnTo>
                                <a:pt x="123825" y="0"/>
                              </a:lnTo>
                              <a:lnTo>
                                <a:pt x="0" y="0"/>
                              </a:lnTo>
                              <a:lnTo>
                                <a:pt x="28575" y="885825"/>
                              </a:lnTo>
                              <a:lnTo>
                                <a:pt x="895350" y="981075"/>
                              </a:lnTo>
                              <a:lnTo>
                                <a:pt x="952500" y="1000125"/>
                              </a:lnTo>
                              <a:close/>
                            </a:path>
                          </a:pathLst>
                        </a:custGeom>
                        <a:solidFill>
                          <a:srgbClr val="FFFF00">
                            <a:alpha val="4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18.55pt;margin-top:130.55pt;height:78.75pt;width:78.75pt;z-index:251704320;mso-width-relative:page;mso-height-relative:page;" fillcolor="#FFFF00" filled="t" stroked="t" coordsize="1000125,1000125" o:gfxdata="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" path="m952500,1000125l1000125,123825,104775,114300,123825,0,0,0,28575,885825,895350,981075,952500,1000125xe">
                <v:path o:connectlocs="952500,1000125;1000125,123825;104775,114300;123825,0;0,0;28575,885825;895350,981075;952500,1000125" o:connectangles="0,0,0,0,0,0,0,0"/>
                <v:fill on="t" opacity="26214f" focussize="0,0"/>
                <v:stroke weight="1pt" color="#FFFF00 [2404]" miterlimit="8" joinstyle="miter"/>
                <v:imagedata o:title=""/>
                <o:lock v:ext="edit" aspectratio="f"/>
              </v:shape>
            </w:pict>
          </mc:Fallback>
        </mc:AlternateContent>
      </w:r>
      <w:r>
        <w:rPr>
          <w:rFonts w:hint="default" w:ascii="Times New Roman" w:hAnsi="Times New Roman" w:cs="Times New Roman"/>
          <w:sz w:val="18"/>
          <w:highlight w:val="none"/>
        </w:rPr>
        <mc:AlternateContent>
          <mc:Choice Requires="wps">
            <w:drawing>
              <wp:anchor distT="0" distB="0" distL="114300" distR="114300" simplePos="0" relativeHeight="251703296" behindDoc="0" locked="0" layoutInCell="1" allowOverlap="1">
                <wp:simplePos x="0" y="0"/>
                <wp:positionH relativeFrom="column">
                  <wp:posOffset>5608955</wp:posOffset>
                </wp:positionH>
                <wp:positionV relativeFrom="paragraph">
                  <wp:posOffset>1562735</wp:posOffset>
                </wp:positionV>
                <wp:extent cx="971550" cy="933450"/>
                <wp:effectExtent l="6985" t="6985" r="12065" b="12065"/>
                <wp:wrapNone/>
                <wp:docPr id="35" name="任意多边形 35"/>
                <wp:cNvGraphicFramePr/>
                <a:graphic xmlns:a="http://schemas.openxmlformats.org/drawingml/2006/main">
                  <a:graphicData uri="http://schemas.microsoft.com/office/word/2010/wordprocessingShape">
                    <wps:wsp>
                      <wps:cNvSpPr/>
                      <wps:spPr>
                        <a:xfrm>
                          <a:off x="6306820" y="2161540"/>
                          <a:ext cx="971550" cy="933450"/>
                        </a:xfrm>
                        <a:custGeom>
                          <a:avLst/>
                          <a:gdLst>
                            <a:gd name="connisteX0" fmla="*/ 28575 w 971550"/>
                            <a:gd name="connsiteY0" fmla="*/ 257175 h 933450"/>
                            <a:gd name="connisteX1" fmla="*/ 0 w 971550"/>
                            <a:gd name="connsiteY1" fmla="*/ 485775 h 933450"/>
                            <a:gd name="connisteX2" fmla="*/ 76200 w 971550"/>
                            <a:gd name="connsiteY2" fmla="*/ 495300 h 933450"/>
                            <a:gd name="connisteX3" fmla="*/ 76200 w 971550"/>
                            <a:gd name="connsiteY3" fmla="*/ 647700 h 933450"/>
                            <a:gd name="connisteX4" fmla="*/ 371475 w 971550"/>
                            <a:gd name="connsiteY4" fmla="*/ 638175 h 933450"/>
                            <a:gd name="connisteX5" fmla="*/ 381000 w 971550"/>
                            <a:gd name="connsiteY5" fmla="*/ 904875 h 933450"/>
                            <a:gd name="connisteX6" fmla="*/ 971550 w 971550"/>
                            <a:gd name="connsiteY6" fmla="*/ 933450 h 933450"/>
                            <a:gd name="connisteX7" fmla="*/ 952500 w 971550"/>
                            <a:gd name="connsiteY7" fmla="*/ 285750 h 933450"/>
                            <a:gd name="connisteX8" fmla="*/ 952500 w 971550"/>
                            <a:gd name="connsiteY8" fmla="*/ 76200 h 933450"/>
                            <a:gd name="connisteX9" fmla="*/ 600075 w 971550"/>
                            <a:gd name="connsiteY9" fmla="*/ 0 h 933450"/>
                            <a:gd name="connisteX10" fmla="*/ 533400 w 971550"/>
                            <a:gd name="connsiteY10" fmla="*/ 133350 h 933450"/>
                            <a:gd name="connisteX11" fmla="*/ 400050 w 971550"/>
                            <a:gd name="connsiteY11" fmla="*/ 0 h 933450"/>
                            <a:gd name="connisteX12" fmla="*/ 76200 w 971550"/>
                            <a:gd name="connsiteY12" fmla="*/ 0 h 933450"/>
                            <a:gd name="connisteX13" fmla="*/ 85725 w 971550"/>
                            <a:gd name="connsiteY13" fmla="*/ 171450 h 933450"/>
                            <a:gd name="connisteX14" fmla="*/ 28575 w 971550"/>
                            <a:gd name="connsiteY14" fmla="*/ 257175 h 9334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Lst>
                          <a:rect l="l" t="t" r="r" b="b"/>
                          <a:pathLst>
                            <a:path w="971550" h="933450">
                              <a:moveTo>
                                <a:pt x="28575" y="257175"/>
                              </a:moveTo>
                              <a:lnTo>
                                <a:pt x="0" y="485775"/>
                              </a:lnTo>
                              <a:lnTo>
                                <a:pt x="76200" y="495300"/>
                              </a:lnTo>
                              <a:lnTo>
                                <a:pt x="76200" y="647700"/>
                              </a:lnTo>
                              <a:lnTo>
                                <a:pt x="371475" y="638175"/>
                              </a:lnTo>
                              <a:lnTo>
                                <a:pt x="381000" y="904875"/>
                              </a:lnTo>
                              <a:lnTo>
                                <a:pt x="971550" y="933450"/>
                              </a:lnTo>
                              <a:lnTo>
                                <a:pt x="952500" y="285750"/>
                              </a:lnTo>
                              <a:lnTo>
                                <a:pt x="952500" y="76200"/>
                              </a:lnTo>
                              <a:lnTo>
                                <a:pt x="600075" y="0"/>
                              </a:lnTo>
                              <a:lnTo>
                                <a:pt x="533400" y="133350"/>
                              </a:lnTo>
                              <a:lnTo>
                                <a:pt x="400050" y="0"/>
                              </a:lnTo>
                              <a:lnTo>
                                <a:pt x="76200" y="0"/>
                              </a:lnTo>
                              <a:lnTo>
                                <a:pt x="85725" y="171450"/>
                              </a:lnTo>
                              <a:lnTo>
                                <a:pt x="28575" y="257175"/>
                              </a:lnTo>
                              <a:close/>
                            </a:path>
                          </a:pathLst>
                        </a:custGeom>
                        <a:solidFill>
                          <a:srgbClr val="FFFF00">
                            <a:alpha val="40000"/>
                          </a:srgbClr>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41.65pt;margin-top:123.05pt;height:73.5pt;width:76.5pt;z-index:251703296;mso-width-relative:page;mso-height-relative:page;" fillcolor="#FFFF00" filled="t" stroked="t" coordsize="971550,933450" o:gfxdata="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" path="m28575,257175l0,485775,76200,495300,76200,647700,371475,638175,381000,904875,971550,933450,952500,285750,952500,76200,600075,0,533400,133350,400050,0,76200,0,85725,171450,28575,257175xe">
                <v:path o:connectlocs="28575,257175;0,485775;76200,495300;76200,647700;371475,638175;381000,904875;971550,933450;952500,285750;952500,76200;600075,0;533400,133350;400050,0;76200,0;85725,171450;28575,257175" o:connectangles="0,0,0,0,0,0,0,0,0,0,0,0,0,0,0"/>
                <v:fill on="t" opacity="26214f" focussize="0,0"/>
                <v:stroke weight="1pt" color="#FFFF00 [2404]" miterlimit="8" joinstyle="miter"/>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06368" behindDoc="0" locked="0" layoutInCell="1" allowOverlap="1">
                <wp:simplePos x="0" y="0"/>
                <wp:positionH relativeFrom="column">
                  <wp:posOffset>6693535</wp:posOffset>
                </wp:positionH>
                <wp:positionV relativeFrom="paragraph">
                  <wp:posOffset>2091055</wp:posOffset>
                </wp:positionV>
                <wp:extent cx="730885" cy="25146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73088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8AB368">
                            <w:pPr>
                              <w:jc w:val="center"/>
                              <w:rPr>
                                <w:highlight w:val="cyan"/>
                              </w:rPr>
                            </w:pPr>
                            <w:r>
                              <w:rPr>
                                <w:rFonts w:hint="eastAsia"/>
                                <w:highlight w:val="cyan"/>
                              </w:rPr>
                              <w:t>边家村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7.05pt;margin-top:164.65pt;height:19.8pt;width:57.55pt;z-index:251706368;mso-width-relative:page;mso-height-relative:page;" filled="f" stroked="f" coordsize="21600,21600" o:gfxdata="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iLHfbd0AAAANAQAADwAAAAAAAAABACAAAAAi&#10;AAAAZHJzL2Rvd25yZXYueG1sUEsBAhQAFAAAAAgAh07iQN0VKgg+AgAAZwQAAA4AAAAAAAAAAQAg&#10;AAAALAEAAGRycy9lMm9Eb2MueG1sUEsFBgAAAAAGAAYAWQEAANwFAAAAAA==&#10;">
                <v:fill on="f" focussize="0,0"/>
                <v:stroke on="f" weight="0.5pt"/>
                <v:imagedata o:title=""/>
                <o:lock v:ext="edit" aspectratio="f"/>
                <v:textbox>
                  <w:txbxContent>
                    <w:p w14:paraId="678AB368">
                      <w:pPr>
                        <w:jc w:val="center"/>
                        <w:rPr>
                          <w:highlight w:val="cyan"/>
                        </w:rPr>
                      </w:pPr>
                      <w:r>
                        <w:rPr>
                          <w:rFonts w:hint="eastAsia"/>
                          <w:highlight w:val="cyan"/>
                        </w:rPr>
                        <w:t>边家村</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05344" behindDoc="0" locked="0" layoutInCell="1" allowOverlap="1">
                <wp:simplePos x="0" y="0"/>
                <wp:positionH relativeFrom="column">
                  <wp:posOffset>5620385</wp:posOffset>
                </wp:positionH>
                <wp:positionV relativeFrom="paragraph">
                  <wp:posOffset>1830705</wp:posOffset>
                </wp:positionV>
                <wp:extent cx="730885" cy="25146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73088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6A309B">
                            <w:pPr>
                              <w:jc w:val="center"/>
                              <w:rPr>
                                <w:highlight w:val="cyan"/>
                              </w:rPr>
                            </w:pPr>
                            <w:r>
                              <w:rPr>
                                <w:rFonts w:hint="eastAsia"/>
                                <w:highlight w:val="cyan"/>
                              </w:rPr>
                              <w:t>韩家村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2.55pt;margin-top:144.15pt;height:19.8pt;width:57.55pt;z-index:251705344;mso-width-relative:page;mso-height-relative:page;" filled="f" stroked="f" coordsize="21600,21600" o:gfxdata="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8WoFG3AAAAAwBAAAPAAAAAAAAAAEAIAAAACIA&#10;AABkcnMvZG93bnJldi54bWxQSwECFAAUAAAACACHTuJAzx+Axz4CAABnBAAADgAAAAAAAAABACAA&#10;AAArAQAAZHJzL2Uyb0RvYy54bWxQSwUGAAAAAAYABgBZAQAA2wUAAAAA&#10;">
                <v:fill on="f" focussize="0,0"/>
                <v:stroke on="f" weight="0.5pt"/>
                <v:imagedata o:title=""/>
                <o:lock v:ext="edit" aspectratio="f"/>
                <v:textbox>
                  <w:txbxContent>
                    <w:p w14:paraId="706A309B">
                      <w:pPr>
                        <w:jc w:val="center"/>
                        <w:rPr>
                          <w:highlight w:val="cyan"/>
                        </w:rPr>
                      </w:pPr>
                      <w:r>
                        <w:rPr>
                          <w:rFonts w:hint="eastAsia"/>
                          <w:highlight w:val="cyan"/>
                        </w:rPr>
                        <w:t>韩家村</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02272" behindDoc="0" locked="0" layoutInCell="1" allowOverlap="1">
                <wp:simplePos x="0" y="0"/>
                <wp:positionH relativeFrom="column">
                  <wp:posOffset>2854960</wp:posOffset>
                </wp:positionH>
                <wp:positionV relativeFrom="paragraph">
                  <wp:posOffset>3796030</wp:posOffset>
                </wp:positionV>
                <wp:extent cx="730885" cy="25146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73088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64E48B">
                            <w:pPr>
                              <w:jc w:val="center"/>
                              <w:rPr>
                                <w:highlight w:val="cyan"/>
                              </w:rPr>
                            </w:pPr>
                            <w:r>
                              <w:rPr>
                                <w:rFonts w:hint="eastAsia"/>
                                <w:highlight w:val="cya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8pt;margin-top:298.9pt;height:19.8pt;width:57.55pt;z-index:251702272;mso-width-relative:page;mso-height-relative:page;" filled="f" stroked="f" coordsize="21600,21600" o:gfxdata="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STBJM3QAAAAsBAAAPAAAAAAAAAAEAIAAAACIA&#10;AABkcnMvZG93bnJldi54bWxQSwECFAAUAAAACACHTuJA1PjKjz0CAABnBAAADgAAAAAAAAABACAA&#10;AAAsAQAAZHJzL2Uyb0RvYy54bWxQSwUGAAAAAAYABgBZAQAA2wUAAAAA&#10;">
                <v:fill on="f" focussize="0,0"/>
                <v:stroke on="f" weight="0.5pt"/>
                <v:imagedata o:title=""/>
                <o:lock v:ext="edit" aspectratio="f"/>
                <v:textbox>
                  <w:txbxContent>
                    <w:p w14:paraId="4F64E48B">
                      <w:pPr>
                        <w:jc w:val="center"/>
                        <w:rPr>
                          <w:highlight w:val="cyan"/>
                        </w:rPr>
                      </w:pPr>
                      <w:r>
                        <w:rPr>
                          <w:rFonts w:hint="eastAsia"/>
                          <w:highlight w:val="cyan"/>
                        </w:rPr>
                        <w:t>500m</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66432" behindDoc="0" locked="0" layoutInCell="1" allowOverlap="1">
                <wp:simplePos x="0" y="0"/>
                <wp:positionH relativeFrom="column">
                  <wp:posOffset>1993265</wp:posOffset>
                </wp:positionH>
                <wp:positionV relativeFrom="paragraph">
                  <wp:posOffset>744855</wp:posOffset>
                </wp:positionV>
                <wp:extent cx="5105400" cy="4415790"/>
                <wp:effectExtent l="9525" t="9525" r="9525" b="13335"/>
                <wp:wrapNone/>
                <wp:docPr id="47" name="椭圆 47"/>
                <wp:cNvGraphicFramePr/>
                <a:graphic xmlns:a="http://schemas.openxmlformats.org/drawingml/2006/main">
                  <a:graphicData uri="http://schemas.microsoft.com/office/word/2010/wordprocessingShape">
                    <wps:wsp>
                      <wps:cNvSpPr/>
                      <wps:spPr>
                        <a:xfrm>
                          <a:off x="0" y="0"/>
                          <a:ext cx="5105400" cy="4415790"/>
                        </a:xfrm>
                        <a:prstGeom prst="ellipse">
                          <a:avLst/>
                        </a:prstGeom>
                        <a:noFill/>
                        <a:ln w="1905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56.95pt;margin-top:58.65pt;height:347.7pt;width:402pt;z-index:251666432;mso-width-relative:page;mso-height-relative:page;" filled="f" stroked="t" coordsize="21600,21600" o:gfxdata="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FWXTL2gAAAAwBAAAPAAAAAAAAAAEAIAAAACIAAABkcnMvZG93bnJldi54&#10;bWxQSwECFAAUAAAACACHTuJA8I7qgvgBAADyAwAADgAAAAAAAAABACAAAAApAQAAZHJzL2Uyb0Rv&#10;Yy54bWxQSwUGAAAAAAYABgBZAQAAkwUAAAAA&#10;">
                <v:fill on="f" focussize="0,0"/>
                <v:stroke weight="1.5pt" color="#FF0000" joinstyle="round"/>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3600" behindDoc="0" locked="0" layoutInCell="1" allowOverlap="1">
                <wp:simplePos x="0" y="0"/>
                <wp:positionH relativeFrom="column">
                  <wp:posOffset>3913505</wp:posOffset>
                </wp:positionH>
                <wp:positionV relativeFrom="paragraph">
                  <wp:posOffset>977265</wp:posOffset>
                </wp:positionV>
                <wp:extent cx="930275" cy="297815"/>
                <wp:effectExtent l="4445" t="4445" r="17780" b="1145540"/>
                <wp:wrapNone/>
                <wp:docPr id="54" name="矩形标注 54"/>
                <wp:cNvGraphicFramePr/>
                <a:graphic xmlns:a="http://schemas.openxmlformats.org/drawingml/2006/main">
                  <a:graphicData uri="http://schemas.microsoft.com/office/word/2010/wordprocessingShape">
                    <wps:wsp>
                      <wps:cNvSpPr/>
                      <wps:spPr>
                        <a:xfrm>
                          <a:off x="0" y="0"/>
                          <a:ext cx="930275" cy="297815"/>
                        </a:xfrm>
                        <a:prstGeom prst="wedgeRectCallout">
                          <a:avLst>
                            <a:gd name="adj1" fmla="val 7269"/>
                            <a:gd name="adj2" fmla="val 417590"/>
                          </a:avLst>
                        </a:prstGeom>
                        <a:solidFill>
                          <a:srgbClr val="FFFF00"/>
                        </a:solidFill>
                        <a:ln w="9525" cap="flat" cmpd="sng">
                          <a:solidFill>
                            <a:srgbClr val="000000"/>
                          </a:solidFill>
                          <a:prstDash val="solid"/>
                          <a:miter/>
                          <a:headEnd type="none" w="med" len="med"/>
                          <a:tailEnd type="none" w="med" len="med"/>
                        </a:ln>
                      </wps:spPr>
                      <wps:txbx>
                        <w:txbxContent>
                          <w:p w14:paraId="643F1437">
                            <w:pPr>
                              <w:rPr>
                                <w:sz w:val="28"/>
                                <w:szCs w:val="28"/>
                              </w:rPr>
                            </w:pPr>
                            <w:r>
                              <w:rPr>
                                <w:rFonts w:hint="eastAsia"/>
                                <w:sz w:val="28"/>
                                <w:szCs w:val="28"/>
                              </w:rPr>
                              <w:t>项目厂区</w:t>
                            </w:r>
                          </w:p>
                        </w:txbxContent>
                      </wps:txbx>
                      <wps:bodyPr upright="1"/>
                    </wps:wsp>
                  </a:graphicData>
                </a:graphic>
              </wp:anchor>
            </w:drawing>
          </mc:Choice>
          <mc:Fallback>
            <w:pict>
              <v:shape id="_x0000_s1026" o:spid="_x0000_s1026" o:spt="61" type="#_x0000_t61" style="position:absolute;left:0pt;margin-left:308.15pt;margin-top:76.95pt;height:23.45pt;width:73.25pt;z-index:251673600;mso-width-relative:page;mso-height-relative:page;" fillcolor="#FFFF00" filled="t" stroked="t" coordsize="21600,21600" o:gfxdata="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tfr3vaAAAACwEAAA8AAAAAAAAAAQAgAAAAIgAAAGRycy9k&#10;b3ducmV2LnhtbFBLAQIUABQAAAAIAIdO4kDHksYBOQIAAI0EAAAOAAAAAAAAAAEAIAAAACkBAABk&#10;cnMvZTJvRG9jLnhtbFBLBQYAAAAABgAGAFkBAADUBQAAAAA=&#10;" adj="12370,100999">
                <v:fill on="t" focussize="0,0"/>
                <v:stroke color="#000000" joinstyle="miter"/>
                <v:imagedata o:title=""/>
                <o:lock v:ext="edit" aspectratio="f"/>
                <v:textbox>
                  <w:txbxContent>
                    <w:p w14:paraId="643F1437">
                      <w:pPr>
                        <w:rPr>
                          <w:sz w:val="28"/>
                          <w:szCs w:val="28"/>
                        </w:rPr>
                      </w:pPr>
                      <w:r>
                        <w:rPr>
                          <w:rFonts w:hint="eastAsia"/>
                          <w:sz w:val="28"/>
                          <w:szCs w:val="28"/>
                        </w:rPr>
                        <w:t>项目厂区</w:t>
                      </w:r>
                    </w:p>
                  </w:txbxContent>
                </v:textbox>
              </v:shape>
            </w:pict>
          </mc:Fallback>
        </mc:AlternateContent>
      </w:r>
      <w:r>
        <w:rPr>
          <w:rFonts w:hint="default" w:ascii="Times New Roman" w:hAnsi="Times New Roman" w:cs="Times New Roman"/>
          <w:sz w:val="18"/>
          <w:highlight w:val="none"/>
        </w:rPr>
        <mc:AlternateContent>
          <mc:Choice Requires="wps">
            <w:drawing>
              <wp:anchor distT="0" distB="0" distL="114300" distR="114300" simplePos="0" relativeHeight="251698176" behindDoc="0" locked="0" layoutInCell="1" allowOverlap="1">
                <wp:simplePos x="0" y="0"/>
                <wp:positionH relativeFrom="column">
                  <wp:posOffset>3894455</wp:posOffset>
                </wp:positionH>
                <wp:positionV relativeFrom="paragraph">
                  <wp:posOffset>2391410</wp:posOffset>
                </wp:positionV>
                <wp:extent cx="1381125" cy="762000"/>
                <wp:effectExtent l="6350" t="6350" r="22225" b="12700"/>
                <wp:wrapNone/>
                <wp:docPr id="27" name="任意多边形 27"/>
                <wp:cNvGraphicFramePr/>
                <a:graphic xmlns:a="http://schemas.openxmlformats.org/drawingml/2006/main">
                  <a:graphicData uri="http://schemas.microsoft.com/office/word/2010/wordprocessingShape">
                    <wps:wsp>
                      <wps:cNvSpPr/>
                      <wps:spPr>
                        <a:xfrm>
                          <a:off x="4592320" y="2980690"/>
                          <a:ext cx="1381125" cy="762000"/>
                        </a:xfrm>
                        <a:custGeom>
                          <a:avLst/>
                          <a:gdLst>
                            <a:gd name="connisteX0" fmla="*/ 9525 w 1381125"/>
                            <a:gd name="connsiteY0" fmla="*/ 9525 h 762000"/>
                            <a:gd name="connisteX1" fmla="*/ 0 w 1381125"/>
                            <a:gd name="connsiteY1" fmla="*/ 762000 h 762000"/>
                            <a:gd name="connisteX2" fmla="*/ 247650 w 1381125"/>
                            <a:gd name="connsiteY2" fmla="*/ 752475 h 762000"/>
                            <a:gd name="connisteX3" fmla="*/ 438150 w 1381125"/>
                            <a:gd name="connsiteY3" fmla="*/ 609600 h 762000"/>
                            <a:gd name="connisteX4" fmla="*/ 619125 w 1381125"/>
                            <a:gd name="connsiteY4" fmla="*/ 523875 h 762000"/>
                            <a:gd name="connisteX5" fmla="*/ 866775 w 1381125"/>
                            <a:gd name="connsiteY5" fmla="*/ 457200 h 762000"/>
                            <a:gd name="connisteX6" fmla="*/ 1114425 w 1381125"/>
                            <a:gd name="connsiteY6" fmla="*/ 390525 h 762000"/>
                            <a:gd name="connisteX7" fmla="*/ 1266825 w 1381125"/>
                            <a:gd name="connsiteY7" fmla="*/ 390525 h 762000"/>
                            <a:gd name="connisteX8" fmla="*/ 1371600 w 1381125"/>
                            <a:gd name="connsiteY8" fmla="*/ 342900 h 762000"/>
                            <a:gd name="connisteX9" fmla="*/ 1381125 w 1381125"/>
                            <a:gd name="connsiteY9" fmla="*/ 0 h 762000"/>
                            <a:gd name="connisteX10" fmla="*/ 9525 w 1381125"/>
                            <a:gd name="connsiteY10" fmla="*/ 9525 h 762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381125" h="762000">
                              <a:moveTo>
                                <a:pt x="9525" y="9525"/>
                              </a:moveTo>
                              <a:lnTo>
                                <a:pt x="0" y="762000"/>
                              </a:lnTo>
                              <a:lnTo>
                                <a:pt x="247650" y="752475"/>
                              </a:lnTo>
                              <a:lnTo>
                                <a:pt x="438150" y="609600"/>
                              </a:lnTo>
                              <a:lnTo>
                                <a:pt x="619125" y="523875"/>
                              </a:lnTo>
                              <a:lnTo>
                                <a:pt x="866775" y="457200"/>
                              </a:lnTo>
                              <a:lnTo>
                                <a:pt x="1114425" y="390525"/>
                              </a:lnTo>
                              <a:lnTo>
                                <a:pt x="1266825" y="390525"/>
                              </a:lnTo>
                              <a:lnTo>
                                <a:pt x="1371600" y="342900"/>
                              </a:lnTo>
                              <a:lnTo>
                                <a:pt x="1381125" y="0"/>
                              </a:lnTo>
                              <a:lnTo>
                                <a:pt x="9525" y="9525"/>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6.65pt;margin-top:188.3pt;height:60pt;width:108.75pt;z-index:251698176;mso-width-relative:page;mso-height-relative:page;" filled="f" stroked="t" coordsize="1381125,762000" o:gfxdata="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" path="m9525,9525l0,762000,247650,752475,438150,609600,619125,523875,866775,457200,1114425,390525,1266825,390525,1371600,342900,1381125,0,9525,9525xe">
                <v:path o:connectlocs="9525,9525;0,762000;247650,752475;438150,609600;619125,523875;866775,457200;1114425,390525;1266825,390525;1371600,342900;1381125,0;9525,9525" o:connectangles="0,0,0,0,0,0,0,0,0,0,0"/>
                <v:fill on="f" focussize="0,0"/>
                <v:stroke weight="1pt" color="#FF0000 [2404]" miterlimit="8" joinstyle="miter"/>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92032" behindDoc="0" locked="0" layoutInCell="1" allowOverlap="1">
                <wp:simplePos x="0" y="0"/>
                <wp:positionH relativeFrom="column">
                  <wp:posOffset>6028690</wp:posOffset>
                </wp:positionH>
                <wp:positionV relativeFrom="paragraph">
                  <wp:posOffset>2878455</wp:posOffset>
                </wp:positionV>
                <wp:extent cx="75565" cy="86995"/>
                <wp:effectExtent l="26670" t="34925" r="31115" b="49530"/>
                <wp:wrapNone/>
                <wp:docPr id="44" name="十字星 44"/>
                <wp:cNvGraphicFramePr/>
                <a:graphic xmlns:a="http://schemas.openxmlformats.org/drawingml/2006/main">
                  <a:graphicData uri="http://schemas.microsoft.com/office/word/2010/wordprocessingShape">
                    <wps:wsp>
                      <wps:cNvSpPr/>
                      <wps:spPr>
                        <a:xfrm>
                          <a:off x="6726555" y="3467735"/>
                          <a:ext cx="75565" cy="86995"/>
                        </a:xfrm>
                        <a:prstGeom prst="star4">
                          <a:avLst/>
                        </a:prstGeom>
                        <a:solidFill>
                          <a:srgbClr val="00B0F0"/>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74.7pt;margin-top:226.65pt;height:6.85pt;width:5.95pt;z-index:251692032;v-text-anchor:middle;mso-width-relative:page;mso-height-relative:page;" fillcolor="#00B0F0" filled="t" stroked="t" coordsize="21600,21600" o:gfxdata="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kz1oy2wAAAAsBAAAPAAAAAAAA&#10;AAEAIAAAACIAAABkcnMvZG93bnJldi54bWxQSwECFAAUAAAACACHTuJA6ohivoECAAADBQAADgAA&#10;AAAAAAABACAAAAAqAQAAZHJzL2Uyb0RvYy54bWxQSwUGAAAAAAYABgBZAQAAHQYAAAAA&#10;" adj="8100">
                <v:fill on="t" focussize="0,0"/>
                <v:stroke weight="1pt" color="#00B0F0 [2404]" miterlimit="8" joinstyle="miter"/>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67456" behindDoc="0" locked="0" layoutInCell="1" allowOverlap="1">
                <wp:simplePos x="0" y="0"/>
                <wp:positionH relativeFrom="column">
                  <wp:posOffset>2740660</wp:posOffset>
                </wp:positionH>
                <wp:positionV relativeFrom="paragraph">
                  <wp:posOffset>3153410</wp:posOffset>
                </wp:positionV>
                <wp:extent cx="1153795" cy="1360805"/>
                <wp:effectExtent l="0" t="6350" r="8255" b="4445"/>
                <wp:wrapNone/>
                <wp:docPr id="52" name="直接连接符 52"/>
                <wp:cNvGraphicFramePr/>
                <a:graphic xmlns:a="http://schemas.openxmlformats.org/drawingml/2006/main">
                  <a:graphicData uri="http://schemas.microsoft.com/office/word/2010/wordprocessingShape">
                    <wps:wsp>
                      <wps:cNvCnPr/>
                      <wps:spPr>
                        <a:xfrm flipH="1">
                          <a:off x="0" y="0"/>
                          <a:ext cx="1153795" cy="1360805"/>
                        </a:xfrm>
                        <a:prstGeom prst="line">
                          <a:avLst/>
                        </a:prstGeom>
                        <a:ln w="19050" cap="flat" cmpd="sng">
                          <a:solidFill>
                            <a:srgbClr val="FF0000"/>
                          </a:solidFill>
                          <a:prstDash val="solid"/>
                          <a:headEnd type="none" w="med" len="med"/>
                          <a:tailEnd type="arrow" w="med" len="med"/>
                        </a:ln>
                      </wps:spPr>
                      <wps:bodyPr/>
                    </wps:wsp>
                  </a:graphicData>
                </a:graphic>
              </wp:anchor>
            </w:drawing>
          </mc:Choice>
          <mc:Fallback>
            <w:pict>
              <v:line id="_x0000_s1026" o:spid="_x0000_s1026" o:spt="20" style="position:absolute;left:0pt;flip:x;margin-left:215.8pt;margin-top:248.3pt;height:107.15pt;width:90.85pt;z-index:251667456;mso-width-relative:page;mso-height-relative:page;" filled="f" stroked="t" coordsize="21600,21600" o:gfxdata="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vYB0Y2AAAAAsBAAAPAAAAAAAAAAEAIAAAACIAAABkcnMv&#10;ZG93bnJldi54bWxQSwECFAAUAAAACACHTuJAXPrQigMCAADsAwAADgAAAAAAAAABACAAAAAnAQAA&#10;ZHJzL2Uyb0RvYy54bWxQSwUGAAAAAAYABgBZAQAAnAUAAAAA&#10;">
                <v:fill on="f" focussize="0,0"/>
                <v:stroke weight="1.5pt" color="#FF0000" joinstyle="round" endarrow="open"/>
                <v:imagedata o:title=""/>
                <o:lock v:ext="edit" aspectratio="f"/>
              </v:line>
            </w:pict>
          </mc:Fallback>
        </mc:AlternateContent>
      </w:r>
      <w:r>
        <w:rPr>
          <w:rFonts w:hint="default" w:ascii="Times New Roman" w:hAnsi="Times New Roman" w:cs="Times New Roman"/>
          <w:highlight w:val="none"/>
        </w:rPr>
        <w:drawing>
          <wp:inline distT="0" distB="0" distL="114300" distR="114300">
            <wp:extent cx="8114030" cy="5951220"/>
            <wp:effectExtent l="0" t="0" r="1270" b="1143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pic:cNvPicPr>
                  </pic:nvPicPr>
                  <pic:blipFill>
                    <a:blip r:embed="rId59"/>
                    <a:stretch>
                      <a:fillRect/>
                    </a:stretch>
                  </pic:blipFill>
                  <pic:spPr>
                    <a:xfrm>
                      <a:off x="0" y="0"/>
                      <a:ext cx="8114030" cy="5951220"/>
                    </a:xfrm>
                    <a:prstGeom prst="rect">
                      <a:avLst/>
                    </a:prstGeom>
                    <a:noFill/>
                    <a:ln>
                      <a:noFill/>
                    </a:ln>
                  </pic:spPr>
                </pic:pic>
              </a:graphicData>
            </a:graphic>
          </wp:inline>
        </w:drawing>
      </w:r>
    </w:p>
    <w:p w14:paraId="7BB07311">
      <w:pPr>
        <w:pStyle w:val="15"/>
        <w:spacing w:line="243" w:lineRule="auto"/>
        <w:jc w:val="center"/>
        <w:rPr>
          <w:rFonts w:hint="default" w:ascii="Times New Roman" w:hAnsi="Times New Roman" w:eastAsia="黑体" w:cs="Times New Roman"/>
          <w:spacing w:val="-4"/>
          <w:sz w:val="24"/>
          <w:szCs w:val="24"/>
          <w:highlight w:val="none"/>
        </w:rPr>
      </w:pPr>
      <w:r>
        <w:rPr>
          <w:rFonts w:hint="default" w:ascii="Times New Roman" w:hAnsi="Times New Roman" w:cs="Times New Roman"/>
          <w:highlight w:val="none"/>
        </w:rPr>
        <mc:AlternateContent>
          <mc:Choice Requires="wps">
            <w:drawing>
              <wp:anchor distT="0" distB="0" distL="114300" distR="114300" simplePos="0" relativeHeight="251660288" behindDoc="0" locked="0" layoutInCell="1" allowOverlap="1">
                <wp:simplePos x="0" y="0"/>
                <wp:positionH relativeFrom="column">
                  <wp:posOffset>8482965</wp:posOffset>
                </wp:positionH>
                <wp:positionV relativeFrom="paragraph">
                  <wp:posOffset>3103880</wp:posOffset>
                </wp:positionV>
                <wp:extent cx="311785" cy="716280"/>
                <wp:effectExtent l="5080" t="4445" r="18415" b="10795"/>
                <wp:wrapNone/>
                <wp:docPr id="51" name="文本框 51"/>
                <wp:cNvGraphicFramePr/>
                <a:graphic xmlns:a="http://schemas.openxmlformats.org/drawingml/2006/main">
                  <a:graphicData uri="http://schemas.microsoft.com/office/word/2010/wordprocessingShape">
                    <wps:wsp>
                      <wps:cNvSpPr txBox="1"/>
                      <wps:spPr>
                        <a:xfrm>
                          <a:off x="0" y="0"/>
                          <a:ext cx="311785" cy="716280"/>
                        </a:xfrm>
                        <a:prstGeom prst="rect">
                          <a:avLst/>
                        </a:prstGeom>
                        <a:solidFill>
                          <a:srgbClr val="FDEADA"/>
                        </a:solidFill>
                        <a:ln w="9525" cap="flat" cmpd="sng">
                          <a:solidFill>
                            <a:srgbClr val="000000"/>
                          </a:solidFill>
                          <a:prstDash val="solid"/>
                          <a:miter/>
                          <a:headEnd type="none" w="med" len="med"/>
                          <a:tailEnd type="none" w="med" len="med"/>
                        </a:ln>
                      </wps:spPr>
                      <wps:txbx>
                        <w:txbxContent>
                          <w:p w14:paraId="48CEFED6">
                            <w:r>
                              <w:rPr>
                                <w:rFonts w:hint="eastAsia"/>
                              </w:rPr>
                              <w:t>田家庄</w:t>
                            </w:r>
                          </w:p>
                        </w:txbxContent>
                      </wps:txbx>
                      <wps:bodyPr upright="1"/>
                    </wps:wsp>
                  </a:graphicData>
                </a:graphic>
              </wp:anchor>
            </w:drawing>
          </mc:Choice>
          <mc:Fallback>
            <w:pict>
              <v:shape id="_x0000_s1026" o:spid="_x0000_s1026" o:spt="202" type="#_x0000_t202" style="position:absolute;left:0pt;margin-left:667.95pt;margin-top:244.4pt;height:56.4pt;width:24.55pt;z-index:251660288;mso-width-relative:page;mso-height-relative:page;" fillcolor="#FDEADA" filled="t" stroked="t" coordsize="21600,21600" o:gfxdata="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Cs5872QAAAA0BAAAPAAAAAAAA&#10;AAEAIAAAACIAAABkcnMvZG93bnJldi54bWxQSwECFAAUAAAACACHTuJAnterFhECAAA3BAAADgAA&#10;AAAAAAABACAAAAAoAQAAZHJzL2Uyb0RvYy54bWxQSwUGAAAAAAYABgBZAQAAqwUAAAAA&#10;">
                <v:fill on="t" focussize="0,0"/>
                <v:stroke color="#000000" joinstyle="miter"/>
                <v:imagedata o:title=""/>
                <o:lock v:ext="edit" aspectratio="f"/>
                <v:textbox>
                  <w:txbxContent>
                    <w:p w14:paraId="48CEFED6">
                      <w:r>
                        <w:rPr>
                          <w:rFonts w:hint="eastAsia"/>
                        </w:rPr>
                        <w:t>田家庄</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59264" behindDoc="0" locked="0" layoutInCell="1" allowOverlap="1">
                <wp:simplePos x="0" y="0"/>
                <wp:positionH relativeFrom="column">
                  <wp:posOffset>8025765</wp:posOffset>
                </wp:positionH>
                <wp:positionV relativeFrom="paragraph">
                  <wp:posOffset>2577465</wp:posOffset>
                </wp:positionV>
                <wp:extent cx="868680" cy="2400300"/>
                <wp:effectExtent l="6350" t="6350" r="8890" b="16510"/>
                <wp:wrapNone/>
                <wp:docPr id="50" name="任意多边形 50"/>
                <wp:cNvGraphicFramePr/>
                <a:graphic xmlns:a="http://schemas.openxmlformats.org/drawingml/2006/main">
                  <a:graphicData uri="http://schemas.microsoft.com/office/word/2010/wordprocessingShape">
                    <wps:wsp>
                      <wps:cNvSpPr/>
                      <wps:spPr>
                        <a:xfrm>
                          <a:off x="0" y="0"/>
                          <a:ext cx="868680" cy="2400300"/>
                        </a:xfrm>
                        <a:custGeom>
                          <a:avLst/>
                          <a:gdLst/>
                          <a:ahLst/>
                          <a:cxnLst/>
                          <a:rect l="0" t="0" r="0" b="0"/>
                          <a:pathLst>
                            <a:path w="1368" h="3780">
                              <a:moveTo>
                                <a:pt x="1368" y="0"/>
                              </a:moveTo>
                              <a:lnTo>
                                <a:pt x="492" y="205"/>
                              </a:lnTo>
                              <a:lnTo>
                                <a:pt x="528" y="889"/>
                              </a:lnTo>
                              <a:lnTo>
                                <a:pt x="48" y="876"/>
                              </a:lnTo>
                              <a:lnTo>
                                <a:pt x="0" y="1776"/>
                              </a:lnTo>
                              <a:lnTo>
                                <a:pt x="624" y="1885"/>
                              </a:lnTo>
                              <a:lnTo>
                                <a:pt x="648" y="3780"/>
                              </a:lnTo>
                              <a:lnTo>
                                <a:pt x="1368" y="3636"/>
                              </a:lnTo>
                              <a:lnTo>
                                <a:pt x="1320" y="3660"/>
                              </a:lnTo>
                              <a:lnTo>
                                <a:pt x="1368" y="0"/>
                              </a:lnTo>
                              <a:close/>
                            </a:path>
                          </a:pathLst>
                        </a:custGeom>
                        <a:solidFill>
                          <a:srgbClr val="FDEADA">
                            <a:alpha val="21999"/>
                          </a:srgbClr>
                        </a:solidFill>
                        <a:ln w="12700" cap="flat" cmpd="sng">
                          <a:solidFill>
                            <a:srgbClr val="FFC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631.95pt;margin-top:202.95pt;height:189pt;width:68.4pt;z-index:251659264;mso-width-relative:page;mso-height-relative:page;" fillcolor="#FDEADA" filled="t" stroked="t" coordsize="1368,3780" o:gfxdata="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zsMFtNoAAAANAQAADwAAAAAAAAABACAAAAAiAAAAZHJz&#10;L2Rvd25yZXYueG1sUEsBAhQAFAAAAAgAh07iQIdiDLytAgAATwYAAA4AAAAAAAAAAQAgAAAAKQEA&#10;AGRycy9lMm9Eb2MueG1sUEsFBgAAAAAGAAYAWQEAAEgGAAAAAA==&#10;" path="m1368,0l492,205,528,889,48,876,0,1776,624,1885,648,3780,1368,3636,1320,3660,1368,0xe">
                <v:fill on="t" opacity="14417f" focussize="0,0"/>
                <v:stroke weight="1pt" color="#FFC000" joinstyle="round"/>
                <v:imagedata o:title=""/>
                <o:lock v:ext="edit" aspectratio="f"/>
              </v:shape>
            </w:pict>
          </mc:Fallback>
        </mc:AlternateContent>
      </w:r>
      <w:r>
        <w:rPr>
          <w:rFonts w:hint="default" w:ascii="Times New Roman" w:hAnsi="Times New Roman" w:eastAsia="黑体" w:cs="Times New Roman"/>
          <w:spacing w:val="-4"/>
          <w:sz w:val="24"/>
          <w:szCs w:val="24"/>
          <w:highlight w:val="none"/>
        </w:rPr>
        <w:t>附图2  环境保护目标及周边关系图</w:t>
      </w:r>
    </w:p>
    <w:p w14:paraId="3B3B4E5C">
      <w:pPr>
        <w:spacing w:before="78" w:line="219" w:lineRule="auto"/>
        <w:ind w:left="42"/>
        <w:jc w:val="center"/>
        <w:rPr>
          <w:rFonts w:hint="default" w:ascii="Times New Roman" w:hAnsi="Times New Roman" w:cs="Times New Roman"/>
          <w:highlight w:val="none"/>
        </w:rPr>
      </w:pPr>
      <w:r>
        <w:rPr>
          <w:sz w:val="21"/>
          <w:highlight w:val="none"/>
        </w:rPr>
        <mc:AlternateContent>
          <mc:Choice Requires="wps">
            <w:drawing>
              <wp:anchor distT="0" distB="0" distL="114300" distR="114300" simplePos="0" relativeHeight="251729920" behindDoc="0" locked="0" layoutInCell="1" allowOverlap="1">
                <wp:simplePos x="0" y="0"/>
                <wp:positionH relativeFrom="column">
                  <wp:posOffset>6180455</wp:posOffset>
                </wp:positionH>
                <wp:positionV relativeFrom="paragraph">
                  <wp:posOffset>1685925</wp:posOffset>
                </wp:positionV>
                <wp:extent cx="1095375" cy="895350"/>
                <wp:effectExtent l="0" t="0" r="9525" b="0"/>
                <wp:wrapNone/>
                <wp:docPr id="41" name="任意多边形 41"/>
                <wp:cNvGraphicFramePr/>
                <a:graphic xmlns:a="http://schemas.openxmlformats.org/drawingml/2006/main">
                  <a:graphicData uri="http://schemas.microsoft.com/office/word/2010/wordprocessingShape">
                    <wps:wsp>
                      <wps:cNvSpPr/>
                      <wps:spPr>
                        <a:xfrm>
                          <a:off x="6878320" y="2275205"/>
                          <a:ext cx="1095375" cy="895350"/>
                        </a:xfrm>
                        <a:custGeom>
                          <a:avLst/>
                          <a:gdLst>
                            <a:gd name="connisteX0" fmla="*/ 0 w 1095375"/>
                            <a:gd name="connsiteY0" fmla="*/ 9525 h 895350"/>
                            <a:gd name="connisteX1" fmla="*/ 9525 w 1095375"/>
                            <a:gd name="connsiteY1" fmla="*/ 514350 h 895350"/>
                            <a:gd name="connisteX2" fmla="*/ 123825 w 1095375"/>
                            <a:gd name="connsiteY2" fmla="*/ 876300 h 895350"/>
                            <a:gd name="connisteX3" fmla="*/ 809625 w 1095375"/>
                            <a:gd name="connsiteY3" fmla="*/ 895350 h 895350"/>
                            <a:gd name="connisteX4" fmla="*/ 1009650 w 1095375"/>
                            <a:gd name="connsiteY4" fmla="*/ 838200 h 895350"/>
                            <a:gd name="connisteX5" fmla="*/ 1095375 w 1095375"/>
                            <a:gd name="connsiteY5" fmla="*/ 666750 h 895350"/>
                            <a:gd name="connisteX6" fmla="*/ 1085850 w 1095375"/>
                            <a:gd name="connsiteY6" fmla="*/ 142875 h 895350"/>
                            <a:gd name="connisteX7" fmla="*/ 952500 w 1095375"/>
                            <a:gd name="connsiteY7" fmla="*/ 0 h 895350"/>
                            <a:gd name="connisteX8" fmla="*/ 0 w 1095375"/>
                            <a:gd name="connsiteY8" fmla="*/ 9525 h 8953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095375" h="895350">
                              <a:moveTo>
                                <a:pt x="0" y="9525"/>
                              </a:moveTo>
                              <a:lnTo>
                                <a:pt x="9525" y="514350"/>
                              </a:lnTo>
                              <a:lnTo>
                                <a:pt x="123825" y="876300"/>
                              </a:lnTo>
                              <a:lnTo>
                                <a:pt x="809625" y="895350"/>
                              </a:lnTo>
                              <a:lnTo>
                                <a:pt x="1009650" y="838200"/>
                              </a:lnTo>
                              <a:lnTo>
                                <a:pt x="1095375" y="666750"/>
                              </a:lnTo>
                              <a:lnTo>
                                <a:pt x="1085850" y="142875"/>
                              </a:lnTo>
                              <a:lnTo>
                                <a:pt x="952500" y="0"/>
                              </a:lnTo>
                              <a:lnTo>
                                <a:pt x="0" y="9525"/>
                              </a:lnTo>
                              <a:close/>
                            </a:path>
                          </a:pathLst>
                        </a:cu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86.65pt;margin-top:132.75pt;height:70.5pt;width:86.25pt;z-index:251729920;mso-width-relative:page;mso-height-relative:page;" fillcolor="#FFFFFF [3212]" filled="t" stroked="f" coordsize="1095375,895350" o:gfxdata="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" path="m0,9525l9525,514350,123825,876300,809625,895350,1009650,838200,1095375,666750,1085850,142875,952500,0,0,9525xe">
                <v:path o:connectlocs="0,9525;9525,514350;123825,876300;809625,895350;1009650,838200;1095375,666750;1085850,142875;952500,0;0,9525" o:connectangles="0,0,0,0,0,0,0,0,0"/>
                <v:fill on="t" focussize="0,0"/>
                <v:stroke on="f" weight="1pt" miterlimit="8" joinstyle="miter"/>
                <v:imagedata o:title=""/>
                <o:lock v:ext="edit" aspectratio="f"/>
              </v:shape>
            </w:pict>
          </mc:Fallback>
        </mc:AlternateContent>
      </w:r>
      <w:r>
        <w:rPr>
          <w:sz w:val="21"/>
          <w:highlight w:val="none"/>
        </w:rPr>
        <mc:AlternateContent>
          <mc:Choice Requires="wps">
            <w:drawing>
              <wp:anchor distT="0" distB="0" distL="114300" distR="114300" simplePos="0" relativeHeight="251728896" behindDoc="0" locked="0" layoutInCell="1" allowOverlap="1">
                <wp:simplePos x="0" y="0"/>
                <wp:positionH relativeFrom="column">
                  <wp:posOffset>1179830</wp:posOffset>
                </wp:positionH>
                <wp:positionV relativeFrom="paragraph">
                  <wp:posOffset>4572000</wp:posOffset>
                </wp:positionV>
                <wp:extent cx="1514475" cy="1219200"/>
                <wp:effectExtent l="0" t="0" r="9525" b="0"/>
                <wp:wrapNone/>
                <wp:docPr id="40" name="任意多边形 40"/>
                <wp:cNvGraphicFramePr/>
                <a:graphic xmlns:a="http://schemas.openxmlformats.org/drawingml/2006/main">
                  <a:graphicData uri="http://schemas.microsoft.com/office/word/2010/wordprocessingShape">
                    <wps:wsp>
                      <wps:cNvSpPr/>
                      <wps:spPr>
                        <a:xfrm>
                          <a:off x="1877695" y="5161280"/>
                          <a:ext cx="1514475" cy="1219200"/>
                        </a:xfrm>
                        <a:custGeom>
                          <a:avLst/>
                          <a:gdLst>
                            <a:gd name="connisteX0" fmla="*/ 9525 w 1514475"/>
                            <a:gd name="connsiteY0" fmla="*/ 9525 h 1219200"/>
                            <a:gd name="connisteX1" fmla="*/ 0 w 1514475"/>
                            <a:gd name="connsiteY1" fmla="*/ 1219200 h 1219200"/>
                            <a:gd name="connisteX2" fmla="*/ 323850 w 1514475"/>
                            <a:gd name="connsiteY2" fmla="*/ 1181100 h 1219200"/>
                            <a:gd name="connisteX3" fmla="*/ 1514475 w 1514475"/>
                            <a:gd name="connsiteY3" fmla="*/ 0 h 1219200"/>
                            <a:gd name="connisteX4" fmla="*/ 9525 w 1514475"/>
                            <a:gd name="connsiteY4" fmla="*/ 9525 h 12192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514475" h="1219200">
                              <a:moveTo>
                                <a:pt x="9525" y="9525"/>
                              </a:moveTo>
                              <a:lnTo>
                                <a:pt x="0" y="1219200"/>
                              </a:lnTo>
                              <a:lnTo>
                                <a:pt x="323850" y="1181100"/>
                              </a:lnTo>
                              <a:lnTo>
                                <a:pt x="1514475" y="0"/>
                              </a:lnTo>
                              <a:lnTo>
                                <a:pt x="9525" y="9525"/>
                              </a:lnTo>
                              <a:close/>
                            </a:path>
                          </a:pathLst>
                        </a:cu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92.9pt;margin-top:360pt;height:96pt;width:119.25pt;z-index:251728896;mso-width-relative:page;mso-height-relative:page;" fillcolor="#FFFFFF [3212]" filled="t" stroked="f" coordsize="1514475,1219200" o:gfxdata="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IETJk7YAAAACwEAAA8AAAAAAAAAAQAgAAAAIgAAAGRycy9kb3ducmV2&#10;LnhtbFBLAQIUABQAAAAIAIdO4kCYPX2qGQMAAFwIAAAOAAAAAAAAAAEAIAAAACcBAABkcnMvZTJv&#10;RG9jLnhtbFBLBQYAAAAABgAGAFkBAACyBgAAAAA=&#10;" path="m9525,9525l0,1219200,323850,1181100,1514475,0,9525,9525xe">
                <v:path o:connectlocs="9525,9525;0,1219200;323850,1181100;1514475,0;9525,9525" o:connectangles="0,0,0,0,0"/>
                <v:fill on="t" focussize="0,0"/>
                <v:stroke on="f" weight="1pt" miterlimit="8" joinstyle="miter"/>
                <v:imagedata o:title=""/>
                <o:lock v:ext="edit" aspectratio="f"/>
              </v:shape>
            </w:pict>
          </mc:Fallback>
        </mc:AlternateContent>
      </w:r>
      <w:r>
        <w:rPr>
          <w:sz w:val="21"/>
          <w:highlight w:val="none"/>
        </w:rPr>
        <mc:AlternateContent>
          <mc:Choice Requires="wps">
            <w:drawing>
              <wp:anchor distT="0" distB="0" distL="114300" distR="114300" simplePos="0" relativeHeight="251727872" behindDoc="0" locked="0" layoutInCell="1" allowOverlap="1">
                <wp:simplePos x="0" y="0"/>
                <wp:positionH relativeFrom="column">
                  <wp:posOffset>2703830</wp:posOffset>
                </wp:positionH>
                <wp:positionV relativeFrom="paragraph">
                  <wp:posOffset>2076450</wp:posOffset>
                </wp:positionV>
                <wp:extent cx="1104900" cy="1762125"/>
                <wp:effectExtent l="0" t="0" r="0" b="9525"/>
                <wp:wrapNone/>
                <wp:docPr id="39" name="矩形 39"/>
                <wp:cNvGraphicFramePr/>
                <a:graphic xmlns:a="http://schemas.openxmlformats.org/drawingml/2006/main">
                  <a:graphicData uri="http://schemas.microsoft.com/office/word/2010/wordprocessingShape">
                    <wps:wsp>
                      <wps:cNvSpPr/>
                      <wps:spPr>
                        <a:xfrm>
                          <a:off x="0" y="0"/>
                          <a:ext cx="1104900" cy="176212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9pt;margin-top:163.5pt;height:138.75pt;width:87pt;z-index:251727872;v-text-anchor:middle;mso-width-relative:page;mso-height-relative:page;" fillcolor="#FFFFFF [3212]" filled="t" stroked="f" coordsize="21600,21600" o:gfxdata="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2nl0TbAAAACwEAAA8AAAAAAAAAAQAgAAAAIgAAAGRycy9kb3ducmV2&#10;LnhtbFBLAQIUABQAAAAIAIdO4kAfrkAeawIAAM4EAAAOAAAAAAAAAAEAIAAAACoBAABkcnMvZTJv&#10;RG9jLnhtbFBLBQYAAAAABgAGAFkBAAAHBgAAAAA=&#10;">
                <v:fill on="t" focussize="0,0"/>
                <v:stroke on="f" weight="1pt" miterlimit="8" joinstyle="miter"/>
                <v:imagedata o:title=""/>
                <o:lock v:ext="edit" aspectratio="f"/>
              </v:rect>
            </w:pict>
          </mc:Fallback>
        </mc:AlternateContent>
      </w:r>
      <w:r>
        <w:rPr>
          <w:sz w:val="21"/>
          <w:highlight w:val="none"/>
        </w:rPr>
        <mc:AlternateContent>
          <mc:Choice Requires="wps">
            <w:drawing>
              <wp:anchor distT="0" distB="0" distL="114300" distR="114300" simplePos="0" relativeHeight="251726848" behindDoc="0" locked="0" layoutInCell="1" allowOverlap="1">
                <wp:simplePos x="0" y="0"/>
                <wp:positionH relativeFrom="column">
                  <wp:posOffset>1208405</wp:posOffset>
                </wp:positionH>
                <wp:positionV relativeFrom="paragraph">
                  <wp:posOffset>2886075</wp:posOffset>
                </wp:positionV>
                <wp:extent cx="1485900" cy="1724025"/>
                <wp:effectExtent l="0" t="0" r="0" b="9525"/>
                <wp:wrapNone/>
                <wp:docPr id="32" name="矩形 32"/>
                <wp:cNvGraphicFramePr/>
                <a:graphic xmlns:a="http://schemas.openxmlformats.org/drawingml/2006/main">
                  <a:graphicData uri="http://schemas.microsoft.com/office/word/2010/wordprocessingShape">
                    <wps:wsp>
                      <wps:cNvSpPr/>
                      <wps:spPr>
                        <a:xfrm>
                          <a:off x="0" y="0"/>
                          <a:ext cx="1485900" cy="172402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15pt;margin-top:227.25pt;height:135.75pt;width:117pt;z-index:251726848;v-text-anchor:middle;mso-width-relative:page;mso-height-relative:page;" fillcolor="#FFFFFF [3212]" filled="t" stroked="f" coordsize="21600,21600" o:gfxdata="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5t7L/aAAAACwEAAA8AAAAAAAAAAQAgAAAAIgAAAGRycy9kb3ducmV2&#10;LnhtbFBLAQIUABQAAAAIAIdO4kDpXCqPbAIAAM4EAAAOAAAAAAAAAAEAIAAAACkBAABkcnMvZTJv&#10;RG9jLnhtbFBLBQYAAAAABgAGAFkBAAAHBgAAAAA=&#10;">
                <v:fill on="t" focussize="0,0"/>
                <v:stroke on="f" weight="1pt" miterlimit="8" joinstyle="miter"/>
                <v:imagedata o:title=""/>
                <o:lock v:ext="edit" aspectratio="f"/>
              </v:rect>
            </w:pict>
          </mc:Fallback>
        </mc:AlternateContent>
      </w:r>
      <w:r>
        <w:rPr>
          <w:sz w:val="21"/>
          <w:highlight w:val="none"/>
        </w:rPr>
        <mc:AlternateContent>
          <mc:Choice Requires="wps">
            <w:drawing>
              <wp:anchor distT="0" distB="0" distL="114300" distR="114300" simplePos="0" relativeHeight="251725824" behindDoc="0" locked="0" layoutInCell="1" allowOverlap="1">
                <wp:simplePos x="0" y="0"/>
                <wp:positionH relativeFrom="column">
                  <wp:posOffset>3446780</wp:posOffset>
                </wp:positionH>
                <wp:positionV relativeFrom="paragraph">
                  <wp:posOffset>476250</wp:posOffset>
                </wp:positionV>
                <wp:extent cx="3523615" cy="1076325"/>
                <wp:effectExtent l="0" t="0" r="635" b="9525"/>
                <wp:wrapNone/>
                <wp:docPr id="30" name="矩形 30"/>
                <wp:cNvGraphicFramePr/>
                <a:graphic xmlns:a="http://schemas.openxmlformats.org/drawingml/2006/main">
                  <a:graphicData uri="http://schemas.microsoft.com/office/word/2010/wordprocessingShape">
                    <wps:wsp>
                      <wps:cNvSpPr/>
                      <wps:spPr>
                        <a:xfrm>
                          <a:off x="4144645" y="1065530"/>
                          <a:ext cx="3523615" cy="107632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1.4pt;margin-top:37.5pt;height:84.75pt;width:277.45pt;z-index:251725824;v-text-anchor:middle;mso-width-relative:page;mso-height-relative:page;" fillcolor="#FFFFFF [3212]" filled="t" stroked="f" coordsize="21600,21600" o:gfxdata="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&#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6Zcrr2gAAAAsBAAAPAAAAAAAAAAEAIAAAACIAAABk&#10;cnMvZG93bnJldi54bWxQSwECFAAUAAAACACHTuJAblAEznYCAADaBAAADgAAAAAAAAABACAAAAAp&#10;AQAAZHJzL2Uyb0RvYy54bWxQSwUGAAAAAAYABgBZAQAAEQYAAAAA&#10;">
                <v:fill on="t" focussize="0,0"/>
                <v:stroke on="f" weight="1pt"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24800" behindDoc="0" locked="0" layoutInCell="1" allowOverlap="1">
                <wp:simplePos x="0" y="0"/>
                <wp:positionH relativeFrom="column">
                  <wp:posOffset>4961255</wp:posOffset>
                </wp:positionH>
                <wp:positionV relativeFrom="paragraph">
                  <wp:posOffset>1769110</wp:posOffset>
                </wp:positionV>
                <wp:extent cx="810260" cy="371475"/>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810260"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4C05B6">
                            <w:pPr>
                              <w:rPr>
                                <w:rFonts w:hint="default" w:eastAsia="宋体"/>
                                <w:highlight w:val="cyan"/>
                                <w:lang w:val="en-US" w:eastAsia="zh-CN"/>
                              </w:rPr>
                            </w:pPr>
                            <w:r>
                              <w:rPr>
                                <w:rFonts w:hint="eastAsia" w:eastAsia="宋体"/>
                                <w:highlight w:val="cyan"/>
                                <w:lang w:val="en-US" w:eastAsia="zh-CN"/>
                              </w:rPr>
                              <w:t>卸车区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0.65pt;margin-top:139.3pt;height:29.25pt;width:63.8pt;z-index:251724800;mso-width-relative:page;mso-height-relative:page;" filled="f" stroked="f" coordsize="21600,21600" o:gfxdata="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XunfcAAAACwEAAA8AAAAAAAAAAQAgAAAAIgAA&#10;AGRycy9kb3ducmV2LnhtbFBLAQIUABQAAAAIAIdO4kA4lkV3PQIAAGcEAAAOAAAAAAAAAAEAIAAA&#10;ACsBAABkcnMvZTJvRG9jLnhtbFBLBQYAAAAABgAGAFkBAADaBQAAAAA=&#10;">
                <v:fill on="f" focussize="0,0"/>
                <v:stroke on="f" weight="0.5pt"/>
                <v:imagedata o:title=""/>
                <o:lock v:ext="edit" aspectratio="f"/>
                <v:textbox>
                  <w:txbxContent>
                    <w:p w14:paraId="244C05B6">
                      <w:pPr>
                        <w:rPr>
                          <w:rFonts w:hint="default" w:eastAsia="宋体"/>
                          <w:highlight w:val="cyan"/>
                          <w:lang w:val="en-US" w:eastAsia="zh-CN"/>
                        </w:rPr>
                      </w:pPr>
                      <w:r>
                        <w:rPr>
                          <w:rFonts w:hint="eastAsia" w:eastAsia="宋体"/>
                          <w:highlight w:val="cyan"/>
                          <w:lang w:val="en-US" w:eastAsia="zh-CN"/>
                        </w:rPr>
                        <w:t>卸车区</w:t>
                      </w:r>
                    </w:p>
                  </w:txbxContent>
                </v:textbox>
              </v:shape>
            </w:pict>
          </mc:Fallback>
        </mc:AlternateContent>
      </w:r>
      <w:r>
        <w:rPr>
          <w:sz w:val="21"/>
          <w:highlight w:val="none"/>
        </w:rPr>
        <mc:AlternateContent>
          <mc:Choice Requires="wps">
            <w:drawing>
              <wp:anchor distT="0" distB="0" distL="114300" distR="114300" simplePos="0" relativeHeight="251723776" behindDoc="0" locked="0" layoutInCell="1" allowOverlap="1">
                <wp:simplePos x="0" y="0"/>
                <wp:positionH relativeFrom="column">
                  <wp:posOffset>4837430</wp:posOffset>
                </wp:positionH>
                <wp:positionV relativeFrom="paragraph">
                  <wp:posOffset>1695450</wp:posOffset>
                </wp:positionV>
                <wp:extent cx="904875" cy="638175"/>
                <wp:effectExtent l="27940" t="19050" r="38735" b="28575"/>
                <wp:wrapNone/>
                <wp:docPr id="21" name="任意多边形 21"/>
                <wp:cNvGraphicFramePr/>
                <a:graphic xmlns:a="http://schemas.openxmlformats.org/drawingml/2006/main">
                  <a:graphicData uri="http://schemas.microsoft.com/office/word/2010/wordprocessingShape">
                    <wps:wsp>
                      <wps:cNvSpPr/>
                      <wps:spPr>
                        <a:xfrm>
                          <a:off x="5535295" y="2284730"/>
                          <a:ext cx="904875" cy="638175"/>
                        </a:xfrm>
                        <a:custGeom>
                          <a:avLst/>
                          <a:gdLst>
                            <a:gd name="connisteX0" fmla="*/ 0 w 904875"/>
                            <a:gd name="connsiteY0" fmla="*/ 0 h 638175"/>
                            <a:gd name="connisteX1" fmla="*/ 257175 w 904875"/>
                            <a:gd name="connsiteY1" fmla="*/ 638175 h 638175"/>
                            <a:gd name="connisteX2" fmla="*/ 904875 w 904875"/>
                            <a:gd name="connsiteY2" fmla="*/ 400050 h 638175"/>
                            <a:gd name="connisteX3" fmla="*/ 762000 w 904875"/>
                            <a:gd name="connsiteY3" fmla="*/ 0 h 638175"/>
                            <a:gd name="connisteX4" fmla="*/ 0 w 904875"/>
                            <a:gd name="connsiteY4" fmla="*/ 0 h 6381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04875" h="638175">
                              <a:moveTo>
                                <a:pt x="0" y="0"/>
                              </a:moveTo>
                              <a:lnTo>
                                <a:pt x="257175" y="638175"/>
                              </a:lnTo>
                              <a:lnTo>
                                <a:pt x="904875" y="400050"/>
                              </a:lnTo>
                              <a:lnTo>
                                <a:pt x="762000" y="0"/>
                              </a:lnTo>
                              <a:lnTo>
                                <a:pt x="0" y="0"/>
                              </a:lnTo>
                              <a:close/>
                            </a:path>
                          </a:pathLst>
                        </a:cu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80.9pt;margin-top:133.5pt;height:50.25pt;width:71.25pt;z-index:251723776;mso-width-relative:page;mso-height-relative:page;" filled="f" stroked="t" coordsize="904875,638175" o:gfxdata="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FMp7z9sAAAALAQAADwAAAAAAAAABACAAAAAiAAAAZHJzL2Rvd25y&#10;ZXYueG1sUEsBAhQAFAAAAAgAh07iQLGnoDMYAwAAOggAAA4AAAAAAAAAAQAgAAAAKgEAAGRycy9l&#10;Mm9Eb2MueG1sUEsFBgAAAAAGAAYAWQEAALQGAAAAAA==&#10;" path="m0,0l257175,638175,904875,400050,762000,0,0,0xe">
                <v:path o:connectlocs="0,0;257175,638175;904875,400050;762000,0;0,0" o:connectangles="0,0,0,0,0"/>
                <v:fill on="f" focussize="0,0"/>
                <v:stroke weight="3pt" color="#FF0000 [2404]" miterlimit="8" joinstyle="miter"/>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22752" behindDoc="0" locked="0" layoutInCell="1" allowOverlap="1">
                <wp:simplePos x="0" y="0"/>
                <wp:positionH relativeFrom="column">
                  <wp:posOffset>1656080</wp:posOffset>
                </wp:positionH>
                <wp:positionV relativeFrom="paragraph">
                  <wp:posOffset>2235835</wp:posOffset>
                </wp:positionV>
                <wp:extent cx="810260" cy="371475"/>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810260"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6C6FEB">
                            <w:pPr>
                              <w:rPr>
                                <w:rFonts w:hint="default" w:eastAsia="宋体"/>
                                <w:highlight w:val="cyan"/>
                                <w:lang w:val="en-US" w:eastAsia="zh-CN"/>
                              </w:rPr>
                            </w:pPr>
                            <w:r>
                              <w:rPr>
                                <w:rFonts w:hint="eastAsia" w:eastAsia="宋体"/>
                                <w:highlight w:val="cyan"/>
                                <w:lang w:val="en-US" w:eastAsia="zh-CN"/>
                              </w:rPr>
                              <w:t>灌装车间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4pt;margin-top:176.05pt;height:29.25pt;width:63.8pt;z-index:251722752;mso-width-relative:page;mso-height-relative:page;" filled="f" stroked="f" coordsize="21600,21600" o:gfxdata="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uKPsdwAAAALAQAADwAAAAAAAAABACAAAAAiAAAA&#10;ZHJzL2Rvd25yZXYueG1sUEsBAhQAFAAAAAgAh07iQNJnqmI8AgAAZwQAAA4AAAAAAAAAAQAgAAAA&#10;KwEAAGRycy9lMm9Eb2MueG1sUEsFBgAAAAAGAAYAWQEAANkFAAAAAA==&#10;">
                <v:fill on="f" focussize="0,0"/>
                <v:stroke on="f" weight="0.5pt"/>
                <v:imagedata o:title=""/>
                <o:lock v:ext="edit" aspectratio="f"/>
                <v:textbox>
                  <w:txbxContent>
                    <w:p w14:paraId="296C6FEB">
                      <w:pPr>
                        <w:rPr>
                          <w:rFonts w:hint="default" w:eastAsia="宋体"/>
                          <w:highlight w:val="cyan"/>
                          <w:lang w:val="en-US" w:eastAsia="zh-CN"/>
                        </w:rPr>
                      </w:pPr>
                      <w:r>
                        <w:rPr>
                          <w:rFonts w:hint="eastAsia" w:eastAsia="宋体"/>
                          <w:highlight w:val="cyan"/>
                          <w:lang w:val="en-US" w:eastAsia="zh-CN"/>
                        </w:rPr>
                        <w:t>灌装车间</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20704" behindDoc="0" locked="0" layoutInCell="1" allowOverlap="1">
                <wp:simplePos x="0" y="0"/>
                <wp:positionH relativeFrom="column">
                  <wp:posOffset>2618105</wp:posOffset>
                </wp:positionH>
                <wp:positionV relativeFrom="paragraph">
                  <wp:posOffset>588010</wp:posOffset>
                </wp:positionV>
                <wp:extent cx="810260" cy="37147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810260" cy="371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0B5FAA">
                            <w:pPr>
                              <w:rPr>
                                <w:highlight w:val="cyan"/>
                              </w:rPr>
                            </w:pPr>
                            <w:r>
                              <w:rPr>
                                <w:rFonts w:hint="eastAsia"/>
                                <w:highlight w:val="cyan"/>
                              </w:rPr>
                              <w:t>事故水池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15pt;margin-top:46.3pt;height:29.25pt;width:63.8pt;z-index:251720704;mso-width-relative:page;mso-height-relative:page;" filled="f" stroked="f" coordsize="21600,21600" o:gfxdata="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JEnCfaAAAACgEAAA8AAAAAAAAAAQAgAAAAIgAAAGRy&#10;cy9kb3ducmV2LnhtbFBLAQIUABQAAAAIAIdO4kCDahXGPAIAAGcEAAAOAAAAAAAAAAEAIAAAACkB&#10;AABkcnMvZTJvRG9jLnhtbFBLBQYAAAAABgAGAFkBAADXBQAAAAA=&#10;">
                <v:fill on="f" focussize="0,0"/>
                <v:stroke on="f" weight="0.5pt"/>
                <v:imagedata o:title=""/>
                <o:lock v:ext="edit" aspectratio="f"/>
                <v:textbox>
                  <w:txbxContent>
                    <w:p w14:paraId="250B5FAA">
                      <w:pPr>
                        <w:rPr>
                          <w:highlight w:val="cyan"/>
                        </w:rPr>
                      </w:pPr>
                      <w:r>
                        <w:rPr>
                          <w:rFonts w:hint="eastAsia"/>
                          <w:highlight w:val="cyan"/>
                        </w:rPr>
                        <w:t>事故水池</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17632" behindDoc="0" locked="0" layoutInCell="1" allowOverlap="1">
                <wp:simplePos x="0" y="0"/>
                <wp:positionH relativeFrom="column">
                  <wp:posOffset>1970405</wp:posOffset>
                </wp:positionH>
                <wp:positionV relativeFrom="paragraph">
                  <wp:posOffset>2121535</wp:posOffset>
                </wp:positionV>
                <wp:extent cx="114300" cy="123825"/>
                <wp:effectExtent l="6350" t="6350" r="12700" b="22225"/>
                <wp:wrapNone/>
                <wp:docPr id="3" name="同心圆 3"/>
                <wp:cNvGraphicFramePr/>
                <a:graphic xmlns:a="http://schemas.openxmlformats.org/drawingml/2006/main">
                  <a:graphicData uri="http://schemas.microsoft.com/office/word/2010/wordprocessingShape">
                    <wps:wsp>
                      <wps:cNvSpPr/>
                      <wps:spPr>
                        <a:xfrm>
                          <a:off x="4516120" y="1767840"/>
                          <a:ext cx="114300" cy="123825"/>
                        </a:xfrm>
                        <a:prstGeom prst="donut">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2EEF62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55.15pt;margin-top:167.05pt;height:9.75pt;width:9pt;z-index:251717632;v-text-anchor:middle;mso-width-relative:page;mso-height-relative:page;" fillcolor="#FFFFFF [3212]" filled="t" stroked="t" coordsize="21600,21600" o:gfxdata="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ReUPk3AAAAAsBAAAP&#10;AAAAAAAAAAEAIAAAACIAAABkcnMvZG93bnJldi54bWxQSwECFAAUAAAACACHTuJA4BVVA4YCAAAO&#10;BQAADgAAAAAAAAABACAAAAArAQAAZHJzL2Uyb0RvYy54bWxQSwUGAAAAAAYABgBZAQAAIwYAAAAA&#10;" adj="5400">
                <v:fill on="t" focussize="0,0"/>
                <v:stroke weight="1pt" color="#FF0000 [2404]" miterlimit="8" joinstyle="miter"/>
                <v:imagedata o:title=""/>
                <o:lock v:ext="edit" aspectratio="f"/>
                <v:textbox>
                  <w:txbxContent>
                    <w:p w14:paraId="12EEF62D">
                      <w:pPr>
                        <w:jc w:val="center"/>
                      </w:pP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18656" behindDoc="0" locked="0" layoutInCell="1" allowOverlap="1">
                <wp:simplePos x="0" y="0"/>
                <wp:positionH relativeFrom="column">
                  <wp:posOffset>1989455</wp:posOffset>
                </wp:positionH>
                <wp:positionV relativeFrom="paragraph">
                  <wp:posOffset>2054860</wp:posOffset>
                </wp:positionV>
                <wp:extent cx="467360" cy="247650"/>
                <wp:effectExtent l="0" t="0" r="0" b="0"/>
                <wp:wrapNone/>
                <wp:docPr id="4" name="文本框 4"/>
                <wp:cNvGraphicFramePr/>
                <a:graphic xmlns:a="http://schemas.openxmlformats.org/drawingml/2006/main">
                  <a:graphicData uri="http://schemas.microsoft.com/office/word/2010/wordprocessingShape">
                    <wps:wsp>
                      <wps:cNvSpPr txBox="1"/>
                      <wps:spPr>
                        <a:xfrm>
                          <a:off x="5535295" y="1996440"/>
                          <a:ext cx="46736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36F984">
                            <w:pPr>
                              <w:rPr>
                                <w:highlight w:val="cyan"/>
                              </w:rPr>
                            </w:pPr>
                            <w:r>
                              <w:rPr>
                                <w:rFonts w:hint="eastAsia"/>
                                <w:highlight w:val="cyan"/>
                              </w:rPr>
                              <w:t>P1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65pt;margin-top:161.8pt;height:19.5pt;width:36.8pt;z-index:251718656;mso-width-relative:page;mso-height-relative:page;" filled="f" stroked="f" coordsize="21600,21600" o:gfxdata="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XLBJhdsAAAALAQAADwAAAAAAAAAB&#10;ACAAAAAiAAAAZHJzL2Rvd25yZXYueG1sUEsBAhQAFAAAAAgAh07iQGUjNjdGAgAAcQQAAA4AAAAA&#10;AAAAAQAgAAAAKgEAAGRycy9lMm9Eb2MueG1sUEsFBgAAAAAGAAYAWQEAAOIFAAAAAA==&#10;">
                <v:fill on="f" focussize="0,0"/>
                <v:stroke on="f" weight="0.5pt"/>
                <v:imagedata o:title=""/>
                <o:lock v:ext="edit" aspectratio="f"/>
                <v:textbox>
                  <w:txbxContent>
                    <w:p w14:paraId="7F36F984">
                      <w:pPr>
                        <w:rPr>
                          <w:highlight w:val="cyan"/>
                        </w:rPr>
                      </w:pPr>
                      <w:r>
                        <w:rPr>
                          <w:rFonts w:hint="eastAsia"/>
                          <w:highlight w:val="cyan"/>
                        </w:rPr>
                        <w:t>P1</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21728" behindDoc="0" locked="0" layoutInCell="1" allowOverlap="1">
                <wp:simplePos x="0" y="0"/>
                <wp:positionH relativeFrom="column">
                  <wp:posOffset>3952875</wp:posOffset>
                </wp:positionH>
                <wp:positionV relativeFrom="paragraph">
                  <wp:posOffset>2399030</wp:posOffset>
                </wp:positionV>
                <wp:extent cx="2291080" cy="582295"/>
                <wp:effectExtent l="56515" t="381000" r="71755" b="389255"/>
                <wp:wrapNone/>
                <wp:docPr id="15" name="矩形 15"/>
                <wp:cNvGraphicFramePr/>
                <a:graphic xmlns:a="http://schemas.openxmlformats.org/drawingml/2006/main">
                  <a:graphicData uri="http://schemas.microsoft.com/office/word/2010/wordprocessingShape">
                    <wps:wsp>
                      <wps:cNvSpPr/>
                      <wps:spPr>
                        <a:xfrm rot="20460000">
                          <a:off x="0" y="0"/>
                          <a:ext cx="2291080" cy="582295"/>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25pt;margin-top:188.9pt;height:45.85pt;width:180.4pt;rotation:-1245184f;z-index:251721728;v-text-anchor:middle;mso-width-relative:page;mso-height-relative:page;" filled="f" stroked="t" coordsize="21600,21600" o:gfxdata="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IZqjA/bAAAACwEAAA8AAAAAAAAAAQAgAAAAIgAAAGRy&#10;cy9kb3ducmV2LnhtbFBLAQIUABQAAAAIAIdO4kB3rmTKdAIAANwEAAAOAAAAAAAAAAEAIAAAACoB&#10;AABkcnMvZTJvRG9jLnhtbFBLBQYAAAAABgAGAFkBAAAQBgAAAAA=&#10;">
                <v:fill on="f" focussize="0,0"/>
                <v:stroke weight="3pt" color="#FF0000 [2404]"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11488" behindDoc="0" locked="0" layoutInCell="1" allowOverlap="1">
                <wp:simplePos x="0" y="0"/>
                <wp:positionH relativeFrom="column">
                  <wp:posOffset>1617345</wp:posOffset>
                </wp:positionH>
                <wp:positionV relativeFrom="paragraph">
                  <wp:posOffset>2223770</wp:posOffset>
                </wp:positionV>
                <wp:extent cx="762000" cy="342900"/>
                <wp:effectExtent l="19050" t="19050" r="19050" b="19050"/>
                <wp:wrapNone/>
                <wp:docPr id="74" name="矩形 74"/>
                <wp:cNvGraphicFramePr/>
                <a:graphic xmlns:a="http://schemas.openxmlformats.org/drawingml/2006/main">
                  <a:graphicData uri="http://schemas.microsoft.com/office/word/2010/wordprocessingShape">
                    <wps:wsp>
                      <wps:cNvSpPr/>
                      <wps:spPr>
                        <a:xfrm>
                          <a:off x="0" y="0"/>
                          <a:ext cx="762000" cy="342900"/>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7.35pt;margin-top:175.1pt;height:27pt;width:60pt;z-index:251711488;v-text-anchor:middle;mso-width-relative:page;mso-height-relative:page;" filled="f" stroked="t" coordsize="21600,21600" o:gfxdata="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hERfP2AAAAAsBAAAPAAAAAAAAAAEAIAAAACIAAABkcnMvZG93bnJldi54bWxQSwEC&#10;FAAUAAAACACHTuJAMp7AjmYCAADMBAAADgAAAAAAAAABACAAAAAnAQAAZHJzL2Uyb0RvYy54bWxQ&#10;SwUGAAAAAAYABgBZAQAA/wUAAAAA&#10;">
                <v:fill on="f" focussize="0,0"/>
                <v:stroke weight="3pt" color="#FF0000 [2404]" miterlimit="8" joinstyle="miter"/>
                <v:imagedata o:title=""/>
                <o:lock v:ext="edit" aspectratio="f"/>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15584" behindDoc="0" locked="0" layoutInCell="1" allowOverlap="1">
                <wp:simplePos x="0" y="0"/>
                <wp:positionH relativeFrom="column">
                  <wp:posOffset>7092950</wp:posOffset>
                </wp:positionH>
                <wp:positionV relativeFrom="paragraph">
                  <wp:posOffset>337820</wp:posOffset>
                </wp:positionV>
                <wp:extent cx="866775" cy="1276350"/>
                <wp:effectExtent l="19050" t="19050" r="28575" b="19050"/>
                <wp:wrapNone/>
                <wp:docPr id="85" name="矩形 85"/>
                <wp:cNvGraphicFramePr/>
                <a:graphic xmlns:a="http://schemas.openxmlformats.org/drawingml/2006/main">
                  <a:graphicData uri="http://schemas.microsoft.com/office/word/2010/wordprocessingShape">
                    <wps:wsp>
                      <wps:cNvSpPr/>
                      <wps:spPr>
                        <a:xfrm>
                          <a:off x="0" y="0"/>
                          <a:ext cx="866775" cy="1276350"/>
                        </a:xfrm>
                        <a:prstGeom prst="rect">
                          <a:avLst/>
                        </a:prstGeom>
                        <a:noFill/>
                        <a:ln w="381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86B353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8.5pt;margin-top:26.6pt;height:100.5pt;width:68.25pt;z-index:251715584;v-text-anchor:middle;mso-width-relative:page;mso-height-relative:page;" filled="f" stroked="t" coordsize="21600,21600" o:gfxdata="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bvBXT2gAAAAwBAAAPAAAAAAAAAAEAIAAAACIAAABkcnMv&#10;ZG93bnJldi54bWxQSwECFAAUAAAACACHTuJAtQevCnMCAADYBAAADgAAAAAAAAABACAAAAApAQAA&#10;ZHJzL2Uyb0RvYy54bWxQSwUGAAAAAAYABgBZAQAADgYAAAAA&#10;">
                <v:fill on="f" focussize="0,0"/>
                <v:stroke weight="3pt" color="#FFFF00 [2404]" miterlimit="8" joinstyle="miter"/>
                <v:imagedata o:title=""/>
                <o:lock v:ext="edit" aspectratio="f"/>
                <v:textbox>
                  <w:txbxContent>
                    <w:p w14:paraId="086B353B">
                      <w:pPr>
                        <w:jc w:val="center"/>
                      </w:pPr>
                    </w:p>
                  </w:txbxContent>
                </v:textbox>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16608" behindDoc="0" locked="0" layoutInCell="1" allowOverlap="1">
                <wp:simplePos x="0" y="0"/>
                <wp:positionH relativeFrom="column">
                  <wp:posOffset>1207135</wp:posOffset>
                </wp:positionH>
                <wp:positionV relativeFrom="paragraph">
                  <wp:posOffset>509270</wp:posOffset>
                </wp:positionV>
                <wp:extent cx="2151380" cy="1456690"/>
                <wp:effectExtent l="19050" t="19050" r="20320" b="29210"/>
                <wp:wrapNone/>
                <wp:docPr id="88" name="矩形 88"/>
                <wp:cNvGraphicFramePr/>
                <a:graphic xmlns:a="http://schemas.openxmlformats.org/drawingml/2006/main">
                  <a:graphicData uri="http://schemas.microsoft.com/office/word/2010/wordprocessingShape">
                    <wps:wsp>
                      <wps:cNvSpPr/>
                      <wps:spPr>
                        <a:xfrm>
                          <a:off x="0" y="0"/>
                          <a:ext cx="2151380" cy="1456690"/>
                        </a:xfrm>
                        <a:prstGeom prst="rect">
                          <a:avLst/>
                        </a:prstGeom>
                        <a:noFill/>
                        <a:ln w="381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81A201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05pt;margin-top:40.1pt;height:114.7pt;width:169.4pt;z-index:251716608;v-text-anchor:middle;mso-width-relative:page;mso-height-relative:page;" filled="f" stroked="t" coordsize="21600,21600" o:gfxdata="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FJj3lzZAAAACgEAAA8AAAAAAAAAAQAgAAAAIgAAAGRycy9k&#10;b3ducmV2LnhtbFBLAQIUABQAAAAIAIdO4kCpJuSWcwIAANkEAAAOAAAAAAAAAAEAIAAAACgBAABk&#10;cnMvZTJvRG9jLnhtbFBLBQYAAAAABgAGAFkBAAANBgAAAAA=&#10;">
                <v:fill on="f" focussize="0,0"/>
                <v:stroke weight="3pt" color="#FFFF00 [2404]" miterlimit="8" joinstyle="miter"/>
                <v:imagedata o:title=""/>
                <o:lock v:ext="edit" aspectratio="f"/>
                <v:textbox>
                  <w:txbxContent>
                    <w:p w14:paraId="081A201B">
                      <w:pPr>
                        <w:jc w:val="center"/>
                      </w:pPr>
                    </w:p>
                  </w:txbxContent>
                </v:textbox>
              </v:rect>
            </w:pict>
          </mc:Fallback>
        </mc:AlternateContent>
      </w:r>
      <w:r>
        <w:rPr>
          <w:rFonts w:hint="default" w:ascii="Times New Roman" w:hAnsi="Times New Roman" w:cs="Times New Roman"/>
          <w:highlight w:val="none"/>
        </w:rPr>
        <w:drawing>
          <wp:anchor distT="0" distB="0" distL="114300" distR="114300" simplePos="0" relativeHeight="251719680" behindDoc="0" locked="0" layoutInCell="1" allowOverlap="1">
            <wp:simplePos x="0" y="0"/>
            <wp:positionH relativeFrom="column">
              <wp:posOffset>7362190</wp:posOffset>
            </wp:positionH>
            <wp:positionV relativeFrom="paragraph">
              <wp:posOffset>3137535</wp:posOffset>
            </wp:positionV>
            <wp:extent cx="1193800" cy="1243330"/>
            <wp:effectExtent l="0" t="0" r="6350" b="1397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193800" cy="1243330"/>
                    </a:xfrm>
                    <a:prstGeom prst="rect">
                      <a:avLst/>
                    </a:prstGeom>
                    <a:noFill/>
                    <a:ln>
                      <a:noFill/>
                    </a:ln>
                  </pic:spPr>
                </pic:pic>
              </a:graphicData>
            </a:graphic>
          </wp:anchor>
        </w:drawing>
      </w:r>
      <w:r>
        <w:rPr>
          <w:rFonts w:hint="default" w:ascii="Times New Roman" w:hAnsi="Times New Roman" w:cs="Times New Roman"/>
          <w:highlight w:val="none"/>
        </w:rPr>
        <mc:AlternateContent>
          <mc:Choice Requires="wps">
            <w:drawing>
              <wp:anchor distT="0" distB="0" distL="114300" distR="114300" simplePos="0" relativeHeight="251714560" behindDoc="0" locked="0" layoutInCell="1" allowOverlap="1">
                <wp:simplePos x="0" y="0"/>
                <wp:positionH relativeFrom="column">
                  <wp:posOffset>6494145</wp:posOffset>
                </wp:positionH>
                <wp:positionV relativeFrom="paragraph">
                  <wp:posOffset>5205095</wp:posOffset>
                </wp:positionV>
                <wp:extent cx="333375" cy="190500"/>
                <wp:effectExtent l="19050" t="19050" r="28575" b="19050"/>
                <wp:wrapNone/>
                <wp:docPr id="82" name="矩形 82"/>
                <wp:cNvGraphicFramePr/>
                <a:graphic xmlns:a="http://schemas.openxmlformats.org/drawingml/2006/main">
                  <a:graphicData uri="http://schemas.microsoft.com/office/word/2010/wordprocessingShape">
                    <wps:wsp>
                      <wps:cNvSpPr/>
                      <wps:spPr>
                        <a:xfrm>
                          <a:off x="0" y="0"/>
                          <a:ext cx="333375" cy="190500"/>
                        </a:xfrm>
                        <a:prstGeom prst="rect">
                          <a:avLst/>
                        </a:prstGeom>
                        <a:noFill/>
                        <a:ln w="38100">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070AAF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1.35pt;margin-top:409.85pt;height:15pt;width:26.25pt;z-index:251714560;v-text-anchor:middle;mso-width-relative:page;mso-height-relative:page;" filled="f" stroked="t" coordsize="21600,21600" o:gfxdata="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CHx5pNkAAAANAQAADwAAAAAAAAABACAAAAAiAAAAZHJzL2Rvd25y&#10;ZXYueG1sUEsBAhQAFAAAAAgAh07iQOsWFAZvAgAA1wQAAA4AAAAAAAAAAQAgAAAAKAEAAGRycy9l&#10;Mm9Eb2MueG1sUEsFBgAAAAAGAAYAWQEAAAkGAAAAAA==&#10;">
                <v:fill on="f" focussize="0,0"/>
                <v:stroke weight="3pt" color="#FFFF00 [2404]" miterlimit="8" joinstyle="miter"/>
                <v:imagedata o:title=""/>
                <o:lock v:ext="edit" aspectratio="f"/>
                <v:textbox>
                  <w:txbxContent>
                    <w:p w14:paraId="7070AAF6">
                      <w:pPr>
                        <w:jc w:val="center"/>
                      </w:pPr>
                    </w:p>
                  </w:txbxContent>
                </v:textbox>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12512" behindDoc="0" locked="0" layoutInCell="1" allowOverlap="1">
                <wp:simplePos x="0" y="0"/>
                <wp:positionH relativeFrom="column">
                  <wp:posOffset>6494145</wp:posOffset>
                </wp:positionH>
                <wp:positionV relativeFrom="paragraph">
                  <wp:posOffset>4957445</wp:posOffset>
                </wp:positionV>
                <wp:extent cx="333375" cy="190500"/>
                <wp:effectExtent l="19050" t="19050" r="28575" b="19050"/>
                <wp:wrapNone/>
                <wp:docPr id="77" name="矩形 77"/>
                <wp:cNvGraphicFramePr/>
                <a:graphic xmlns:a="http://schemas.openxmlformats.org/drawingml/2006/main">
                  <a:graphicData uri="http://schemas.microsoft.com/office/word/2010/wordprocessingShape">
                    <wps:wsp>
                      <wps:cNvSpPr/>
                      <wps:spPr>
                        <a:xfrm>
                          <a:off x="0" y="0"/>
                          <a:ext cx="333375" cy="190500"/>
                        </a:xfrm>
                        <a:prstGeom prst="rect">
                          <a:avLst/>
                        </a:prstGeom>
                        <a:noFill/>
                        <a:ln w="381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EF1569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1.35pt;margin-top:390.35pt;height:15pt;width:26.25pt;z-index:251712512;v-text-anchor:middle;mso-width-relative:page;mso-height-relative:page;" filled="f" stroked="t" coordsize="21600,21600" o:gfxdata="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CjYuRtcAAAANAQAADwAAAAAAAAABACAAAAAiAAAAZHJzL2Rvd25y&#10;ZXYueG1sUEsBAhQAFAAAAAgAh07iQLcKc7VxAgAA1wQAAA4AAAAAAAAAAQAgAAAAJgEAAGRycy9l&#10;Mm9Eb2MueG1sUEsFBgAAAAAGAAYAWQEAAAkGAAAAAA==&#10;">
                <v:fill on="f" focussize="0,0"/>
                <v:stroke weight="3pt" color="#FF0000 [2404]" miterlimit="8" joinstyle="miter"/>
                <v:imagedata o:title=""/>
                <o:lock v:ext="edit" aspectratio="f"/>
                <v:textbox>
                  <w:txbxContent>
                    <w:p w14:paraId="2EF1569E">
                      <w:pPr>
                        <w:jc w:val="center"/>
                      </w:pPr>
                    </w:p>
                  </w:txbxContent>
                </v:textbox>
              </v:rect>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13536" behindDoc="0" locked="0" layoutInCell="1" allowOverlap="1">
                <wp:simplePos x="0" y="0"/>
                <wp:positionH relativeFrom="column">
                  <wp:posOffset>6789420</wp:posOffset>
                </wp:positionH>
                <wp:positionV relativeFrom="paragraph">
                  <wp:posOffset>4919345</wp:posOffset>
                </wp:positionV>
                <wp:extent cx="1732915" cy="847725"/>
                <wp:effectExtent l="0" t="0" r="0" b="0"/>
                <wp:wrapNone/>
                <wp:docPr id="81" name="文本框 81"/>
                <wp:cNvGraphicFramePr/>
                <a:graphic xmlns:a="http://schemas.openxmlformats.org/drawingml/2006/main">
                  <a:graphicData uri="http://schemas.microsoft.com/office/word/2010/wordprocessingShape">
                    <wps:wsp>
                      <wps:cNvSpPr txBox="1"/>
                      <wps:spPr>
                        <a:xfrm>
                          <a:off x="7563485" y="5365750"/>
                          <a:ext cx="1732915" cy="8477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E13809">
                            <w:pPr>
                              <w:spacing w:line="360" w:lineRule="auto"/>
                            </w:pPr>
                            <w:r>
                              <w:rPr>
                                <w:rFonts w:hint="eastAsia"/>
                              </w:rPr>
                              <w:t>拟建项目</w:t>
                            </w:r>
                          </w:p>
                          <w:p w14:paraId="68A79B24">
                            <w:pPr>
                              <w:spacing w:line="360" w:lineRule="auto"/>
                              <w:rPr>
                                <w:rFonts w:hint="default" w:eastAsia="宋体"/>
                                <w:lang w:val="en-US" w:eastAsia="zh-CN"/>
                              </w:rPr>
                            </w:pPr>
                            <w:r>
                              <w:rPr>
                                <w:rFonts w:hint="eastAsia"/>
                              </w:rPr>
                              <w:t>现有项目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6pt;margin-top:387.35pt;height:66.75pt;width:136.45pt;z-index:251713536;mso-width-relative:page;mso-height-relative:page;" filled="f" stroked="f" coordsize="21600,21600" o:gfxdata="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T1WQt0AAAANAQAADwAAAAAA&#10;AAABACAAAAAiAAAAZHJzL2Rvd25yZXYueG1sUEsBAhQAFAAAAAgAh07iQIeVFVVHAgAAdAQAAA4A&#10;AAAAAAAAAQAgAAAALAEAAGRycy9lMm9Eb2MueG1sUEsFBgAAAAAGAAYAWQEAAOUFAAAAAA==&#10;">
                <v:fill on="f" focussize="0,0"/>
                <v:stroke on="f" weight="0.5pt"/>
                <v:imagedata o:title=""/>
                <o:lock v:ext="edit" aspectratio="f"/>
                <v:textbox>
                  <w:txbxContent>
                    <w:p w14:paraId="13E13809">
                      <w:pPr>
                        <w:spacing w:line="360" w:lineRule="auto"/>
                      </w:pPr>
                      <w:r>
                        <w:rPr>
                          <w:rFonts w:hint="eastAsia"/>
                        </w:rPr>
                        <w:t>拟建项目</w:t>
                      </w:r>
                    </w:p>
                    <w:p w14:paraId="68A79B24">
                      <w:pPr>
                        <w:spacing w:line="360" w:lineRule="auto"/>
                        <w:rPr>
                          <w:rFonts w:hint="default" w:eastAsia="宋体"/>
                          <w:lang w:val="en-US" w:eastAsia="zh-CN"/>
                        </w:rPr>
                      </w:pPr>
                      <w:r>
                        <w:rPr>
                          <w:rFonts w:hint="eastAsia"/>
                        </w:rPr>
                        <w:t>现有项目</w:t>
                      </w:r>
                    </w:p>
                  </w:txbxContent>
                </v:textbox>
              </v:shape>
            </w:pict>
          </mc:Fallback>
        </mc:AlternateContent>
      </w:r>
      <w:r>
        <w:rPr>
          <w:rFonts w:hint="default" w:ascii="Times New Roman" w:hAnsi="Times New Roman" w:cs="Times New Roman"/>
          <w:highlight w:val="none"/>
        </w:rPr>
        <w:drawing>
          <wp:inline distT="0" distB="0" distL="114300" distR="114300">
            <wp:extent cx="7602855" cy="6033770"/>
            <wp:effectExtent l="0" t="0" r="17145" b="5080"/>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60"/>
                    <a:srcRect b="11673"/>
                    <a:stretch>
                      <a:fillRect/>
                    </a:stretch>
                  </pic:blipFill>
                  <pic:spPr>
                    <a:xfrm>
                      <a:off x="0" y="0"/>
                      <a:ext cx="7602855" cy="6033770"/>
                    </a:xfrm>
                    <a:prstGeom prst="rect">
                      <a:avLst/>
                    </a:prstGeom>
                    <a:noFill/>
                    <a:ln>
                      <a:noFill/>
                    </a:ln>
                  </pic:spPr>
                </pic:pic>
              </a:graphicData>
            </a:graphic>
          </wp:inline>
        </w:drawing>
      </w:r>
    </w:p>
    <w:p w14:paraId="6D39EA93">
      <w:pPr>
        <w:spacing w:line="219" w:lineRule="auto"/>
        <w:jc w:val="center"/>
        <w:rPr>
          <w:rFonts w:hint="default" w:ascii="Times New Roman" w:hAnsi="Times New Roman" w:eastAsia="黑体" w:cs="Times New Roman"/>
          <w:spacing w:val="-4"/>
          <w:sz w:val="24"/>
          <w:highlight w:val="none"/>
        </w:rPr>
      </w:pPr>
      <w:r>
        <w:rPr>
          <w:rFonts w:hint="default" w:ascii="Times New Roman" w:hAnsi="Times New Roman" w:eastAsia="黑体" w:cs="Times New Roman"/>
          <w:spacing w:val="-4"/>
          <w:sz w:val="24"/>
          <w:highlight w:val="none"/>
        </w:rPr>
        <w:t>附图3 项目区平面布置图（1:1800）</w:t>
      </w:r>
    </w:p>
    <w:p w14:paraId="61E8EA5C">
      <w:pPr>
        <w:spacing w:line="219" w:lineRule="auto"/>
        <w:jc w:val="center"/>
        <w:rPr>
          <w:rFonts w:hint="default" w:ascii="Times New Roman" w:hAnsi="Times New Roman" w:eastAsia="黑体" w:cs="Times New Roman"/>
          <w:spacing w:val="-4"/>
          <w:sz w:val="24"/>
          <w:highlight w:val="none"/>
        </w:rPr>
        <w:sectPr>
          <w:footerReference r:id="rId12" w:type="default"/>
          <w:pgSz w:w="16839" w:h="11906" w:orient="landscape"/>
          <w:pgMar w:top="928" w:right="1421" w:bottom="867" w:left="1099" w:header="0" w:footer="836" w:gutter="0"/>
          <w:cols w:space="720" w:num="1"/>
        </w:sect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64384" behindDoc="0" locked="0" layoutInCell="1" allowOverlap="1">
                <wp:simplePos x="0" y="0"/>
                <wp:positionH relativeFrom="column">
                  <wp:posOffset>4191000</wp:posOffset>
                </wp:positionH>
                <wp:positionV relativeFrom="paragraph">
                  <wp:posOffset>6149340</wp:posOffset>
                </wp:positionV>
                <wp:extent cx="704850" cy="285750"/>
                <wp:effectExtent l="0" t="0" r="0" b="0"/>
                <wp:wrapNone/>
                <wp:docPr id="495017263" name="矩形 76"/>
                <wp:cNvGraphicFramePr/>
                <a:graphic xmlns:a="http://schemas.openxmlformats.org/drawingml/2006/main">
                  <a:graphicData uri="http://schemas.microsoft.com/office/word/2010/wordprocessingShape">
                    <wps:wsp>
                      <wps:cNvSpPr/>
                      <wps:spPr>
                        <a:xfrm>
                          <a:off x="0" y="0"/>
                          <a:ext cx="704850" cy="2857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330pt;margin-top:484.2pt;height:22.5pt;width:55.5pt;z-index:251664384;v-text-anchor:middle;mso-width-relative:page;mso-height-relative:page;" fillcolor="#FFFFFF" filled="t" stroked="f" coordsize="21600,21600" o:gfxdata="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nArKzNsAAAAMAQAADwAAAAAA&#10;AAABACAAAAAiAAAAZHJzL2Rvd25yZXYueG1sUEsBAhQAFAAAAAgAh07iQNziT2iCAgAA8QQAAA4A&#10;AAAAAAAAAQAgAAAAKgEAAGRycy9lMm9Eb2MueG1sUEsFBgAAAAAGAAYAWQEAAB4GAAAAAA==&#10;">
                <v:fill on="t" focussize="0,0"/>
                <v:stroke on="f" weight="1pt" miterlimit="8" joinstyle="miter"/>
                <v:imagedata o:title=""/>
                <o:lock v:ext="edit" aspectratio="f"/>
              </v:rect>
            </w:pict>
          </mc:Fallback>
        </mc:AlternateContent>
      </w:r>
    </w:p>
    <w:p w14:paraId="3F73A70F">
      <w:pPr>
        <w:spacing w:line="219" w:lineRule="auto"/>
        <w:jc w:val="center"/>
        <w:rPr>
          <w:rFonts w:hint="default" w:ascii="Times New Roman" w:hAnsi="Times New Roman" w:cs="Times New Roman"/>
          <w:sz w:val="24"/>
          <w:highlight w:val="none"/>
        </w:rPr>
      </w:pPr>
      <w:r>
        <w:rPr>
          <w:rFonts w:hint="default" w:ascii="Times New Roman" w:hAnsi="Times New Roman" w:cs="Times New Roman"/>
          <w:highlight w:val="none"/>
        </w:rPr>
        <mc:AlternateContent>
          <mc:Choice Requires="wps">
            <w:drawing>
              <wp:anchor distT="0" distB="0" distL="114300" distR="114300" simplePos="0" relativeHeight="251672576" behindDoc="0" locked="0" layoutInCell="1" allowOverlap="1">
                <wp:simplePos x="0" y="0"/>
                <wp:positionH relativeFrom="column">
                  <wp:posOffset>4744085</wp:posOffset>
                </wp:positionH>
                <wp:positionV relativeFrom="paragraph">
                  <wp:posOffset>3634740</wp:posOffset>
                </wp:positionV>
                <wp:extent cx="817245" cy="301625"/>
                <wp:effectExtent l="522605" t="688975" r="12700" b="19050"/>
                <wp:wrapNone/>
                <wp:docPr id="22" name="矩形标注 22"/>
                <wp:cNvGraphicFramePr/>
                <a:graphic xmlns:a="http://schemas.openxmlformats.org/drawingml/2006/main">
                  <a:graphicData uri="http://schemas.microsoft.com/office/word/2010/wordprocessingShape">
                    <wps:wsp>
                      <wps:cNvSpPr/>
                      <wps:spPr>
                        <a:xfrm>
                          <a:off x="0" y="0"/>
                          <a:ext cx="817245" cy="301625"/>
                        </a:xfrm>
                        <a:prstGeom prst="wedgeRectCallout">
                          <a:avLst>
                            <a:gd name="adj1" fmla="val -109129"/>
                            <a:gd name="adj2" fmla="val -266421"/>
                          </a:avLst>
                        </a:prstGeom>
                        <a:noFill/>
                        <a:ln w="12700" cap="flat" cmpd="sng">
                          <a:solidFill>
                            <a:srgbClr val="7030A0"/>
                          </a:solidFill>
                          <a:prstDash val="solid"/>
                          <a:miter/>
                          <a:headEnd type="none" w="med" len="med"/>
                          <a:tailEnd type="none" w="med" len="med"/>
                        </a:ln>
                      </wps:spPr>
                      <wps:txbx>
                        <w:txbxContent>
                          <w:p w14:paraId="5AFB6650">
                            <w:pPr>
                              <w:jc w:val="center"/>
                              <w:rPr>
                                <w:b/>
                                <w:color w:val="000000"/>
                                <w:szCs w:val="21"/>
                              </w:rPr>
                            </w:pPr>
                            <w:r>
                              <w:rPr>
                                <w:rFonts w:hint="eastAsia"/>
                                <w:b/>
                                <w:color w:val="000000"/>
                                <w:szCs w:val="21"/>
                              </w:rPr>
                              <w:t>项目位置</w:t>
                            </w:r>
                          </w:p>
                        </w:txbxContent>
                      </wps:txbx>
                      <wps:bodyPr lIns="0" tIns="0" rIns="0" bIns="0" anchor="ctr" anchorCtr="0" upright="1"/>
                    </wps:wsp>
                  </a:graphicData>
                </a:graphic>
              </wp:anchor>
            </w:drawing>
          </mc:Choice>
          <mc:Fallback>
            <w:pict>
              <v:shape id="_x0000_s1026" o:spid="_x0000_s1026" o:spt="61" type="#_x0000_t61" style="position:absolute;left:0pt;margin-left:373.55pt;margin-top:286.2pt;height:23.75pt;width:64.35pt;z-index:251672576;v-text-anchor:middle;mso-width-relative:page;mso-height-relative:page;" filled="f" stroked="t" coordsize="21600,21600" o:gfxdata="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T+ycm&#10;2gAAAAsBAAAPAAAAAAAAAAEAIAAAACIAAABkcnMvZG93bnJldi54bWxQSwECFAAUAAAACACHTuJA&#10;ZB6ySVgCAACoBAAADgAAAAAAAAABACAAAAApAQAAZHJzL2Uyb0RvYy54bWxQSwUGAAAAAAYABgBZ&#10;AQAA8wUAAAAA&#10;" adj="-12772,-46747">
                <v:fill on="f" focussize="0,0"/>
                <v:stroke weight="1pt" color="#7030A0" joinstyle="miter"/>
                <v:imagedata o:title=""/>
                <o:lock v:ext="edit" aspectratio="f"/>
                <v:textbox inset="0mm,0mm,0mm,0mm">
                  <w:txbxContent>
                    <w:p w14:paraId="5AFB6650">
                      <w:pPr>
                        <w:jc w:val="center"/>
                        <w:rPr>
                          <w:b/>
                          <w:color w:val="000000"/>
                          <w:szCs w:val="21"/>
                        </w:rPr>
                      </w:pPr>
                      <w:r>
                        <w:rPr>
                          <w:rFonts w:hint="eastAsia"/>
                          <w:b/>
                          <w:color w:val="000000"/>
                          <w:szCs w:val="21"/>
                        </w:rPr>
                        <w:t>项目位置</w:t>
                      </w:r>
                    </w:p>
                  </w:txbxContent>
                </v:textbox>
              </v:shape>
            </w:pict>
          </mc:Fallback>
        </mc:AlternateContent>
      </w:r>
      <w:r>
        <w:rPr>
          <w:rFonts w:hint="default" w:ascii="Times New Roman" w:hAnsi="Times New Roman" w:cs="Times New Roman"/>
          <w:sz w:val="24"/>
          <w:highlight w:val="none"/>
        </w:rPr>
        <mc:AlternateContent>
          <mc:Choice Requires="wps">
            <w:drawing>
              <wp:anchor distT="0" distB="0" distL="114300" distR="114300" simplePos="0" relativeHeight="251669504" behindDoc="0" locked="0" layoutInCell="1" allowOverlap="1">
                <wp:simplePos x="0" y="0"/>
                <wp:positionH relativeFrom="column">
                  <wp:posOffset>4160520</wp:posOffset>
                </wp:positionH>
                <wp:positionV relativeFrom="paragraph">
                  <wp:posOffset>2868930</wp:posOffset>
                </wp:positionV>
                <wp:extent cx="121920" cy="137160"/>
                <wp:effectExtent l="12700" t="17780" r="17780" b="16510"/>
                <wp:wrapNone/>
                <wp:docPr id="17" name="五角星 17"/>
                <wp:cNvGraphicFramePr/>
                <a:graphic xmlns:a="http://schemas.openxmlformats.org/drawingml/2006/main">
                  <a:graphicData uri="http://schemas.microsoft.com/office/word/2010/wordprocessingShape">
                    <wps:wsp>
                      <wps:cNvSpPr/>
                      <wps:spPr>
                        <a:xfrm>
                          <a:off x="0" y="0"/>
                          <a:ext cx="121920" cy="137160"/>
                        </a:xfrm>
                        <a:prstGeom prst="star5">
                          <a:avLst/>
                        </a:prstGeom>
                        <a:noFill/>
                        <a:ln w="9525" cap="flat" cmpd="sng">
                          <a:solidFill>
                            <a:srgbClr val="FFFF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27.6pt;margin-top:225.9pt;height:10.8pt;width:9.6pt;z-index:251669504;mso-width-relative:page;mso-height-relative:page;" filled="f" stroked="t" coordsize="121920,137160" o:gfxdata="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V60rHYAAAACwEAAA8AAAAAAAAAAQAgAAAAIgAAAGRycy9kb3du&#10;cmV2LnhtbFBLAQIUABQAAAAIAIdO4kAdwhQY/wEAAPoDAAAOAAAAAAAAAAEAIAAAACcBAABkcnMv&#10;ZTJvRG9jLnhtbFBLBQYAAAAABgAGAFkBAACYBQAAAAA=&#10;" path="m0,52390l46569,52390,60960,0,75350,52390,121919,52390,84244,84769,98635,137159,60960,104780,23284,137159,37675,84769xe">
                <v:path o:connectlocs="60960,0;0,52390;23284,137159;98635,137159;121919,52390" o:connectangles="247,164,82,82,0"/>
                <v:fill on="f" focussize="0,0"/>
                <v:stroke color="#FFFF00" joinstyle="miter"/>
                <v:imagedata o:title=""/>
                <o:lock v:ext="edit" aspectratio="f"/>
              </v:shape>
            </w:pict>
          </mc:Fallback>
        </mc:AlternateContent>
      </w:r>
      <w:r>
        <w:rPr>
          <w:rFonts w:hint="default" w:ascii="Times New Roman" w:hAnsi="Times New Roman" w:eastAsia="方正小标宋简体" w:cs="Times New Roman"/>
          <w:color w:val="000000"/>
          <w:sz w:val="44"/>
          <w:szCs w:val="44"/>
          <w:highlight w:val="none"/>
        </w:rPr>
        <w:drawing>
          <wp:inline distT="0" distB="0" distL="114300" distR="114300">
            <wp:extent cx="5752465" cy="7867015"/>
            <wp:effectExtent l="0" t="0" r="635" b="635"/>
            <wp:docPr id="7" name="图片 1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descr="图片1"/>
                    <pic:cNvPicPr>
                      <a:picLocks noChangeAspect="1"/>
                    </pic:cNvPicPr>
                  </pic:nvPicPr>
                  <pic:blipFill>
                    <a:blip r:embed="rId61"/>
                    <a:stretch>
                      <a:fillRect/>
                    </a:stretch>
                  </pic:blipFill>
                  <pic:spPr>
                    <a:xfrm>
                      <a:off x="0" y="0"/>
                      <a:ext cx="5752465" cy="7867015"/>
                    </a:xfrm>
                    <a:prstGeom prst="rect">
                      <a:avLst/>
                    </a:prstGeom>
                    <a:noFill/>
                    <a:ln>
                      <a:noFill/>
                    </a:ln>
                  </pic:spPr>
                </pic:pic>
              </a:graphicData>
            </a:graphic>
          </wp:inline>
        </w:drawing>
      </w:r>
    </w:p>
    <w:p w14:paraId="52DCC9E8">
      <w:pPr>
        <w:spacing w:before="78" w:line="219" w:lineRule="auto"/>
        <w:jc w:val="center"/>
        <w:rPr>
          <w:rFonts w:hint="default" w:ascii="Times New Roman" w:hAnsi="Times New Roman" w:cs="Times New Roman"/>
          <w:sz w:val="24"/>
          <w:highlight w:val="none"/>
        </w:r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65408" behindDoc="0" locked="0" layoutInCell="1" allowOverlap="1">
                <wp:simplePos x="0" y="0"/>
                <wp:positionH relativeFrom="column">
                  <wp:posOffset>3054350</wp:posOffset>
                </wp:positionH>
                <wp:positionV relativeFrom="paragraph">
                  <wp:posOffset>329565</wp:posOffset>
                </wp:positionV>
                <wp:extent cx="704850" cy="285750"/>
                <wp:effectExtent l="0" t="0" r="0" b="0"/>
                <wp:wrapNone/>
                <wp:docPr id="1286785933" name="矩形 76"/>
                <wp:cNvGraphicFramePr/>
                <a:graphic xmlns:a="http://schemas.openxmlformats.org/drawingml/2006/main">
                  <a:graphicData uri="http://schemas.microsoft.com/office/word/2010/wordprocessingShape">
                    <wps:wsp>
                      <wps:cNvSpPr/>
                      <wps:spPr>
                        <a:xfrm>
                          <a:off x="0" y="0"/>
                          <a:ext cx="704850" cy="2857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240.5pt;margin-top:25.95pt;height:22.5pt;width:55.5pt;z-index:251665408;v-text-anchor:middle;mso-width-relative:page;mso-height-relative:page;" fillcolor="#FFFFFF" filled="t" stroked="f" coordsize="21600,21600" o:gfxdata="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HJ/hR2gAAAAkBAAAPAAAAAAAA&#10;AAEAIAAAACIAAABkcnMvZG93bnJldi54bWxQSwECFAAUAAAACACHTuJAcnN8j4ICAADyBAAADgAA&#10;AAAAAAABACAAAAApAQAAZHJzL2Uyb0RvYy54bWxQSwUGAAAAAAYABgBZAQAAHQYAAAAA&#10;">
                <v:fill on="t" focussize="0,0"/>
                <v:stroke on="f" weight="1pt" miterlimit="8" joinstyle="miter"/>
                <v:imagedata o:title=""/>
                <o:lock v:ext="edit" aspectratio="f"/>
              </v:rect>
            </w:pict>
          </mc:Fallback>
        </mc:AlternateContent>
      </w:r>
      <w:r>
        <w:rPr>
          <w:rFonts w:hint="default" w:ascii="Times New Roman" w:hAnsi="Times New Roman" w:eastAsia="黑体" w:cs="Times New Roman"/>
          <w:spacing w:val="-4"/>
          <w:sz w:val="24"/>
          <w:highlight w:val="none"/>
        </w:rPr>
        <w:t>附图4 淄博市环境管控单元图</w:t>
      </w:r>
    </w:p>
    <w:p w14:paraId="7B3AB2DA">
      <w:pPr>
        <w:spacing w:line="219" w:lineRule="auto"/>
        <w:jc w:val="center"/>
        <w:rPr>
          <w:rFonts w:hint="default" w:ascii="Times New Roman" w:hAnsi="Times New Roman" w:cs="Times New Roman"/>
          <w:sz w:val="24"/>
          <w:highlight w:val="none"/>
        </w:rPr>
        <w:sectPr>
          <w:footerReference r:id="rId13" w:type="default"/>
          <w:pgSz w:w="11906" w:h="16839"/>
          <w:pgMar w:top="1421" w:right="867" w:bottom="1099" w:left="928" w:header="0" w:footer="836" w:gutter="0"/>
          <w:cols w:space="720" w:num="1"/>
        </w:sectPr>
      </w:pPr>
    </w:p>
    <w:p w14:paraId="15EC52C7">
      <w:pPr>
        <w:spacing w:line="219" w:lineRule="auto"/>
        <w:rPr>
          <w:rFonts w:hint="default" w:ascii="Times New Roman" w:hAnsi="Times New Roman" w:eastAsia="Times New Roman" w:cs="Times New Roman"/>
          <w:snapToGrid w:val="0"/>
          <w:w w:val="0"/>
          <w:kern w:val="0"/>
          <w:sz w:val="16"/>
          <w:szCs w:val="0"/>
          <w:highlight w:val="none"/>
          <w:u w:color="000000"/>
          <w:shd w:val="clear" w:color="000000" w:fill="000000"/>
        </w:rPr>
      </w:pPr>
      <w:r>
        <w:rPr>
          <w:rFonts w:hint="default" w:ascii="Times New Roman" w:hAnsi="Times New Roman" w:cs="Times New Roman"/>
          <w:highlight w:val="none"/>
        </w:rPr>
        <mc:AlternateContent>
          <mc:Choice Requires="wps">
            <w:drawing>
              <wp:anchor distT="0" distB="0" distL="114300" distR="114300" simplePos="0" relativeHeight="251670528" behindDoc="0" locked="0" layoutInCell="1" allowOverlap="1">
                <wp:simplePos x="0" y="0"/>
                <wp:positionH relativeFrom="column">
                  <wp:posOffset>3636645</wp:posOffset>
                </wp:positionH>
                <wp:positionV relativeFrom="paragraph">
                  <wp:posOffset>3729990</wp:posOffset>
                </wp:positionV>
                <wp:extent cx="1106170" cy="367665"/>
                <wp:effectExtent l="196215" t="620395" r="8255" b="17780"/>
                <wp:wrapNone/>
                <wp:docPr id="16" name="矩形标注 16"/>
                <wp:cNvGraphicFramePr/>
                <a:graphic xmlns:a="http://schemas.openxmlformats.org/drawingml/2006/main">
                  <a:graphicData uri="http://schemas.microsoft.com/office/word/2010/wordprocessingShape">
                    <wps:wsp>
                      <wps:cNvSpPr/>
                      <wps:spPr>
                        <a:xfrm>
                          <a:off x="0" y="0"/>
                          <a:ext cx="1106170" cy="367665"/>
                        </a:xfrm>
                        <a:prstGeom prst="wedgeRectCallout">
                          <a:avLst>
                            <a:gd name="adj1" fmla="val -65148"/>
                            <a:gd name="adj2" fmla="val -209065"/>
                          </a:avLst>
                        </a:prstGeom>
                        <a:noFill/>
                        <a:ln w="12700" cap="flat" cmpd="sng">
                          <a:solidFill>
                            <a:srgbClr val="7030A0"/>
                          </a:solidFill>
                          <a:prstDash val="solid"/>
                          <a:miter/>
                          <a:headEnd type="none" w="med" len="med"/>
                          <a:tailEnd type="none" w="med" len="med"/>
                        </a:ln>
                      </wps:spPr>
                      <wps:txbx>
                        <w:txbxContent>
                          <w:p w14:paraId="4725DE07">
                            <w:pPr>
                              <w:spacing w:line="360" w:lineRule="auto"/>
                              <w:jc w:val="center"/>
                              <w:rPr>
                                <w:b/>
                                <w:color w:val="7030A0"/>
                                <w:szCs w:val="21"/>
                              </w:rPr>
                            </w:pPr>
                            <w:r>
                              <w:rPr>
                                <w:rFonts w:hint="eastAsia"/>
                                <w:b/>
                                <w:color w:val="7030A0"/>
                                <w:szCs w:val="21"/>
                              </w:rPr>
                              <w:t>项目地理位置</w:t>
                            </w:r>
                          </w:p>
                        </w:txbxContent>
                      </wps:txbx>
                      <wps:bodyPr lIns="0" tIns="0" rIns="0" bIns="0" anchor="ctr" anchorCtr="0" upright="1"/>
                    </wps:wsp>
                  </a:graphicData>
                </a:graphic>
              </wp:anchor>
            </w:drawing>
          </mc:Choice>
          <mc:Fallback>
            <w:pict>
              <v:shape id="_x0000_s1026" o:spid="_x0000_s1026" o:spt="61" type="#_x0000_t61" style="position:absolute;left:0pt;margin-left:286.35pt;margin-top:293.7pt;height:28.95pt;width:87.1pt;z-index:251670528;v-text-anchor:middle;mso-width-relative:page;mso-height-relative:page;" filled="f" stroked="t" coordsize="21600,21600" o:gfxdata="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KrtilPc&#10;AAAACwEAAA8AAAAAAAAAAQAgAAAAIgAAAGRycy9kb3ducmV2LnhtbFBLAQIUABQAAAAIAIdO4kDj&#10;k5OlVQIAAKgEAAAOAAAAAAAAAAEAIAAAACsBAABkcnMvZTJvRG9jLnhtbFBLBQYAAAAABgAGAFkB&#10;AADyBQAAAAA=&#10;" adj="-3272,-34358">
                <v:fill on="f" focussize="0,0"/>
                <v:stroke weight="1pt" color="#7030A0" joinstyle="miter"/>
                <v:imagedata o:title=""/>
                <o:lock v:ext="edit" aspectratio="f"/>
                <v:textbox inset="0mm,0mm,0mm,0mm">
                  <w:txbxContent>
                    <w:p w14:paraId="4725DE07">
                      <w:pPr>
                        <w:spacing w:line="360" w:lineRule="auto"/>
                        <w:jc w:val="center"/>
                        <w:rPr>
                          <w:b/>
                          <w:color w:val="7030A0"/>
                          <w:szCs w:val="21"/>
                        </w:rPr>
                      </w:pPr>
                      <w:r>
                        <w:rPr>
                          <w:rFonts w:hint="eastAsia"/>
                          <w:b/>
                          <w:color w:val="7030A0"/>
                          <w:szCs w:val="21"/>
                        </w:rPr>
                        <w:t>项目地理位置</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71552" behindDoc="0" locked="0" layoutInCell="1" allowOverlap="1">
                <wp:simplePos x="0" y="0"/>
                <wp:positionH relativeFrom="column">
                  <wp:posOffset>3390265</wp:posOffset>
                </wp:positionH>
                <wp:positionV relativeFrom="paragraph">
                  <wp:posOffset>3092450</wp:posOffset>
                </wp:positionV>
                <wp:extent cx="82550" cy="82550"/>
                <wp:effectExtent l="6350" t="6350" r="17780" b="17780"/>
                <wp:wrapNone/>
                <wp:docPr id="19" name="椭圆 19"/>
                <wp:cNvGraphicFramePr/>
                <a:graphic xmlns:a="http://schemas.openxmlformats.org/drawingml/2006/main">
                  <a:graphicData uri="http://schemas.microsoft.com/office/word/2010/wordprocessingShape">
                    <wps:wsp>
                      <wps:cNvSpPr/>
                      <wps:spPr>
                        <a:xfrm>
                          <a:off x="0" y="0"/>
                          <a:ext cx="82550" cy="82550"/>
                        </a:xfrm>
                        <a:prstGeom prst="ellipse">
                          <a:avLst/>
                        </a:prstGeom>
                        <a:solidFill>
                          <a:srgbClr val="00B050"/>
                        </a:solidFill>
                        <a:ln w="12700" cap="flat" cmpd="sng">
                          <a:solidFill>
                            <a:srgbClr val="00B050"/>
                          </a:solidFill>
                          <a:prstDash val="solid"/>
                          <a:headEnd type="none" w="med" len="med"/>
                          <a:tailEnd type="none" w="med" len="med"/>
                        </a:ln>
                      </wps:spPr>
                      <wps:txbx>
                        <w:txbxContent>
                          <w:p w14:paraId="750F84B3"/>
                        </w:txbxContent>
                      </wps:txbx>
                      <wps:bodyPr anchor="ctr" anchorCtr="0" upright="1"/>
                    </wps:wsp>
                  </a:graphicData>
                </a:graphic>
              </wp:anchor>
            </w:drawing>
          </mc:Choice>
          <mc:Fallback>
            <w:pict>
              <v:shape id="_x0000_s1026" o:spid="_x0000_s1026" o:spt="3" type="#_x0000_t3" style="position:absolute;left:0pt;margin-left:266.95pt;margin-top:243.5pt;height:6.5pt;width:6.5pt;z-index:251671552;v-text-anchor:middle;mso-width-relative:page;mso-height-relative:page;" fillcolor="#00B050" filled="t" stroked="t" coordsize="21600,21600" o:gfxdata="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fXES42gAAAAsBAAAPAAAAAAAAAAEAIAAAACIAAABk&#10;cnMvZG93bnJldi54bWxQSwECFAAUAAAACACHTuJAz//yZQQCAAA9BAAADgAAAAAAAAABACAAAAAp&#10;AQAAZHJzL2Uyb0RvYy54bWxQSwUGAAAAAAYABgBZAQAAnwUAAAAA&#10;">
                <v:fill on="t" focussize="0,0"/>
                <v:stroke weight="1pt" color="#00B050" joinstyle="round"/>
                <v:imagedata o:title=""/>
                <o:lock v:ext="edit" aspectratio="f"/>
                <v:textbox>
                  <w:txbxContent>
                    <w:p w14:paraId="750F84B3"/>
                  </w:txbxContent>
                </v:textbox>
              </v:shape>
            </w:pict>
          </mc:Fallback>
        </mc:AlternateContent>
      </w:r>
      <w:r>
        <w:rPr>
          <w:rFonts w:hint="default" w:ascii="Times New Roman" w:hAnsi="Times New Roman" w:eastAsia="Times New Roman" w:cs="Times New Roman"/>
          <w:snapToGrid w:val="0"/>
          <w:w w:val="0"/>
          <w:kern w:val="0"/>
          <w:sz w:val="16"/>
          <w:szCs w:val="0"/>
          <w:highlight w:val="none"/>
          <w:u w:color="000000"/>
          <w:shd w:val="clear" w:color="000000" w:fill="000000"/>
        </w:rPr>
        <w:drawing>
          <wp:inline distT="0" distB="0" distL="114300" distR="114300">
            <wp:extent cx="6329045" cy="8507730"/>
            <wp:effectExtent l="0" t="0" r="10795" b="11430"/>
            <wp:docPr id="23" name="图片 10" descr="淄博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descr="淄博市"/>
                    <pic:cNvPicPr>
                      <a:picLocks noChangeAspect="1"/>
                    </pic:cNvPicPr>
                  </pic:nvPicPr>
                  <pic:blipFill>
                    <a:blip r:embed="rId62"/>
                    <a:srcRect r="598" b="446"/>
                    <a:stretch>
                      <a:fillRect/>
                    </a:stretch>
                  </pic:blipFill>
                  <pic:spPr>
                    <a:xfrm>
                      <a:off x="0" y="0"/>
                      <a:ext cx="6329045" cy="8507730"/>
                    </a:xfrm>
                    <a:prstGeom prst="rect">
                      <a:avLst/>
                    </a:prstGeom>
                    <a:noFill/>
                    <a:ln>
                      <a:noFill/>
                    </a:ln>
                  </pic:spPr>
                </pic:pic>
              </a:graphicData>
            </a:graphic>
          </wp:inline>
        </w:drawing>
      </w:r>
    </w:p>
    <w:p w14:paraId="26306041">
      <w:pPr>
        <w:spacing w:before="78" w:line="219" w:lineRule="auto"/>
        <w:jc w:val="center"/>
        <w:rPr>
          <w:rFonts w:hint="default" w:ascii="Times New Roman" w:hAnsi="Times New Roman" w:eastAsia="黑体" w:cs="Times New Roman"/>
          <w:spacing w:val="-4"/>
          <w:sz w:val="24"/>
          <w:highlight w:val="none"/>
        </w:rPr>
      </w:pPr>
    </w:p>
    <w:p w14:paraId="28E96DCA">
      <w:pPr>
        <w:spacing w:before="78" w:line="219" w:lineRule="auto"/>
        <w:jc w:val="center"/>
        <w:rPr>
          <w:rFonts w:hint="default" w:ascii="Times New Roman" w:hAnsi="Times New Roman" w:eastAsia="黑体" w:cs="Times New Roman"/>
          <w:spacing w:val="-4"/>
          <w:sz w:val="24"/>
          <w:highlight w:val="none"/>
        </w:r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68480" behindDoc="0" locked="0" layoutInCell="1" allowOverlap="1">
                <wp:simplePos x="0" y="0"/>
                <wp:positionH relativeFrom="column">
                  <wp:posOffset>2833370</wp:posOffset>
                </wp:positionH>
                <wp:positionV relativeFrom="paragraph">
                  <wp:posOffset>296545</wp:posOffset>
                </wp:positionV>
                <wp:extent cx="704850" cy="342900"/>
                <wp:effectExtent l="0" t="0" r="0" b="0"/>
                <wp:wrapNone/>
                <wp:docPr id="320331388" name="矩形 76"/>
                <wp:cNvGraphicFramePr/>
                <a:graphic xmlns:a="http://schemas.openxmlformats.org/drawingml/2006/main">
                  <a:graphicData uri="http://schemas.microsoft.com/office/word/2010/wordprocessingShape">
                    <wps:wsp>
                      <wps:cNvSpPr/>
                      <wps:spPr>
                        <a:xfrm>
                          <a:off x="0" y="0"/>
                          <a:ext cx="704850" cy="342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223.1pt;margin-top:23.35pt;height:27pt;width:55.5pt;z-index:251668480;v-text-anchor:middle;mso-width-relative:page;mso-height-relative:page;" fillcolor="#FFFFFF" filled="t" stroked="f" coordsize="21600,21600" o:gfxdata="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tMI7DtgAAAAKAQAADwAAAAAAAAAB&#10;ACAAAAAiAAAAZHJzL2Rvd25yZXYueG1sUEsBAhQAFAAAAAgAh07iQNmkpKKCAgAA8QQAAA4AAAAA&#10;AAAAAQAgAAAAJwEAAGRycy9lMm9Eb2MueG1sUEsFBgAAAAAGAAYAWQEAABsGAAAAAA==&#10;">
                <v:fill on="t" focussize="0,0"/>
                <v:stroke on="f" weight="1pt" miterlimit="8" joinstyle="miter"/>
                <v:imagedata o:title=""/>
                <o:lock v:ext="edit" aspectratio="f"/>
              </v:rect>
            </w:pict>
          </mc:Fallback>
        </mc:AlternateContent>
      </w:r>
      <w:r>
        <w:rPr>
          <w:rFonts w:hint="default" w:ascii="Times New Roman" w:hAnsi="Times New Roman" w:eastAsia="黑体" w:cs="Times New Roman"/>
          <w:spacing w:val="-4"/>
          <w:sz w:val="24"/>
          <w:highlight w:val="none"/>
        </w:rPr>
        <w:t>附图5  淄博市生态保护红线图</w:t>
      </w:r>
    </w:p>
    <w:p w14:paraId="1E259F7F">
      <w:pPr>
        <w:spacing w:line="219" w:lineRule="auto"/>
        <w:jc w:val="center"/>
        <w:rPr>
          <w:rFonts w:hint="default" w:ascii="Times New Roman" w:hAnsi="Times New Roman" w:eastAsia="Times New Roman" w:cs="Times New Roman"/>
          <w:snapToGrid w:val="0"/>
          <w:w w:val="0"/>
          <w:kern w:val="0"/>
          <w:sz w:val="16"/>
          <w:szCs w:val="0"/>
          <w:highlight w:val="none"/>
          <w:u w:color="000000"/>
          <w:shd w:val="clear" w:color="000000" w:fill="000000"/>
        </w:rPr>
        <w:sectPr>
          <w:footerReference r:id="rId14" w:type="default"/>
          <w:pgSz w:w="11906" w:h="16839"/>
          <w:pgMar w:top="1431" w:right="867" w:bottom="1097" w:left="928" w:header="0" w:footer="836" w:gutter="0"/>
          <w:cols w:space="720" w:num="1"/>
        </w:sectPr>
      </w:pPr>
    </w:p>
    <w:p w14:paraId="24649F0F">
      <w:pPr>
        <w:jc w:val="center"/>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696128" behindDoc="0" locked="0" layoutInCell="1" allowOverlap="1">
                <wp:simplePos x="0" y="0"/>
                <wp:positionH relativeFrom="column">
                  <wp:posOffset>1460500</wp:posOffset>
                </wp:positionH>
                <wp:positionV relativeFrom="paragraph">
                  <wp:posOffset>5771515</wp:posOffset>
                </wp:positionV>
                <wp:extent cx="76200" cy="76200"/>
                <wp:effectExtent l="10160" t="13970" r="27940" b="24130"/>
                <wp:wrapNone/>
                <wp:docPr id="9" name="等腰三角形 9"/>
                <wp:cNvGraphicFramePr/>
                <a:graphic xmlns:a="http://schemas.openxmlformats.org/drawingml/2006/main">
                  <a:graphicData uri="http://schemas.microsoft.com/office/word/2010/wordprocessingShape">
                    <wps:wsp>
                      <wps:cNvSpPr/>
                      <wps:spPr>
                        <a:xfrm>
                          <a:off x="3606800" y="4789805"/>
                          <a:ext cx="76200" cy="76200"/>
                        </a:xfrm>
                        <a:prstGeom prst="triangle">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15pt;margin-top:454.45pt;height:6pt;width:6pt;z-index:251696128;v-text-anchor:middle;mso-width-relative:page;mso-height-relative:page;" filled="f" stroked="t" coordsize="21600,21600" o:gfxdata="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bz39v2QAAAAsBAAAPAAAA&#10;AAAAAAEAIAAAACIAAABkcnMvZG93bnJldi54bWxQSwECFAAUAAAACACHTuJAe8otVIYCAADhBAAA&#10;DgAAAAAAAAABACAAAAAoAQAAZHJzL2Uyb0RvYy54bWxQSwUGAAAAAAYABgBZAQAAIAYAAAAA&#10;" adj="10800">
                <v:fill on="f" focussize="0,0"/>
                <v:stroke weight="1pt" color="#FF0000 [2404]" miterlimit="8" joinstyle="miter"/>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97152" behindDoc="0" locked="0" layoutInCell="1" allowOverlap="1">
                <wp:simplePos x="0" y="0"/>
                <wp:positionH relativeFrom="column">
                  <wp:posOffset>1467485</wp:posOffset>
                </wp:positionH>
                <wp:positionV relativeFrom="paragraph">
                  <wp:posOffset>6627495</wp:posOffset>
                </wp:positionV>
                <wp:extent cx="886460" cy="323850"/>
                <wp:effectExtent l="6350" t="824865" r="21590" b="13335"/>
                <wp:wrapNone/>
                <wp:docPr id="11" name="矩形标注 11"/>
                <wp:cNvGraphicFramePr/>
                <a:graphic xmlns:a="http://schemas.openxmlformats.org/drawingml/2006/main">
                  <a:graphicData uri="http://schemas.microsoft.com/office/word/2010/wordprocessingShape">
                    <wps:wsp>
                      <wps:cNvSpPr/>
                      <wps:spPr>
                        <a:xfrm>
                          <a:off x="4961890" y="3526155"/>
                          <a:ext cx="886460" cy="323850"/>
                        </a:xfrm>
                        <a:prstGeom prst="wedgeRectCallout">
                          <a:avLst>
                            <a:gd name="adj1" fmla="val -44484"/>
                            <a:gd name="adj2" fmla="val -290392"/>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915101E">
                            <w:pPr>
                              <w:snapToGrid w:val="0"/>
                              <w:jc w:val="center"/>
                            </w:pPr>
                            <w:r>
                              <w:rPr>
                                <w:rFonts w:hint="eastAsia"/>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5.55pt;margin-top:521.85pt;height:25.5pt;width:69.8pt;z-index:251697152;v-text-anchor:middle;mso-width-relative:page;mso-height-relative:page;" fillcolor="#4472C4 [3204]" filled="t" stroked="t" coordsize="21600,21600" o:gfxdata="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NSmLn/bAAAADQEAAA8AAAAAAAAAAQAgAAAAIgAAAGRycy9kb3ducmV2LnhtbFBLAQIUABQA&#10;AAAIAIdO4kA57CNI0QIAAJQFAAAOAAAAAAAAAAEAIAAAACoBAABkcnMvZTJvRG9jLnhtbFBLBQYA&#10;AAAABgAGAFkBAABtBgAAAAA=&#10;" adj="1191,-51925">
                <v:fill on="t" focussize="0,0"/>
                <v:stroke weight="1pt" color="#2F5597 [2404]" miterlimit="8" joinstyle="miter"/>
                <v:imagedata o:title=""/>
                <o:lock v:ext="edit" aspectratio="f"/>
                <v:textbox>
                  <w:txbxContent>
                    <w:p w14:paraId="3915101E">
                      <w:pPr>
                        <w:snapToGrid w:val="0"/>
                        <w:jc w:val="center"/>
                      </w:pPr>
                      <w:r>
                        <w:rPr>
                          <w:rFonts w:hint="eastAsia"/>
                        </w:rPr>
                        <w:t>项目位置</w:t>
                      </w:r>
                    </w:p>
                  </w:txbxContent>
                </v:textbox>
              </v:shape>
            </w:pict>
          </mc:Fallback>
        </mc:AlternateContent>
      </w:r>
      <w:r>
        <w:rPr>
          <w:rFonts w:hint="default" w:ascii="Times New Roman" w:hAnsi="Times New Roman" w:cs="Times New Roman"/>
          <w:highlight w:val="none"/>
        </w:rPr>
        <w:drawing>
          <wp:inline distT="0" distB="0" distL="114300" distR="114300">
            <wp:extent cx="6168390" cy="8615680"/>
            <wp:effectExtent l="0" t="0" r="3810" b="13970"/>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63"/>
                    <a:stretch>
                      <a:fillRect/>
                    </a:stretch>
                  </pic:blipFill>
                  <pic:spPr>
                    <a:xfrm>
                      <a:off x="0" y="0"/>
                      <a:ext cx="6168390" cy="8615680"/>
                    </a:xfrm>
                    <a:prstGeom prst="rect">
                      <a:avLst/>
                    </a:prstGeom>
                    <a:noFill/>
                    <a:ln>
                      <a:noFill/>
                    </a:ln>
                  </pic:spPr>
                </pic:pic>
              </a:graphicData>
            </a:graphic>
          </wp:inline>
        </w:drawing>
      </w:r>
    </w:p>
    <w:p w14:paraId="4336C6B6">
      <w:pPr>
        <w:jc w:val="center"/>
        <w:rPr>
          <w:rFonts w:hint="default" w:ascii="Times New Roman" w:hAnsi="Times New Roman" w:eastAsia="黑体" w:cs="Times New Roman"/>
          <w:spacing w:val="-4"/>
          <w:sz w:val="24"/>
          <w:highlight w:val="none"/>
        </w:rPr>
      </w:pPr>
      <w:r>
        <w:rPr>
          <w:rFonts w:hint="default" w:ascii="Times New Roman" w:hAnsi="Times New Roman" w:eastAsia="黑体" w:cs="Times New Roman"/>
          <w:spacing w:val="-4"/>
          <w:sz w:val="24"/>
          <w:highlight w:val="none"/>
        </w:rPr>
        <mc:AlternateContent>
          <mc:Choice Requires="wps">
            <w:drawing>
              <wp:anchor distT="0" distB="0" distL="114300" distR="114300" simplePos="0" relativeHeight="251695104" behindDoc="0" locked="0" layoutInCell="1" allowOverlap="1">
                <wp:simplePos x="0" y="0"/>
                <wp:positionH relativeFrom="column">
                  <wp:posOffset>2736850</wp:posOffset>
                </wp:positionH>
                <wp:positionV relativeFrom="paragraph">
                  <wp:posOffset>965200</wp:posOffset>
                </wp:positionV>
                <wp:extent cx="704850" cy="285750"/>
                <wp:effectExtent l="0" t="0" r="0" b="0"/>
                <wp:wrapNone/>
                <wp:docPr id="8" name="矩形 76"/>
                <wp:cNvGraphicFramePr/>
                <a:graphic xmlns:a="http://schemas.openxmlformats.org/drawingml/2006/main">
                  <a:graphicData uri="http://schemas.microsoft.com/office/word/2010/wordprocessingShape">
                    <wps:wsp>
                      <wps:cNvSpPr/>
                      <wps:spPr>
                        <a:xfrm>
                          <a:off x="0" y="0"/>
                          <a:ext cx="704850" cy="28575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215.5pt;margin-top:76pt;height:22.5pt;width:55.5pt;z-index:251695104;v-text-anchor:middle;mso-width-relative:page;mso-height-relative:page;" fillcolor="#FFFFFF" filled="t" stroked="f" coordsize="21600,21600" o:gfxdata="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h5S+T2AAAAAsBAAAPAAAAAAAAAAEAIAAAACIAAABk&#10;cnMvZG93bnJldi54bWxQSwECFAAUAAAACACHTuJAleuBGngCAADpBAAADgAAAAAAAAABACAAAAAn&#10;AQAAZHJzL2Uyb0RvYy54bWxQSwUGAAAAAAYABgBZAQAAEQYAAAAA&#10;">
                <v:fill on="t" focussize="0,0"/>
                <v:stroke on="f" weight="1pt" miterlimit="8" joinstyle="miter"/>
                <v:imagedata o:title=""/>
                <o:lock v:ext="edit" aspectratio="f"/>
              </v:rect>
            </w:pict>
          </mc:Fallback>
        </mc:AlternateContent>
      </w:r>
      <w:r>
        <w:rPr>
          <w:rFonts w:hint="default" w:ascii="Times New Roman" w:hAnsi="Times New Roman" w:eastAsia="黑体" w:cs="Times New Roman"/>
          <w:spacing w:val="-4"/>
          <w:sz w:val="24"/>
          <w:highlight w:val="none"/>
        </w:rPr>
        <w:t>附图6  淄博市国土空间总体规划（2021-2035年）</w:t>
      </w:r>
    </w:p>
    <w:p w14:paraId="2771F9CD">
      <w:pPr>
        <w:pStyle w:val="23"/>
        <w:jc w:val="center"/>
        <w:rPr>
          <w:rFonts w:hint="default" w:ascii="Times New Roman" w:hAnsi="Times New Roman" w:cs="Times New Roman"/>
          <w:highlight w:val="none"/>
        </w:rPr>
        <w:sectPr>
          <w:pgSz w:w="11906" w:h="16839"/>
          <w:pgMar w:top="1431" w:right="867" w:bottom="1097" w:left="928" w:header="0" w:footer="836" w:gutter="0"/>
          <w:cols w:space="720" w:num="1"/>
        </w:sectPr>
      </w:pPr>
    </w:p>
    <w:p w14:paraId="5A890477">
      <w:pPr>
        <w:pStyle w:val="101"/>
        <w:spacing w:line="360" w:lineRule="auto"/>
        <w:ind w:firstLine="36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sz w:val="18"/>
          <w:highlight w:val="none"/>
        </w:rPr>
        <mc:AlternateContent>
          <mc:Choice Requires="wps">
            <w:drawing>
              <wp:anchor distT="0" distB="0" distL="114300" distR="114300" simplePos="0" relativeHeight="251710464" behindDoc="0" locked="0" layoutInCell="1" allowOverlap="1">
                <wp:simplePos x="0" y="0"/>
                <wp:positionH relativeFrom="column">
                  <wp:posOffset>3011170</wp:posOffset>
                </wp:positionH>
                <wp:positionV relativeFrom="paragraph">
                  <wp:posOffset>3639820</wp:posOffset>
                </wp:positionV>
                <wp:extent cx="162560" cy="85725"/>
                <wp:effectExtent l="6350" t="6350" r="21590" b="22225"/>
                <wp:wrapNone/>
                <wp:docPr id="71" name="任意多边形 71"/>
                <wp:cNvGraphicFramePr/>
                <a:graphic xmlns:a="http://schemas.openxmlformats.org/drawingml/2006/main">
                  <a:graphicData uri="http://schemas.microsoft.com/office/word/2010/wordprocessingShape">
                    <wps:wsp>
                      <wps:cNvSpPr/>
                      <wps:spPr>
                        <a:xfrm>
                          <a:off x="0" y="0"/>
                          <a:ext cx="162560" cy="85725"/>
                        </a:xfrm>
                        <a:custGeom>
                          <a:avLst/>
                          <a:gdLst>
                            <a:gd name="connisteX0" fmla="*/ 9525 w 1381125"/>
                            <a:gd name="connsiteY0" fmla="*/ 9525 h 762000"/>
                            <a:gd name="connisteX1" fmla="*/ 0 w 1381125"/>
                            <a:gd name="connsiteY1" fmla="*/ 762000 h 762000"/>
                            <a:gd name="connisteX2" fmla="*/ 247650 w 1381125"/>
                            <a:gd name="connsiteY2" fmla="*/ 752475 h 762000"/>
                            <a:gd name="connisteX3" fmla="*/ 438150 w 1381125"/>
                            <a:gd name="connsiteY3" fmla="*/ 609600 h 762000"/>
                            <a:gd name="connisteX4" fmla="*/ 619125 w 1381125"/>
                            <a:gd name="connsiteY4" fmla="*/ 523875 h 762000"/>
                            <a:gd name="connisteX5" fmla="*/ 866775 w 1381125"/>
                            <a:gd name="connsiteY5" fmla="*/ 457200 h 762000"/>
                            <a:gd name="connisteX6" fmla="*/ 1114425 w 1381125"/>
                            <a:gd name="connsiteY6" fmla="*/ 390525 h 762000"/>
                            <a:gd name="connisteX7" fmla="*/ 1266825 w 1381125"/>
                            <a:gd name="connsiteY7" fmla="*/ 390525 h 762000"/>
                            <a:gd name="connisteX8" fmla="*/ 1371600 w 1381125"/>
                            <a:gd name="connsiteY8" fmla="*/ 342900 h 762000"/>
                            <a:gd name="connisteX9" fmla="*/ 1381125 w 1381125"/>
                            <a:gd name="connsiteY9" fmla="*/ 0 h 762000"/>
                            <a:gd name="connisteX10" fmla="*/ 9525 w 1381125"/>
                            <a:gd name="connsiteY10" fmla="*/ 9525 h 762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381125" h="762000">
                              <a:moveTo>
                                <a:pt x="9525" y="9525"/>
                              </a:moveTo>
                              <a:lnTo>
                                <a:pt x="0" y="762000"/>
                              </a:lnTo>
                              <a:lnTo>
                                <a:pt x="247650" y="752475"/>
                              </a:lnTo>
                              <a:lnTo>
                                <a:pt x="438150" y="609600"/>
                              </a:lnTo>
                              <a:lnTo>
                                <a:pt x="619125" y="523875"/>
                              </a:lnTo>
                              <a:lnTo>
                                <a:pt x="866775" y="457200"/>
                              </a:lnTo>
                              <a:lnTo>
                                <a:pt x="1114425" y="390525"/>
                              </a:lnTo>
                              <a:lnTo>
                                <a:pt x="1266825" y="390525"/>
                              </a:lnTo>
                              <a:lnTo>
                                <a:pt x="1371600" y="342900"/>
                              </a:lnTo>
                              <a:lnTo>
                                <a:pt x="1381125" y="0"/>
                              </a:lnTo>
                              <a:lnTo>
                                <a:pt x="9525" y="9525"/>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7.1pt;margin-top:286.6pt;height:6.75pt;width:12.8pt;z-index:251710464;mso-width-relative:page;mso-height-relative:page;" filled="f" stroked="t" coordsize="1381125,762000" o:gfxdata="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" path="m9525,9525l0,762000,247650,752475,438150,609600,619125,523875,866775,457200,1114425,390525,1266825,390525,1371600,342900,1381125,0,9525,9525xe">
                <v:path o:connectlocs="1121,1071;0,85725;29148,84653;51570,68580;72871,58935;102020,51435;131169,43934;149106,43934;161438,38576;162560,0;1121,1071" o:connectangles="0,0,0,0,0,0,0,0,0,0,0"/>
                <v:fill on="f" focussize="0,0"/>
                <v:stroke weight="1pt" color="#FF0000 [2404]" miterlimit="8" joinstyle="miter"/>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09440" behindDoc="0" locked="0" layoutInCell="1" allowOverlap="1">
                <wp:simplePos x="0" y="0"/>
                <wp:positionH relativeFrom="column">
                  <wp:posOffset>3448050</wp:posOffset>
                </wp:positionH>
                <wp:positionV relativeFrom="paragraph">
                  <wp:posOffset>3121660</wp:posOffset>
                </wp:positionV>
                <wp:extent cx="819785" cy="266700"/>
                <wp:effectExtent l="397510" t="6350" r="20955" b="298450"/>
                <wp:wrapNone/>
                <wp:docPr id="64" name="矩形标注 64"/>
                <wp:cNvGraphicFramePr/>
                <a:graphic xmlns:a="http://schemas.openxmlformats.org/drawingml/2006/main">
                  <a:graphicData uri="http://schemas.microsoft.com/office/word/2010/wordprocessingShape">
                    <wps:wsp>
                      <wps:cNvSpPr/>
                      <wps:spPr>
                        <a:xfrm>
                          <a:off x="4051300" y="4039870"/>
                          <a:ext cx="819785" cy="266700"/>
                        </a:xfrm>
                        <a:prstGeom prst="wedgeRectCallout">
                          <a:avLst>
                            <a:gd name="adj1" fmla="val -92708"/>
                            <a:gd name="adj2" fmla="val 14965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47D5B7">
                            <w:pPr>
                              <w:jc w:val="center"/>
                            </w:pPr>
                            <w:r>
                              <w:rPr>
                                <w:rFonts w:hint="eastAsia"/>
                              </w:rPr>
                              <w:t>项目厂区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1.5pt;margin-top:245.8pt;height:21pt;width:64.55pt;z-index:251709440;v-text-anchor:middle;mso-width-relative:page;mso-height-relative:page;" fillcolor="#4472C4 [3204]" filled="t" stroked="t" coordsize="21600,21600" o:gfxdata="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lHMgi9sAAAALAQAADwAAAAAAAAABACAAAAAiAAAAZHJzL2Rvd25yZXYueG1sUEsBAhQAFAAAAAgA&#10;h07iQBgS9L3NAgAAkgUAAA4AAAAAAAAAAQAgAAAAKgEAAGRycy9lMm9Eb2MueG1sUEsFBgAAAAAG&#10;AAYAWQEAAGkGAAAAAA==&#10;" adj="-9225,43126">
                <v:fill on="t" focussize="0,0"/>
                <v:stroke weight="1pt" color="#2F528F [3204]" miterlimit="8" joinstyle="miter"/>
                <v:imagedata o:title=""/>
                <o:lock v:ext="edit" aspectratio="f"/>
                <v:textbox>
                  <w:txbxContent>
                    <w:p w14:paraId="4E47D5B7">
                      <w:pPr>
                        <w:jc w:val="center"/>
                      </w:pPr>
                      <w:r>
                        <w:rPr>
                          <w:rFonts w:hint="eastAsia"/>
                        </w:rPr>
                        <w:t>项目厂区</w:t>
                      </w:r>
                    </w:p>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8082280" cy="5713095"/>
            <wp:effectExtent l="0" t="0" r="13970" b="1905"/>
            <wp:docPr id="69" name="图片 69" descr="04土地利用规划图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04土地利用规划图_00"/>
                    <pic:cNvPicPr>
                      <a:picLocks noChangeAspect="1"/>
                    </pic:cNvPicPr>
                  </pic:nvPicPr>
                  <pic:blipFill>
                    <a:blip r:embed="rId64"/>
                    <a:stretch>
                      <a:fillRect/>
                    </a:stretch>
                  </pic:blipFill>
                  <pic:spPr>
                    <a:xfrm>
                      <a:off x="0" y="0"/>
                      <a:ext cx="8082280" cy="5713095"/>
                    </a:xfrm>
                    <a:prstGeom prst="rect">
                      <a:avLst/>
                    </a:prstGeom>
                  </pic:spPr>
                </pic:pic>
              </a:graphicData>
            </a:graphic>
          </wp:inline>
        </w:drawing>
      </w:r>
    </w:p>
    <w:p w14:paraId="557D1EA6">
      <w:pPr>
        <w:jc w:val="center"/>
        <w:rPr>
          <w:rFonts w:hint="default" w:ascii="Times New Roman" w:hAnsi="Times New Roman" w:cs="Times New Roman"/>
          <w:highlight w:val="none"/>
        </w:rPr>
      </w:pPr>
      <w:r>
        <w:rPr>
          <w:rFonts w:hint="default" w:ascii="Times New Roman" w:hAnsi="Times New Roman" w:eastAsia="黑体" w:cs="Times New Roman"/>
          <w:spacing w:val="-4"/>
          <w:sz w:val="24"/>
          <w:highlight w:val="none"/>
        </w:rPr>
        <w:t>附图7  齐鲁化学工业区总体发展规划（2020-2035）-土地利用规划图见图</w:t>
      </w:r>
    </w:p>
    <w:p w14:paraId="3C0DA2D7">
      <w:pPr>
        <w:jc w:val="center"/>
        <w:rPr>
          <w:rFonts w:hint="default" w:ascii="Times New Roman" w:hAnsi="Times New Roman" w:cs="Times New Roman"/>
          <w:highlight w:val="none"/>
        </w:rPr>
      </w:pPr>
    </w:p>
    <w:sectPr>
      <w:pgSz w:w="16840" w:h="11907" w:orient="landscape"/>
      <w:pgMar w:top="1077" w:right="1440" w:bottom="1077" w:left="1440" w:header="851" w:footer="851"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Arial Unicode MS">
    <w:panose1 w:val="020B0604020202020204"/>
    <w:charset w:val="86"/>
    <w:family w:val="swiss"/>
    <w:pitch w:val="default"/>
    <w:sig w:usb0="FFFFFFFF" w:usb1="E9FFFFFF" w:usb2="0000003F" w:usb3="00000000" w:csb0="603F01FF" w:csb1="FFFF0000"/>
  </w:font>
  <w:font w:name="Noto Sans CJK JP Regular">
    <w:altName w:val="Arial"/>
    <w:panose1 w:val="00000000000000000000"/>
    <w:charset w:val="00"/>
    <w:family w:val="auto"/>
    <w:pitch w:val="default"/>
    <w:sig w:usb0="00000000" w:usb1="00000000" w:usb2="00000000" w:usb3="00000000" w:csb0="00040001" w:csb1="00000000"/>
  </w:font>
  <w:font w:name="新宋体">
    <w:panose1 w:val="02010609030101010101"/>
    <w:charset w:val="86"/>
    <w:family w:val="modern"/>
    <w:pitch w:val="default"/>
    <w:sig w:usb0="00000203" w:usb1="288F0000" w:usb2="0000000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TimesNewRomanPS-BoldMT">
    <w:altName w:val="Times New Roman"/>
    <w:panose1 w:val="00000000000000000000"/>
    <w:charset w:val="00"/>
    <w:family w:val="auto"/>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Batang">
    <w:altName w:val="Malgun Gothic"/>
    <w:panose1 w:val="02030600000101010101"/>
    <w:charset w:val="81"/>
    <w:family w:val="roman"/>
    <w:pitch w:val="default"/>
    <w:sig w:usb0="00000000" w:usb1="00000000" w:usb2="00000030" w:usb3="00000000" w:csb0="0008009F" w:csb1="00000000"/>
  </w:font>
  <w:font w:name="Malgun Gothic">
    <w:panose1 w:val="020B0503020000020004"/>
    <w:charset w:val="81"/>
    <w:family w:val="auto"/>
    <w:pitch w:val="default"/>
    <w:sig w:usb0="9000002F" w:usb1="29D77CFB" w:usb2="00000012" w:usb3="00000000" w:csb0="00080001"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Verdana">
    <w:panose1 w:val="020B0604030504040204"/>
    <w:charset w:val="00"/>
    <w:family w:val="swiss"/>
    <w:pitch w:val="default"/>
    <w:sig w:usb0="A00006FF" w:usb1="4000205B" w:usb2="0000001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方正小标宋简体">
    <w:altName w:val="微软雅黑"/>
    <w:panose1 w:val="00000000000000000000"/>
    <w:charset w:val="86"/>
    <w:family w:val="script"/>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29E735">
    <w:pPr>
      <w:pStyle w:val="29"/>
      <w:framePr w:wrap="around" w:vAnchor="text" w:hAnchor="margin" w:xAlign="center" w:y="1"/>
      <w:rPr>
        <w:rStyle w:val="51"/>
      </w:rPr>
    </w:pPr>
    <w:r>
      <w:fldChar w:fldCharType="begin"/>
    </w:r>
    <w:r>
      <w:rPr>
        <w:rStyle w:val="51"/>
      </w:rPr>
      <w:instrText xml:space="preserve">PAGE  </w:instrText>
    </w:r>
    <w:r>
      <w:fldChar w:fldCharType="end"/>
    </w:r>
  </w:p>
  <w:p w14:paraId="77978EAD">
    <w:pPr>
      <w:pStyle w:val="2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CAB3A">
    <w:pPr>
      <w:pStyle w:val="29"/>
      <w:jc w:val="center"/>
    </w:pPr>
    <w:r>
      <mc:AlternateContent>
        <mc:Choice Requires="wps">
          <w:drawing>
            <wp:anchor distT="0" distB="0" distL="114300" distR="114300" simplePos="0" relativeHeight="251693056" behindDoc="0" locked="0" layoutInCell="1" allowOverlap="1">
              <wp:simplePos x="0" y="0"/>
              <wp:positionH relativeFrom="margin">
                <wp:posOffset>3179445</wp:posOffset>
              </wp:positionH>
              <wp:positionV relativeFrom="paragraph">
                <wp:posOffset>3810</wp:posOffset>
              </wp:positionV>
              <wp:extent cx="360680" cy="37592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360680" cy="375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244446119"/>
                          </w:sdtPr>
                          <w:sdtContent>
                            <w:p w14:paraId="261139B4">
                              <w:pPr>
                                <w:pStyle w:val="29"/>
                                <w:jc w:val="cente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55</w:t>
                              </w:r>
                              <w:r>
                                <w:rPr>
                                  <w:sz w:val="24"/>
                                  <w:szCs w:val="24"/>
                                </w:rPr>
                                <w:fldChar w:fldCharType="end"/>
                              </w:r>
                            </w:p>
                          </w:sdtContent>
                        </w:sdt>
                        <w:p w14:paraId="7DDF7651">
                          <w:pPr>
                            <w:pStyle w:val="4"/>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50.35pt;margin-top:0.3pt;height:29.6pt;width:28.4pt;mso-position-horizontal-relative:margin;z-index:251693056;mso-width-relative:page;mso-height-relative:page;" filled="f" stroked="f" coordsize="21600,21600" o:gfxdata="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VmDtHVAAAABwEAAA8AAAAAAAAAAQAgAAAAIgAAAGRycy9kb3ducmV2LnhtbFBL&#10;AQIUABQAAAAIAIdO4kDqN9+bMgIAAFcEAAAOAAAAAAAAAAEAIAAAACQBAABkcnMvZTJvRG9jLnht&#10;bFBLBQYAAAAABgAGAFkBAADIBQAAAAA=&#10;">
              <v:fill on="f" focussize="0,0"/>
              <v:stroke on="f" weight="0.5pt"/>
              <v:imagedata o:title=""/>
              <o:lock v:ext="edit" aspectratio="f"/>
              <v:textbox inset="0mm,0mm,0mm,0mm">
                <w:txbxContent>
                  <w:sdt>
                    <w:sdtPr>
                      <w:id w:val="1244446119"/>
                    </w:sdtPr>
                    <w:sdtContent>
                      <w:p w14:paraId="261139B4">
                        <w:pPr>
                          <w:pStyle w:val="29"/>
                          <w:jc w:val="cente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55</w:t>
                        </w:r>
                        <w:r>
                          <w:rPr>
                            <w:sz w:val="24"/>
                            <w:szCs w:val="24"/>
                          </w:rPr>
                          <w:fldChar w:fldCharType="end"/>
                        </w:r>
                      </w:p>
                    </w:sdtContent>
                  </w:sdt>
                  <w:p w14:paraId="7DDF7651">
                    <w:pPr>
                      <w:pStyle w:val="4"/>
                    </w:pPr>
                  </w:p>
                </w:txbxContent>
              </v:textbox>
            </v:shape>
          </w:pict>
        </mc:Fallback>
      </mc:AlternateContent>
    </w:r>
  </w:p>
  <w:p w14:paraId="2161BF6A">
    <w:pPr>
      <w:pStyle w:val="29"/>
      <w:tabs>
        <w:tab w:val="left" w:pos="6920"/>
        <w:tab w:val="clear" w:pos="4153"/>
        <w:tab w:val="clear" w:pos="8306"/>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C1702E">
    <w:pPr>
      <w:pStyle w:val="29"/>
      <w:ind w:right="360" w:firstLine="360"/>
      <w:jc w:val="center"/>
    </w:pPr>
    <w: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1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9323668">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60</w:t>
                          </w:r>
                          <w:r>
                            <w:rPr>
                              <w:sz w:val="24"/>
                              <w:szCs w:val="24"/>
                            </w:rPr>
                            <w:fldChar w:fldCharType="end"/>
                          </w:r>
                        </w:p>
                      </w:txbxContent>
                    </wps:txbx>
                    <wps:bodyPr wrap="none" lIns="0" tIns="0" rIns="0" bIns="0" upright="1">
                      <a:spAutoFit/>
                    </wps:bodyPr>
                  </wps:wsp>
                </a:graphicData>
              </a:graphic>
            </wp:anchor>
          </w:drawing>
        </mc:Choice>
        <mc:Fallback>
          <w:pict>
            <v:shape id="文本框 4103"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OqXm5zwAAAAUBAAAPAAAAAAAAAAEAIAAAACIAAABkcnMvZG93&#10;bnJldi54bWxQSwECFAAUAAAACACHTuJAjgmP9NABAACrAwAADgAAAAAAAAABACAAAAAeAQAAZHJz&#10;L2Uyb0RvYy54bWxQSwUGAAAAAAYABgBZAQAAYAUAAAAA&#10;">
              <v:fill on="f" focussize="0,0"/>
              <v:stroke on="f"/>
              <v:imagedata o:title=""/>
              <o:lock v:ext="edit" aspectratio="f"/>
              <v:textbox inset="0mm,0mm,0mm,0mm" style="mso-fit-shape-to-text:t;">
                <w:txbxContent>
                  <w:p w14:paraId="09323668">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60</w:t>
                    </w:r>
                    <w:r>
                      <w:rPr>
                        <w:sz w:val="24"/>
                        <w:szCs w:val="24"/>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F6D83B">
    <w:pPr>
      <w:pStyle w:val="29"/>
      <w:ind w:right="360" w:firstLine="360"/>
      <w:jc w:val="center"/>
    </w:pPr>
    <w: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E9FA812">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61</w:t>
                          </w:r>
                          <w:r>
                            <w:rPr>
                              <w:sz w:val="24"/>
                              <w:szCs w:val="24"/>
                            </w:rPr>
                            <w:fldChar w:fldCharType="end"/>
                          </w:r>
                        </w:p>
                      </w:txbxContent>
                    </wps:txbx>
                    <wps:bodyPr wrap="none" lIns="0" tIns="0" rIns="0" bIns="0" upright="1">
                      <a:spAutoFit/>
                    </wps:bodyPr>
                  </wps:wsp>
                </a:graphicData>
              </a:graphic>
            </wp:anchor>
          </w:drawing>
        </mc:Choice>
        <mc:Fallback>
          <w:pict>
            <v:shape id="文本框 4104"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zql5uc8AAAAFAQAADwAAAAAAAAABACAAAAAiAAAAZHJzL2Rv&#10;d25yZXYueG1sUEsBAhQAFAAAAAgAh07iQOcA/H3RAQAAqwMAAA4AAAAAAAAAAQAgAAAAHgEAAGRy&#10;cy9lMm9Eb2MueG1sUEsFBgAAAAAGAAYAWQEAAGEFAAAAAA==&#10;">
              <v:fill on="f" focussize="0,0"/>
              <v:stroke on="f"/>
              <v:imagedata o:title=""/>
              <o:lock v:ext="edit" aspectratio="f"/>
              <v:textbox inset="0mm,0mm,0mm,0mm" style="mso-fit-shape-to-text:t;">
                <w:txbxContent>
                  <w:p w14:paraId="3E9FA812">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61</w:t>
                    </w:r>
                    <w:r>
                      <w:rPr>
                        <w:sz w:val="24"/>
                        <w:szCs w:val="24"/>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931C9">
    <w:pPr>
      <w:spacing w:before="1" w:line="166" w:lineRule="auto"/>
      <w:ind w:left="3565"/>
      <w:rPr>
        <w:rFonts w:ascii="宋体" w:hAnsi="宋体" w:cs="宋体"/>
        <w:sz w:val="28"/>
        <w:szCs w:val="28"/>
      </w:rPr>
    </w:pPr>
    <w:r>
      <w:rPr>
        <w:sz w:val="28"/>
      </w:rPr>
      <mc:AlternateContent>
        <mc:Choice Requires="wps">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79A69E">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65</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40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NNQg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n31dpwuXDwAlxo5IonusdEK7a7tme1M&#10;cQIxZ7re8JZvaiTfMh/umUMz4MEYl3CHpZQGSUxvUVIZ9/Vf5zEeNYKXkgbNlVONWaJEftCoHQDD&#10;YLjB2A2GPqhbg26dYAwtTyYuuCAHs3RGfcEMrWIOuJjmyJTTMJi3oWtwzCAXq1UKQrdZFrb6wfII&#10;HcXzdnUIEDDpGkXplOi1Qr+lyvSzERv6z32KevofLB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ZNNQgtAgAAVwQAAA4AAAAAAAAAAQAgAAAAHwEAAGRycy9lMm9Eb2MueG1sUEsFBgAAAAAG&#10;AAYAWQEAAL4FAAAAAA==&#10;">
              <v:fill on="f" focussize="0,0"/>
              <v:stroke on="f" weight="0.5pt"/>
              <v:imagedata o:title=""/>
              <o:lock v:ext="edit" aspectratio="f"/>
              <v:textbox inset="0mm,0mm,0mm,0mm" style="mso-fit-shape-to-text:t;">
                <w:txbxContent>
                  <w:p w14:paraId="1D79A69E">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65</w:t>
                    </w:r>
                    <w:r>
                      <w:rPr>
                        <w:sz w:val="24"/>
                        <w:szCs w:val="24"/>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9A881E">
    <w:pPr>
      <w:spacing w:line="167" w:lineRule="auto"/>
      <w:ind w:left="3565"/>
      <w:rPr>
        <w:rFonts w:ascii="宋体" w:hAnsi="宋体"/>
        <w:sz w:val="28"/>
        <w:szCs w:val="28"/>
      </w:rPr>
    </w:pPr>
    <w:r>
      <w:rPr>
        <w:sz w:val="28"/>
      </w:rPr>
      <mc:AlternateContent>
        <mc:Choice Requires="wps">
          <w:drawing>
            <wp:anchor distT="0" distB="0" distL="114300" distR="114300" simplePos="0" relativeHeight="251701248"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B85BB3F">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63</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1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1Z10szAgAAZQQAAA4AAAAAAAAAAQAgAAAAHwEAAGRycy9lMm9Eb2MueG1sUEsF&#10;BgAAAAAGAAYAWQEAAMQFAAAAAA==&#10;">
              <v:fill on="f" focussize="0,0"/>
              <v:stroke on="f" weight="0.5pt"/>
              <v:imagedata o:title=""/>
              <o:lock v:ext="edit" aspectratio="f"/>
              <v:textbox inset="0mm,0mm,0mm,0mm" style="mso-fit-shape-to-text:t;">
                <w:txbxContent>
                  <w:p w14:paraId="2B85BB3F">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63</w:t>
                    </w:r>
                    <w:r>
                      <w:rPr>
                        <w:sz w:val="24"/>
                        <w:szCs w:val="24"/>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9309C5">
    <w:pPr>
      <w:pStyle w:val="29"/>
      <w:tabs>
        <w:tab w:val="clear" w:pos="4153"/>
      </w:tabs>
      <w:jc w:val="center"/>
    </w:pPr>
    <w:r>
      <mc:AlternateContent>
        <mc:Choice Requires="wps">
          <w:drawing>
            <wp:anchor distT="0" distB="0" distL="114300" distR="114300" simplePos="0" relativeHeight="251700224" behindDoc="0" locked="0" layoutInCell="1" allowOverlap="1">
              <wp:simplePos x="0" y="0"/>
              <wp:positionH relativeFrom="margin">
                <wp:align>center</wp:align>
              </wp:positionH>
              <wp:positionV relativeFrom="paragraph">
                <wp:posOffset>0</wp:posOffset>
              </wp:positionV>
              <wp:extent cx="1828800" cy="182880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3B5288">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86</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02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DusZ8tAgAAVwQAAA4AAABkcnMvZTJvRG9jLnhtbK1UzY7TMBC+I/EO&#10;lu80aRFL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Os3lGimUPHT92+n&#10;H79OP78SnEGg1voZ4jYWkaF7azq0zXDucRh5d5VT8QtGBH7Ie7zIK7pAeLw0nUynOVwcvmED/Ozh&#10;unU+vBNGkWgU1KF+SVZ2uPWhDx1CYjZt1o2UqYZSk7agVy9f5e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DusZ8tAgAAVwQAAA4AAAAAAAAAAQAgAAAAHwEAAGRycy9lMm9Eb2MueG1sUEsFBgAAAAAG&#10;AAYAWQEAAL4FAAAAAA==&#10;">
              <v:fill on="f" focussize="0,0"/>
              <v:stroke on="f" weight="0.5pt"/>
              <v:imagedata o:title=""/>
              <o:lock v:ext="edit" aspectratio="f"/>
              <v:textbox inset="0mm,0mm,0mm,0mm" style="mso-fit-shape-to-text:t;">
                <w:txbxContent>
                  <w:p w14:paraId="2C3B5288">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86</w:t>
                    </w:r>
                    <w:r>
                      <w:rPr>
                        <w:sz w:val="24"/>
                        <w:szCs w:val="24"/>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E9AF4">
    <w:pPr>
      <w:pStyle w:val="29"/>
    </w:pPr>
    <w: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64E8F9">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89</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3VycEtAgAAV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A3VycEtAgAAVwQAAA4AAAAAAAAAAQAgAAAAHwEAAGRycy9lMm9Eb2MueG1sUEsFBgAAAAAG&#10;AAYAWQEAAL4FAAAAAA==&#10;">
              <v:fill on="f" focussize="0,0"/>
              <v:stroke on="f" weight="0.5pt"/>
              <v:imagedata o:title=""/>
              <o:lock v:ext="edit" aspectratio="f"/>
              <v:textbox inset="0mm,0mm,0mm,0mm" style="mso-fit-shape-to-text:t;">
                <w:txbxContent>
                  <w:p w14:paraId="1464E8F9">
                    <w:pPr>
                      <w:pStyle w:val="29"/>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89</w:t>
                    </w:r>
                    <w:r>
                      <w:rPr>
                        <w:sz w:val="24"/>
                        <w:szCs w:val="24"/>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90BDF2">
    <w:pPr>
      <w:spacing w:line="165" w:lineRule="auto"/>
      <w:ind w:left="4422"/>
      <w:rPr>
        <w:rFonts w:ascii="宋体" w:hAnsi="宋体" w:cs="宋体"/>
        <w:sz w:val="28"/>
        <w:szCs w:val="28"/>
      </w:rPr>
    </w:pPr>
    <w:r>
      <w:rPr>
        <w:sz w:val="28"/>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5B09F6">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91</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Lg11ktAgAAV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6DbLwlbvLI/Q&#10;UTxvV8cAAVtdoyidEr1W6Le2Mv1sxIb+c99GPf4Pl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Lg11ktAgAAVwQAAA4AAAAAAAAAAQAgAAAAHwEAAGRycy9lMm9Eb2MueG1sUEsFBgAAAAAG&#10;AAYAWQEAAL4FAAAAAA==&#10;">
              <v:fill on="f" focussize="0,0"/>
              <v:stroke on="f" weight="0.5pt"/>
              <v:imagedata o:title=""/>
              <o:lock v:ext="edit" aspectratio="f"/>
              <v:textbox inset="0mm,0mm,0mm,0mm" style="mso-fit-shape-to-text:t;">
                <w:txbxContent>
                  <w:p w14:paraId="055B09F6">
                    <w:pPr>
                      <w:pStyle w:val="29"/>
                    </w:pPr>
                    <w:r>
                      <w:rPr>
                        <w:sz w:val="24"/>
                        <w:szCs w:val="24"/>
                      </w:rPr>
                      <w:fldChar w:fldCharType="begin"/>
                    </w:r>
                    <w:r>
                      <w:rPr>
                        <w:sz w:val="24"/>
                        <w:szCs w:val="24"/>
                      </w:rPr>
                      <w:instrText xml:space="preserve"> PAGE  \* MERGEFORMAT </w:instrText>
                    </w:r>
                    <w:r>
                      <w:rPr>
                        <w:sz w:val="24"/>
                        <w:szCs w:val="24"/>
                      </w:rPr>
                      <w:fldChar w:fldCharType="separate"/>
                    </w:r>
                    <w:r>
                      <w:rPr>
                        <w:sz w:val="24"/>
                        <w:szCs w:val="24"/>
                      </w:rPr>
                      <w:t>91</w:t>
                    </w:r>
                    <w:r>
                      <w:rPr>
                        <w:sz w:val="24"/>
                        <w:szCs w:val="24"/>
                      </w:rPr>
                      <w:fldChar w:fldCharType="end"/>
                    </w:r>
                  </w:p>
                </w:txbxContent>
              </v:textbox>
            </v:shape>
          </w:pict>
        </mc:Fallback>
      </mc:AlternateContent>
    </w:r>
    <w:r>
      <w:rPr>
        <w:rFonts w:ascii="宋体" w:hAnsi="宋体" w:cs="宋体"/>
        <w:spacing w:val="75"/>
        <w:sz w:val="28"/>
        <w:szCs w:val="28"/>
      </w:rPr>
      <w:t xml:space="preserve"> </w:t>
    </w:r>
    <w:r>
      <w:rPr>
        <w:rFonts w:ascii="宋体" w:hAnsi="宋体" w:cs="宋体"/>
        <w:spacing w:val="85"/>
        <w:sz w:val="25"/>
        <w:szCs w:val="25"/>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FA0BD3">
    <w:pPr>
      <w:pStyle w:val="3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190FD8">
    <w:pPr>
      <w:pStyle w:val="30"/>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86E224">
    <w:pPr>
      <w:pStyle w:val="30"/>
      <w:pBdr>
        <w:bottom w:val="none" w:color="auto" w:sz="0" w:space="0"/>
      </w:pBdr>
      <w:ind w:firstLine="36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6398A0"/>
    <w:multiLevelType w:val="singleLevel"/>
    <w:tmpl w:val="CD6398A0"/>
    <w:lvl w:ilvl="0" w:tentative="0">
      <w:start w:val="2"/>
      <w:numFmt w:val="decimal"/>
      <w:suff w:val="nothing"/>
      <w:lvlText w:val="（%1）"/>
      <w:lvlJc w:val="left"/>
    </w:lvl>
  </w:abstractNum>
  <w:abstractNum w:abstractNumId="1">
    <w:nsid w:val="5B02890B"/>
    <w:multiLevelType w:val="singleLevel"/>
    <w:tmpl w:val="5B02890B"/>
    <w:lvl w:ilvl="0" w:tentative="0">
      <w:start w:val="1"/>
      <w:numFmt w:val="bullet"/>
      <w:pStyle w:val="24"/>
      <w:lvlText w:val=""/>
      <w:lvlJc w:val="left"/>
      <w:pPr>
        <w:tabs>
          <w:tab w:val="left" w:pos="2040"/>
        </w:tabs>
        <w:ind w:left="2040" w:hanging="36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attachedTemplate r:id="rId1"/>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diZWVlMmE1OWQyYjc3ZWMzMDczZjg1M2I0OGY2MTAifQ=="/>
  </w:docVars>
  <w:rsids>
    <w:rsidRoot w:val="00A14947"/>
    <w:rsid w:val="000003BF"/>
    <w:rsid w:val="0000236D"/>
    <w:rsid w:val="000040A7"/>
    <w:rsid w:val="0000414B"/>
    <w:rsid w:val="000050C0"/>
    <w:rsid w:val="0000560C"/>
    <w:rsid w:val="000060B3"/>
    <w:rsid w:val="0001657A"/>
    <w:rsid w:val="00020159"/>
    <w:rsid w:val="00020246"/>
    <w:rsid w:val="0002049E"/>
    <w:rsid w:val="000222E1"/>
    <w:rsid w:val="000236C9"/>
    <w:rsid w:val="00027B6A"/>
    <w:rsid w:val="00030ECF"/>
    <w:rsid w:val="00032027"/>
    <w:rsid w:val="000326BF"/>
    <w:rsid w:val="000357F6"/>
    <w:rsid w:val="00036A44"/>
    <w:rsid w:val="000370B5"/>
    <w:rsid w:val="00037FCC"/>
    <w:rsid w:val="00042138"/>
    <w:rsid w:val="0004364B"/>
    <w:rsid w:val="000450E3"/>
    <w:rsid w:val="00045E6C"/>
    <w:rsid w:val="00046472"/>
    <w:rsid w:val="00047E75"/>
    <w:rsid w:val="00052C1F"/>
    <w:rsid w:val="00054892"/>
    <w:rsid w:val="00055504"/>
    <w:rsid w:val="000567FA"/>
    <w:rsid w:val="00056B3C"/>
    <w:rsid w:val="00056FB2"/>
    <w:rsid w:val="000610B2"/>
    <w:rsid w:val="0006154E"/>
    <w:rsid w:val="00061B1F"/>
    <w:rsid w:val="00063160"/>
    <w:rsid w:val="00063DC7"/>
    <w:rsid w:val="00065DDD"/>
    <w:rsid w:val="000733C4"/>
    <w:rsid w:val="00074783"/>
    <w:rsid w:val="000749C0"/>
    <w:rsid w:val="0007555C"/>
    <w:rsid w:val="0007576F"/>
    <w:rsid w:val="0007652D"/>
    <w:rsid w:val="00076791"/>
    <w:rsid w:val="00076EE3"/>
    <w:rsid w:val="00077DB4"/>
    <w:rsid w:val="0008070B"/>
    <w:rsid w:val="000810AC"/>
    <w:rsid w:val="00081A02"/>
    <w:rsid w:val="00082231"/>
    <w:rsid w:val="00085881"/>
    <w:rsid w:val="00086618"/>
    <w:rsid w:val="000874D4"/>
    <w:rsid w:val="000876AD"/>
    <w:rsid w:val="000917FC"/>
    <w:rsid w:val="0009287E"/>
    <w:rsid w:val="00092D38"/>
    <w:rsid w:val="00092F7A"/>
    <w:rsid w:val="0009377B"/>
    <w:rsid w:val="00096EB1"/>
    <w:rsid w:val="000A0673"/>
    <w:rsid w:val="000A20C9"/>
    <w:rsid w:val="000A3347"/>
    <w:rsid w:val="000A52E5"/>
    <w:rsid w:val="000A59F1"/>
    <w:rsid w:val="000A62AF"/>
    <w:rsid w:val="000A722F"/>
    <w:rsid w:val="000B058F"/>
    <w:rsid w:val="000B080A"/>
    <w:rsid w:val="000B21A8"/>
    <w:rsid w:val="000B3A25"/>
    <w:rsid w:val="000B445B"/>
    <w:rsid w:val="000B4467"/>
    <w:rsid w:val="000B4765"/>
    <w:rsid w:val="000B4DB9"/>
    <w:rsid w:val="000B574B"/>
    <w:rsid w:val="000B7A51"/>
    <w:rsid w:val="000C04C1"/>
    <w:rsid w:val="000C09AC"/>
    <w:rsid w:val="000C0CCA"/>
    <w:rsid w:val="000C63A0"/>
    <w:rsid w:val="000C767F"/>
    <w:rsid w:val="000D0BF5"/>
    <w:rsid w:val="000D14E7"/>
    <w:rsid w:val="000D186A"/>
    <w:rsid w:val="000D1A04"/>
    <w:rsid w:val="000D26D3"/>
    <w:rsid w:val="000D3DAD"/>
    <w:rsid w:val="000D5212"/>
    <w:rsid w:val="000D5A44"/>
    <w:rsid w:val="000D6968"/>
    <w:rsid w:val="000D6F13"/>
    <w:rsid w:val="000E190F"/>
    <w:rsid w:val="000E1B15"/>
    <w:rsid w:val="000E2AD1"/>
    <w:rsid w:val="000E318D"/>
    <w:rsid w:val="000E3ED2"/>
    <w:rsid w:val="000F40AD"/>
    <w:rsid w:val="000F4312"/>
    <w:rsid w:val="000F4A33"/>
    <w:rsid w:val="000F5292"/>
    <w:rsid w:val="000F6697"/>
    <w:rsid w:val="000F66BB"/>
    <w:rsid w:val="000F6A3A"/>
    <w:rsid w:val="00100241"/>
    <w:rsid w:val="00103013"/>
    <w:rsid w:val="00104016"/>
    <w:rsid w:val="00104CE3"/>
    <w:rsid w:val="00106D42"/>
    <w:rsid w:val="00107C9B"/>
    <w:rsid w:val="0011077A"/>
    <w:rsid w:val="00112052"/>
    <w:rsid w:val="00112CBC"/>
    <w:rsid w:val="001134AC"/>
    <w:rsid w:val="001170BE"/>
    <w:rsid w:val="00117C57"/>
    <w:rsid w:val="00123B2A"/>
    <w:rsid w:val="0012415D"/>
    <w:rsid w:val="00125087"/>
    <w:rsid w:val="001275D2"/>
    <w:rsid w:val="00131386"/>
    <w:rsid w:val="00131F42"/>
    <w:rsid w:val="00133176"/>
    <w:rsid w:val="0013344F"/>
    <w:rsid w:val="00134C18"/>
    <w:rsid w:val="00134D48"/>
    <w:rsid w:val="001357F1"/>
    <w:rsid w:val="00135810"/>
    <w:rsid w:val="0013793C"/>
    <w:rsid w:val="00140FA8"/>
    <w:rsid w:val="00142FEB"/>
    <w:rsid w:val="00143A2D"/>
    <w:rsid w:val="001440F4"/>
    <w:rsid w:val="00144495"/>
    <w:rsid w:val="00145A41"/>
    <w:rsid w:val="001473F0"/>
    <w:rsid w:val="00147E29"/>
    <w:rsid w:val="00150739"/>
    <w:rsid w:val="00151675"/>
    <w:rsid w:val="00151AE2"/>
    <w:rsid w:val="00152134"/>
    <w:rsid w:val="0015295E"/>
    <w:rsid w:val="00153020"/>
    <w:rsid w:val="00153712"/>
    <w:rsid w:val="0015523D"/>
    <w:rsid w:val="00156269"/>
    <w:rsid w:val="001569E2"/>
    <w:rsid w:val="00157435"/>
    <w:rsid w:val="00157FB6"/>
    <w:rsid w:val="00162179"/>
    <w:rsid w:val="00164AF2"/>
    <w:rsid w:val="00165CE9"/>
    <w:rsid w:val="00166508"/>
    <w:rsid w:val="00170970"/>
    <w:rsid w:val="001724D3"/>
    <w:rsid w:val="00173240"/>
    <w:rsid w:val="00173B95"/>
    <w:rsid w:val="00174405"/>
    <w:rsid w:val="0017504D"/>
    <w:rsid w:val="0017643B"/>
    <w:rsid w:val="00176484"/>
    <w:rsid w:val="001764BE"/>
    <w:rsid w:val="0017664C"/>
    <w:rsid w:val="0017671A"/>
    <w:rsid w:val="00177422"/>
    <w:rsid w:val="00177D86"/>
    <w:rsid w:val="001800D7"/>
    <w:rsid w:val="001805EA"/>
    <w:rsid w:val="0018094F"/>
    <w:rsid w:val="001810DE"/>
    <w:rsid w:val="00181CB1"/>
    <w:rsid w:val="00182B49"/>
    <w:rsid w:val="00182E66"/>
    <w:rsid w:val="00183307"/>
    <w:rsid w:val="00183FC5"/>
    <w:rsid w:val="00184590"/>
    <w:rsid w:val="00184F5D"/>
    <w:rsid w:val="001853E0"/>
    <w:rsid w:val="001870D1"/>
    <w:rsid w:val="001870D9"/>
    <w:rsid w:val="0018778E"/>
    <w:rsid w:val="0018781E"/>
    <w:rsid w:val="0019262D"/>
    <w:rsid w:val="001938BA"/>
    <w:rsid w:val="00193E40"/>
    <w:rsid w:val="001964E6"/>
    <w:rsid w:val="001979FF"/>
    <w:rsid w:val="001A1B35"/>
    <w:rsid w:val="001A48A2"/>
    <w:rsid w:val="001A4F83"/>
    <w:rsid w:val="001A521B"/>
    <w:rsid w:val="001A6BC1"/>
    <w:rsid w:val="001A6F61"/>
    <w:rsid w:val="001A7F52"/>
    <w:rsid w:val="001B228D"/>
    <w:rsid w:val="001B2385"/>
    <w:rsid w:val="001B2D80"/>
    <w:rsid w:val="001B5124"/>
    <w:rsid w:val="001B72B7"/>
    <w:rsid w:val="001B72B8"/>
    <w:rsid w:val="001B734F"/>
    <w:rsid w:val="001C0C0D"/>
    <w:rsid w:val="001C0E1B"/>
    <w:rsid w:val="001C147C"/>
    <w:rsid w:val="001C22A5"/>
    <w:rsid w:val="001C2A26"/>
    <w:rsid w:val="001C2E7F"/>
    <w:rsid w:val="001C5B86"/>
    <w:rsid w:val="001C69B3"/>
    <w:rsid w:val="001C6B05"/>
    <w:rsid w:val="001C7356"/>
    <w:rsid w:val="001C745F"/>
    <w:rsid w:val="001D1CCA"/>
    <w:rsid w:val="001D20C0"/>
    <w:rsid w:val="001D2DC3"/>
    <w:rsid w:val="001D505D"/>
    <w:rsid w:val="001D5595"/>
    <w:rsid w:val="001D7874"/>
    <w:rsid w:val="001D7F22"/>
    <w:rsid w:val="001E0064"/>
    <w:rsid w:val="001E0149"/>
    <w:rsid w:val="001E0880"/>
    <w:rsid w:val="001E0B52"/>
    <w:rsid w:val="001E0C78"/>
    <w:rsid w:val="001E30B3"/>
    <w:rsid w:val="001E3132"/>
    <w:rsid w:val="001E3B85"/>
    <w:rsid w:val="001E40B0"/>
    <w:rsid w:val="001E6846"/>
    <w:rsid w:val="001E6850"/>
    <w:rsid w:val="001F0F17"/>
    <w:rsid w:val="001F1432"/>
    <w:rsid w:val="001F284E"/>
    <w:rsid w:val="001F3347"/>
    <w:rsid w:val="001F3E89"/>
    <w:rsid w:val="001F5796"/>
    <w:rsid w:val="001F6161"/>
    <w:rsid w:val="001F61FE"/>
    <w:rsid w:val="001F6549"/>
    <w:rsid w:val="001F65CB"/>
    <w:rsid w:val="001F69E4"/>
    <w:rsid w:val="001F6B8C"/>
    <w:rsid w:val="00203A21"/>
    <w:rsid w:val="0020416F"/>
    <w:rsid w:val="002075FD"/>
    <w:rsid w:val="002107C8"/>
    <w:rsid w:val="00212262"/>
    <w:rsid w:val="002125B4"/>
    <w:rsid w:val="00212E7D"/>
    <w:rsid w:val="00214DFB"/>
    <w:rsid w:val="0021544F"/>
    <w:rsid w:val="002155B8"/>
    <w:rsid w:val="002156F8"/>
    <w:rsid w:val="00215B7A"/>
    <w:rsid w:val="00215BD2"/>
    <w:rsid w:val="002166F3"/>
    <w:rsid w:val="002176EC"/>
    <w:rsid w:val="00224839"/>
    <w:rsid w:val="002249B2"/>
    <w:rsid w:val="00226574"/>
    <w:rsid w:val="00226744"/>
    <w:rsid w:val="00226B46"/>
    <w:rsid w:val="002278EC"/>
    <w:rsid w:val="00230151"/>
    <w:rsid w:val="002311C4"/>
    <w:rsid w:val="002316EF"/>
    <w:rsid w:val="0023280E"/>
    <w:rsid w:val="00232A50"/>
    <w:rsid w:val="00232E34"/>
    <w:rsid w:val="0023361D"/>
    <w:rsid w:val="00233858"/>
    <w:rsid w:val="00233986"/>
    <w:rsid w:val="00233A87"/>
    <w:rsid w:val="00235D74"/>
    <w:rsid w:val="002377D1"/>
    <w:rsid w:val="00240BA7"/>
    <w:rsid w:val="002419A0"/>
    <w:rsid w:val="00241FEB"/>
    <w:rsid w:val="00245862"/>
    <w:rsid w:val="00245BB8"/>
    <w:rsid w:val="00246458"/>
    <w:rsid w:val="00246EF8"/>
    <w:rsid w:val="00246F9E"/>
    <w:rsid w:val="002471BF"/>
    <w:rsid w:val="002506BC"/>
    <w:rsid w:val="00250BA0"/>
    <w:rsid w:val="00250FD4"/>
    <w:rsid w:val="00254345"/>
    <w:rsid w:val="00254E56"/>
    <w:rsid w:val="00255349"/>
    <w:rsid w:val="00257376"/>
    <w:rsid w:val="00260880"/>
    <w:rsid w:val="002613C6"/>
    <w:rsid w:val="00262B33"/>
    <w:rsid w:val="00263CE2"/>
    <w:rsid w:val="00264557"/>
    <w:rsid w:val="00264DB8"/>
    <w:rsid w:val="00267F49"/>
    <w:rsid w:val="0027067E"/>
    <w:rsid w:val="00270721"/>
    <w:rsid w:val="00270F4B"/>
    <w:rsid w:val="00271ADF"/>
    <w:rsid w:val="00272907"/>
    <w:rsid w:val="0027494A"/>
    <w:rsid w:val="0027781A"/>
    <w:rsid w:val="002779B1"/>
    <w:rsid w:val="002805AB"/>
    <w:rsid w:val="00282B01"/>
    <w:rsid w:val="00284204"/>
    <w:rsid w:val="00285B0C"/>
    <w:rsid w:val="00286189"/>
    <w:rsid w:val="002902E6"/>
    <w:rsid w:val="00291773"/>
    <w:rsid w:val="002918DE"/>
    <w:rsid w:val="00291F21"/>
    <w:rsid w:val="00292AA5"/>
    <w:rsid w:val="00292C0E"/>
    <w:rsid w:val="0029309A"/>
    <w:rsid w:val="00293E49"/>
    <w:rsid w:val="00294785"/>
    <w:rsid w:val="00297B55"/>
    <w:rsid w:val="002A168C"/>
    <w:rsid w:val="002A2573"/>
    <w:rsid w:val="002A29D5"/>
    <w:rsid w:val="002A3DC7"/>
    <w:rsid w:val="002A426A"/>
    <w:rsid w:val="002A5A93"/>
    <w:rsid w:val="002A68EB"/>
    <w:rsid w:val="002A6A30"/>
    <w:rsid w:val="002B079D"/>
    <w:rsid w:val="002B2F7F"/>
    <w:rsid w:val="002B3280"/>
    <w:rsid w:val="002B49E2"/>
    <w:rsid w:val="002B73FD"/>
    <w:rsid w:val="002B7B00"/>
    <w:rsid w:val="002B7C44"/>
    <w:rsid w:val="002B7CAB"/>
    <w:rsid w:val="002C0964"/>
    <w:rsid w:val="002C1136"/>
    <w:rsid w:val="002C1C2F"/>
    <w:rsid w:val="002C2B17"/>
    <w:rsid w:val="002C305B"/>
    <w:rsid w:val="002C308F"/>
    <w:rsid w:val="002C45E8"/>
    <w:rsid w:val="002C48E7"/>
    <w:rsid w:val="002C4BC7"/>
    <w:rsid w:val="002C5923"/>
    <w:rsid w:val="002C675B"/>
    <w:rsid w:val="002C6AF9"/>
    <w:rsid w:val="002D00C3"/>
    <w:rsid w:val="002D16B5"/>
    <w:rsid w:val="002D2DD8"/>
    <w:rsid w:val="002D3DD0"/>
    <w:rsid w:val="002D5721"/>
    <w:rsid w:val="002D62B6"/>
    <w:rsid w:val="002E0D84"/>
    <w:rsid w:val="002E0DF9"/>
    <w:rsid w:val="002E1F3A"/>
    <w:rsid w:val="002E298A"/>
    <w:rsid w:val="002E3B20"/>
    <w:rsid w:val="002E484A"/>
    <w:rsid w:val="002E58EF"/>
    <w:rsid w:val="002E6F0C"/>
    <w:rsid w:val="002F06B2"/>
    <w:rsid w:val="002F23B7"/>
    <w:rsid w:val="002F2AEE"/>
    <w:rsid w:val="002F42F9"/>
    <w:rsid w:val="002F4746"/>
    <w:rsid w:val="002F627E"/>
    <w:rsid w:val="002F6A9B"/>
    <w:rsid w:val="002F7193"/>
    <w:rsid w:val="002F7C13"/>
    <w:rsid w:val="00300B1F"/>
    <w:rsid w:val="00300EB8"/>
    <w:rsid w:val="00301978"/>
    <w:rsid w:val="0030332C"/>
    <w:rsid w:val="00303992"/>
    <w:rsid w:val="003049A8"/>
    <w:rsid w:val="003051C2"/>
    <w:rsid w:val="00305EE7"/>
    <w:rsid w:val="00305F60"/>
    <w:rsid w:val="003104D6"/>
    <w:rsid w:val="00310FA4"/>
    <w:rsid w:val="003121CF"/>
    <w:rsid w:val="00312296"/>
    <w:rsid w:val="003140F0"/>
    <w:rsid w:val="00314F0E"/>
    <w:rsid w:val="00320D83"/>
    <w:rsid w:val="0032104D"/>
    <w:rsid w:val="00321D8E"/>
    <w:rsid w:val="00324C87"/>
    <w:rsid w:val="00325928"/>
    <w:rsid w:val="00326F15"/>
    <w:rsid w:val="00330529"/>
    <w:rsid w:val="00330666"/>
    <w:rsid w:val="003306E5"/>
    <w:rsid w:val="00330729"/>
    <w:rsid w:val="00330EB9"/>
    <w:rsid w:val="00332863"/>
    <w:rsid w:val="003359D4"/>
    <w:rsid w:val="0033684D"/>
    <w:rsid w:val="00336A50"/>
    <w:rsid w:val="00337302"/>
    <w:rsid w:val="00337B42"/>
    <w:rsid w:val="00337DD2"/>
    <w:rsid w:val="00340C7B"/>
    <w:rsid w:val="003412E7"/>
    <w:rsid w:val="00341B42"/>
    <w:rsid w:val="00342B0D"/>
    <w:rsid w:val="0034348F"/>
    <w:rsid w:val="0034761F"/>
    <w:rsid w:val="00347F1A"/>
    <w:rsid w:val="00347F76"/>
    <w:rsid w:val="003504AD"/>
    <w:rsid w:val="00351950"/>
    <w:rsid w:val="00352A1A"/>
    <w:rsid w:val="00352D97"/>
    <w:rsid w:val="00354FBF"/>
    <w:rsid w:val="00354FE0"/>
    <w:rsid w:val="0035534B"/>
    <w:rsid w:val="003555EE"/>
    <w:rsid w:val="00355BAF"/>
    <w:rsid w:val="00356653"/>
    <w:rsid w:val="0035743F"/>
    <w:rsid w:val="00357B9F"/>
    <w:rsid w:val="00357BE2"/>
    <w:rsid w:val="00360A15"/>
    <w:rsid w:val="0036170C"/>
    <w:rsid w:val="00361D38"/>
    <w:rsid w:val="003649EE"/>
    <w:rsid w:val="00364D0A"/>
    <w:rsid w:val="00364D8E"/>
    <w:rsid w:val="0036520C"/>
    <w:rsid w:val="003662F2"/>
    <w:rsid w:val="00366E0F"/>
    <w:rsid w:val="0036744F"/>
    <w:rsid w:val="00373C7C"/>
    <w:rsid w:val="003762CB"/>
    <w:rsid w:val="00377502"/>
    <w:rsid w:val="003804AF"/>
    <w:rsid w:val="00381920"/>
    <w:rsid w:val="00381A72"/>
    <w:rsid w:val="00382909"/>
    <w:rsid w:val="00382CDE"/>
    <w:rsid w:val="00382F94"/>
    <w:rsid w:val="00384676"/>
    <w:rsid w:val="0038550D"/>
    <w:rsid w:val="00390456"/>
    <w:rsid w:val="00390857"/>
    <w:rsid w:val="00397E43"/>
    <w:rsid w:val="00397ED1"/>
    <w:rsid w:val="003A0006"/>
    <w:rsid w:val="003A1E9E"/>
    <w:rsid w:val="003A2430"/>
    <w:rsid w:val="003A4BF3"/>
    <w:rsid w:val="003A4E1F"/>
    <w:rsid w:val="003A5398"/>
    <w:rsid w:val="003A5E00"/>
    <w:rsid w:val="003A6222"/>
    <w:rsid w:val="003A6AC6"/>
    <w:rsid w:val="003B08B0"/>
    <w:rsid w:val="003B1F6F"/>
    <w:rsid w:val="003B237B"/>
    <w:rsid w:val="003B25A6"/>
    <w:rsid w:val="003B2603"/>
    <w:rsid w:val="003B420D"/>
    <w:rsid w:val="003B4863"/>
    <w:rsid w:val="003B5716"/>
    <w:rsid w:val="003C06BF"/>
    <w:rsid w:val="003C1E0E"/>
    <w:rsid w:val="003C3294"/>
    <w:rsid w:val="003C3B5F"/>
    <w:rsid w:val="003C3D3D"/>
    <w:rsid w:val="003C476C"/>
    <w:rsid w:val="003C4914"/>
    <w:rsid w:val="003C545A"/>
    <w:rsid w:val="003C563C"/>
    <w:rsid w:val="003C5CB3"/>
    <w:rsid w:val="003C6C16"/>
    <w:rsid w:val="003D01D0"/>
    <w:rsid w:val="003D067A"/>
    <w:rsid w:val="003D3D00"/>
    <w:rsid w:val="003D60C3"/>
    <w:rsid w:val="003D794D"/>
    <w:rsid w:val="003D7BA9"/>
    <w:rsid w:val="003E1CE8"/>
    <w:rsid w:val="003E2B7C"/>
    <w:rsid w:val="003E3058"/>
    <w:rsid w:val="003E3AE0"/>
    <w:rsid w:val="003E4713"/>
    <w:rsid w:val="003E5275"/>
    <w:rsid w:val="003E6973"/>
    <w:rsid w:val="003E76A9"/>
    <w:rsid w:val="003E7C46"/>
    <w:rsid w:val="003F0809"/>
    <w:rsid w:val="003F0CA8"/>
    <w:rsid w:val="003F2C69"/>
    <w:rsid w:val="003F51A4"/>
    <w:rsid w:val="003F6A8C"/>
    <w:rsid w:val="003F7095"/>
    <w:rsid w:val="003F755C"/>
    <w:rsid w:val="003F75A7"/>
    <w:rsid w:val="00401814"/>
    <w:rsid w:val="00401916"/>
    <w:rsid w:val="00401DCC"/>
    <w:rsid w:val="00403FB7"/>
    <w:rsid w:val="00404EA0"/>
    <w:rsid w:val="004058DE"/>
    <w:rsid w:val="004061FE"/>
    <w:rsid w:val="00406A33"/>
    <w:rsid w:val="00406F01"/>
    <w:rsid w:val="00412B1F"/>
    <w:rsid w:val="00414737"/>
    <w:rsid w:val="00416D50"/>
    <w:rsid w:val="00416FD5"/>
    <w:rsid w:val="00417772"/>
    <w:rsid w:val="00420E6A"/>
    <w:rsid w:val="004219BD"/>
    <w:rsid w:val="00423117"/>
    <w:rsid w:val="00423BCC"/>
    <w:rsid w:val="00424C81"/>
    <w:rsid w:val="00425A9E"/>
    <w:rsid w:val="00426D6B"/>
    <w:rsid w:val="00427408"/>
    <w:rsid w:val="00427AA5"/>
    <w:rsid w:val="00431253"/>
    <w:rsid w:val="00431E6C"/>
    <w:rsid w:val="00432494"/>
    <w:rsid w:val="00432785"/>
    <w:rsid w:val="00432C1B"/>
    <w:rsid w:val="00433643"/>
    <w:rsid w:val="00433CE7"/>
    <w:rsid w:val="00433DF4"/>
    <w:rsid w:val="00435F94"/>
    <w:rsid w:val="00441A44"/>
    <w:rsid w:val="00441CDF"/>
    <w:rsid w:val="00443EE4"/>
    <w:rsid w:val="004440FE"/>
    <w:rsid w:val="00444DB3"/>
    <w:rsid w:val="00446A29"/>
    <w:rsid w:val="00446DDE"/>
    <w:rsid w:val="00446E9C"/>
    <w:rsid w:val="00447462"/>
    <w:rsid w:val="00447875"/>
    <w:rsid w:val="00447BD8"/>
    <w:rsid w:val="0045169C"/>
    <w:rsid w:val="00451B24"/>
    <w:rsid w:val="004522D9"/>
    <w:rsid w:val="00452738"/>
    <w:rsid w:val="0045273B"/>
    <w:rsid w:val="0045288F"/>
    <w:rsid w:val="0045479D"/>
    <w:rsid w:val="00454DB8"/>
    <w:rsid w:val="004557E7"/>
    <w:rsid w:val="00456091"/>
    <w:rsid w:val="00456124"/>
    <w:rsid w:val="00456F26"/>
    <w:rsid w:val="00457A15"/>
    <w:rsid w:val="00460589"/>
    <w:rsid w:val="00460A69"/>
    <w:rsid w:val="00460AB5"/>
    <w:rsid w:val="00463078"/>
    <w:rsid w:val="004643ED"/>
    <w:rsid w:val="00464617"/>
    <w:rsid w:val="00464DEE"/>
    <w:rsid w:val="00466321"/>
    <w:rsid w:val="004663B7"/>
    <w:rsid w:val="00466B9A"/>
    <w:rsid w:val="0046761B"/>
    <w:rsid w:val="00472593"/>
    <w:rsid w:val="00473330"/>
    <w:rsid w:val="004738FD"/>
    <w:rsid w:val="00474171"/>
    <w:rsid w:val="0047449B"/>
    <w:rsid w:val="00474ADA"/>
    <w:rsid w:val="0047510D"/>
    <w:rsid w:val="00480240"/>
    <w:rsid w:val="0048483D"/>
    <w:rsid w:val="00484B9B"/>
    <w:rsid w:val="00485082"/>
    <w:rsid w:val="00485317"/>
    <w:rsid w:val="004855F6"/>
    <w:rsid w:val="0048661E"/>
    <w:rsid w:val="004874BC"/>
    <w:rsid w:val="00487945"/>
    <w:rsid w:val="00491067"/>
    <w:rsid w:val="0049179F"/>
    <w:rsid w:val="00492063"/>
    <w:rsid w:val="00492E07"/>
    <w:rsid w:val="00492E10"/>
    <w:rsid w:val="00494670"/>
    <w:rsid w:val="004962AB"/>
    <w:rsid w:val="004962E0"/>
    <w:rsid w:val="00496805"/>
    <w:rsid w:val="00497E54"/>
    <w:rsid w:val="004A060F"/>
    <w:rsid w:val="004A0B4D"/>
    <w:rsid w:val="004A3823"/>
    <w:rsid w:val="004A47CC"/>
    <w:rsid w:val="004A6257"/>
    <w:rsid w:val="004A6A99"/>
    <w:rsid w:val="004A71BF"/>
    <w:rsid w:val="004B0258"/>
    <w:rsid w:val="004B2BD3"/>
    <w:rsid w:val="004B30F0"/>
    <w:rsid w:val="004B4483"/>
    <w:rsid w:val="004B6542"/>
    <w:rsid w:val="004B68F8"/>
    <w:rsid w:val="004C074C"/>
    <w:rsid w:val="004C14D1"/>
    <w:rsid w:val="004C2BCE"/>
    <w:rsid w:val="004C41D2"/>
    <w:rsid w:val="004C4A23"/>
    <w:rsid w:val="004C4A8D"/>
    <w:rsid w:val="004C6883"/>
    <w:rsid w:val="004C7D9C"/>
    <w:rsid w:val="004C7F7F"/>
    <w:rsid w:val="004D0440"/>
    <w:rsid w:val="004D12F9"/>
    <w:rsid w:val="004D32CD"/>
    <w:rsid w:val="004D485B"/>
    <w:rsid w:val="004D4BDA"/>
    <w:rsid w:val="004D54BE"/>
    <w:rsid w:val="004D6691"/>
    <w:rsid w:val="004D7173"/>
    <w:rsid w:val="004E1D35"/>
    <w:rsid w:val="004E1F92"/>
    <w:rsid w:val="004E399D"/>
    <w:rsid w:val="004E3CF5"/>
    <w:rsid w:val="004E3DAA"/>
    <w:rsid w:val="004E6946"/>
    <w:rsid w:val="004E694E"/>
    <w:rsid w:val="004E6AB9"/>
    <w:rsid w:val="004F13C3"/>
    <w:rsid w:val="004F1AD8"/>
    <w:rsid w:val="004F1BF5"/>
    <w:rsid w:val="004F2242"/>
    <w:rsid w:val="004F3D20"/>
    <w:rsid w:val="004F5126"/>
    <w:rsid w:val="004F7B2D"/>
    <w:rsid w:val="005039CB"/>
    <w:rsid w:val="00503C9C"/>
    <w:rsid w:val="0050558F"/>
    <w:rsid w:val="00506286"/>
    <w:rsid w:val="005065CF"/>
    <w:rsid w:val="00507514"/>
    <w:rsid w:val="00507B3C"/>
    <w:rsid w:val="00507FE4"/>
    <w:rsid w:val="00510813"/>
    <w:rsid w:val="0051194E"/>
    <w:rsid w:val="00511990"/>
    <w:rsid w:val="00511DE0"/>
    <w:rsid w:val="00512105"/>
    <w:rsid w:val="00512A33"/>
    <w:rsid w:val="00514870"/>
    <w:rsid w:val="00514B9B"/>
    <w:rsid w:val="00517F02"/>
    <w:rsid w:val="00517F63"/>
    <w:rsid w:val="005200EC"/>
    <w:rsid w:val="00522FDF"/>
    <w:rsid w:val="00524222"/>
    <w:rsid w:val="00524303"/>
    <w:rsid w:val="005258A2"/>
    <w:rsid w:val="005270D5"/>
    <w:rsid w:val="0053318E"/>
    <w:rsid w:val="0053391F"/>
    <w:rsid w:val="00535DAA"/>
    <w:rsid w:val="00540078"/>
    <w:rsid w:val="005401AE"/>
    <w:rsid w:val="005403D3"/>
    <w:rsid w:val="005419C6"/>
    <w:rsid w:val="00542A5D"/>
    <w:rsid w:val="00542E07"/>
    <w:rsid w:val="00542E2B"/>
    <w:rsid w:val="00542E38"/>
    <w:rsid w:val="00543511"/>
    <w:rsid w:val="0054370B"/>
    <w:rsid w:val="005446C0"/>
    <w:rsid w:val="00545424"/>
    <w:rsid w:val="005473DD"/>
    <w:rsid w:val="00547EB2"/>
    <w:rsid w:val="0055429E"/>
    <w:rsid w:val="0055453E"/>
    <w:rsid w:val="00554A7B"/>
    <w:rsid w:val="00554DCD"/>
    <w:rsid w:val="0055572C"/>
    <w:rsid w:val="00556093"/>
    <w:rsid w:val="00556796"/>
    <w:rsid w:val="0056106A"/>
    <w:rsid w:val="0056247D"/>
    <w:rsid w:val="00565529"/>
    <w:rsid w:val="0057163A"/>
    <w:rsid w:val="00571FDF"/>
    <w:rsid w:val="005720AE"/>
    <w:rsid w:val="00572880"/>
    <w:rsid w:val="005762B2"/>
    <w:rsid w:val="00576FB8"/>
    <w:rsid w:val="00580C6A"/>
    <w:rsid w:val="00581EEE"/>
    <w:rsid w:val="00582D9B"/>
    <w:rsid w:val="00583CAB"/>
    <w:rsid w:val="00585530"/>
    <w:rsid w:val="00590B03"/>
    <w:rsid w:val="00590C79"/>
    <w:rsid w:val="00592C9A"/>
    <w:rsid w:val="00592D03"/>
    <w:rsid w:val="005937B9"/>
    <w:rsid w:val="00594D77"/>
    <w:rsid w:val="00595C13"/>
    <w:rsid w:val="0059684F"/>
    <w:rsid w:val="005969E4"/>
    <w:rsid w:val="005976DD"/>
    <w:rsid w:val="005A06B7"/>
    <w:rsid w:val="005A117F"/>
    <w:rsid w:val="005A1759"/>
    <w:rsid w:val="005A233C"/>
    <w:rsid w:val="005A474E"/>
    <w:rsid w:val="005A5460"/>
    <w:rsid w:val="005A5946"/>
    <w:rsid w:val="005A68A7"/>
    <w:rsid w:val="005A6A62"/>
    <w:rsid w:val="005A6DC8"/>
    <w:rsid w:val="005A75DF"/>
    <w:rsid w:val="005A76B4"/>
    <w:rsid w:val="005A7B84"/>
    <w:rsid w:val="005B0059"/>
    <w:rsid w:val="005B1B46"/>
    <w:rsid w:val="005B1E02"/>
    <w:rsid w:val="005B2B41"/>
    <w:rsid w:val="005B3088"/>
    <w:rsid w:val="005B3B20"/>
    <w:rsid w:val="005B4936"/>
    <w:rsid w:val="005B4B30"/>
    <w:rsid w:val="005B50D8"/>
    <w:rsid w:val="005B6271"/>
    <w:rsid w:val="005B6893"/>
    <w:rsid w:val="005B7E7C"/>
    <w:rsid w:val="005C0983"/>
    <w:rsid w:val="005C0B14"/>
    <w:rsid w:val="005C0BC0"/>
    <w:rsid w:val="005C0D04"/>
    <w:rsid w:val="005C1ED7"/>
    <w:rsid w:val="005C2028"/>
    <w:rsid w:val="005C46E1"/>
    <w:rsid w:val="005C4921"/>
    <w:rsid w:val="005C62AA"/>
    <w:rsid w:val="005C70D4"/>
    <w:rsid w:val="005D2AD4"/>
    <w:rsid w:val="005D36AB"/>
    <w:rsid w:val="005D5D03"/>
    <w:rsid w:val="005D6C07"/>
    <w:rsid w:val="005D6F03"/>
    <w:rsid w:val="005D7BF8"/>
    <w:rsid w:val="005E56A6"/>
    <w:rsid w:val="005E7D32"/>
    <w:rsid w:val="005F1B9C"/>
    <w:rsid w:val="005F44B7"/>
    <w:rsid w:val="005F5200"/>
    <w:rsid w:val="005F5425"/>
    <w:rsid w:val="005F6234"/>
    <w:rsid w:val="005F65C0"/>
    <w:rsid w:val="005F7FF1"/>
    <w:rsid w:val="00600563"/>
    <w:rsid w:val="00600A6C"/>
    <w:rsid w:val="00600AA7"/>
    <w:rsid w:val="00600DAD"/>
    <w:rsid w:val="0060115D"/>
    <w:rsid w:val="00603D5F"/>
    <w:rsid w:val="00605BC3"/>
    <w:rsid w:val="00607BFE"/>
    <w:rsid w:val="006100F3"/>
    <w:rsid w:val="00613C03"/>
    <w:rsid w:val="00617CC3"/>
    <w:rsid w:val="0062112B"/>
    <w:rsid w:val="0062301B"/>
    <w:rsid w:val="006240D2"/>
    <w:rsid w:val="0062682C"/>
    <w:rsid w:val="0063245F"/>
    <w:rsid w:val="0063247F"/>
    <w:rsid w:val="00632830"/>
    <w:rsid w:val="00632C8F"/>
    <w:rsid w:val="00632FB9"/>
    <w:rsid w:val="0063302B"/>
    <w:rsid w:val="006345A7"/>
    <w:rsid w:val="006373A0"/>
    <w:rsid w:val="006377A6"/>
    <w:rsid w:val="00637A3D"/>
    <w:rsid w:val="006411EF"/>
    <w:rsid w:val="00642CB9"/>
    <w:rsid w:val="0064328B"/>
    <w:rsid w:val="00643A86"/>
    <w:rsid w:val="006447C2"/>
    <w:rsid w:val="00645557"/>
    <w:rsid w:val="00646497"/>
    <w:rsid w:val="00647B91"/>
    <w:rsid w:val="006500CA"/>
    <w:rsid w:val="00656403"/>
    <w:rsid w:val="00656B72"/>
    <w:rsid w:val="0065712B"/>
    <w:rsid w:val="00660797"/>
    <w:rsid w:val="00660AB2"/>
    <w:rsid w:val="006614F6"/>
    <w:rsid w:val="00661F58"/>
    <w:rsid w:val="00663C7B"/>
    <w:rsid w:val="0066481E"/>
    <w:rsid w:val="006654D7"/>
    <w:rsid w:val="00665822"/>
    <w:rsid w:val="00666418"/>
    <w:rsid w:val="006671AD"/>
    <w:rsid w:val="00667ED9"/>
    <w:rsid w:val="00670110"/>
    <w:rsid w:val="00670A16"/>
    <w:rsid w:val="0067286B"/>
    <w:rsid w:val="006729A1"/>
    <w:rsid w:val="006729C5"/>
    <w:rsid w:val="006748B8"/>
    <w:rsid w:val="00674B75"/>
    <w:rsid w:val="006755B8"/>
    <w:rsid w:val="00675660"/>
    <w:rsid w:val="00675920"/>
    <w:rsid w:val="006766EF"/>
    <w:rsid w:val="006775C3"/>
    <w:rsid w:val="006810CE"/>
    <w:rsid w:val="006852E0"/>
    <w:rsid w:val="00685A32"/>
    <w:rsid w:val="00687BC9"/>
    <w:rsid w:val="00687F84"/>
    <w:rsid w:val="0069290A"/>
    <w:rsid w:val="0069652C"/>
    <w:rsid w:val="00696DB3"/>
    <w:rsid w:val="0069708E"/>
    <w:rsid w:val="0069775A"/>
    <w:rsid w:val="00697813"/>
    <w:rsid w:val="006A2DA6"/>
    <w:rsid w:val="006A30C0"/>
    <w:rsid w:val="006A3EE8"/>
    <w:rsid w:val="006A6221"/>
    <w:rsid w:val="006A72BF"/>
    <w:rsid w:val="006B03F2"/>
    <w:rsid w:val="006B0ACD"/>
    <w:rsid w:val="006B2CB9"/>
    <w:rsid w:val="006B37DC"/>
    <w:rsid w:val="006B38BD"/>
    <w:rsid w:val="006B4F68"/>
    <w:rsid w:val="006B5749"/>
    <w:rsid w:val="006B5759"/>
    <w:rsid w:val="006B6AD0"/>
    <w:rsid w:val="006C0592"/>
    <w:rsid w:val="006C088F"/>
    <w:rsid w:val="006C17E0"/>
    <w:rsid w:val="006C18A8"/>
    <w:rsid w:val="006C230E"/>
    <w:rsid w:val="006C2485"/>
    <w:rsid w:val="006C272E"/>
    <w:rsid w:val="006C5479"/>
    <w:rsid w:val="006C5E6E"/>
    <w:rsid w:val="006C6FFA"/>
    <w:rsid w:val="006C72FA"/>
    <w:rsid w:val="006C74BF"/>
    <w:rsid w:val="006D129F"/>
    <w:rsid w:val="006D13B5"/>
    <w:rsid w:val="006D22B9"/>
    <w:rsid w:val="006D2399"/>
    <w:rsid w:val="006D2726"/>
    <w:rsid w:val="006D3B48"/>
    <w:rsid w:val="006D5459"/>
    <w:rsid w:val="006D731B"/>
    <w:rsid w:val="006E0CCE"/>
    <w:rsid w:val="006E12FF"/>
    <w:rsid w:val="006E47D4"/>
    <w:rsid w:val="006E4F0C"/>
    <w:rsid w:val="006E607E"/>
    <w:rsid w:val="006F0965"/>
    <w:rsid w:val="006F241C"/>
    <w:rsid w:val="006F26A3"/>
    <w:rsid w:val="006F2810"/>
    <w:rsid w:val="006F4686"/>
    <w:rsid w:val="006F5176"/>
    <w:rsid w:val="006F6E14"/>
    <w:rsid w:val="006F7D9A"/>
    <w:rsid w:val="006F7DA8"/>
    <w:rsid w:val="0070231D"/>
    <w:rsid w:val="007031AC"/>
    <w:rsid w:val="007065B6"/>
    <w:rsid w:val="00706C5D"/>
    <w:rsid w:val="00706F2E"/>
    <w:rsid w:val="00710629"/>
    <w:rsid w:val="007118C8"/>
    <w:rsid w:val="007122C5"/>
    <w:rsid w:val="007125D8"/>
    <w:rsid w:val="00712EF2"/>
    <w:rsid w:val="007141A1"/>
    <w:rsid w:val="00716347"/>
    <w:rsid w:val="007202F7"/>
    <w:rsid w:val="007203F1"/>
    <w:rsid w:val="0072286B"/>
    <w:rsid w:val="00723B2E"/>
    <w:rsid w:val="00726B61"/>
    <w:rsid w:val="0073086C"/>
    <w:rsid w:val="00731510"/>
    <w:rsid w:val="00731597"/>
    <w:rsid w:val="00732922"/>
    <w:rsid w:val="007346F6"/>
    <w:rsid w:val="00736F19"/>
    <w:rsid w:val="007372FB"/>
    <w:rsid w:val="00740AB0"/>
    <w:rsid w:val="00741662"/>
    <w:rsid w:val="00741924"/>
    <w:rsid w:val="0075008A"/>
    <w:rsid w:val="0075162E"/>
    <w:rsid w:val="00752441"/>
    <w:rsid w:val="0075400A"/>
    <w:rsid w:val="00754034"/>
    <w:rsid w:val="00754570"/>
    <w:rsid w:val="007550DD"/>
    <w:rsid w:val="00756556"/>
    <w:rsid w:val="0076101A"/>
    <w:rsid w:val="007618C4"/>
    <w:rsid w:val="00763885"/>
    <w:rsid w:val="00764FE5"/>
    <w:rsid w:val="00765014"/>
    <w:rsid w:val="00765FFB"/>
    <w:rsid w:val="00767980"/>
    <w:rsid w:val="00770B19"/>
    <w:rsid w:val="00773645"/>
    <w:rsid w:val="0077463F"/>
    <w:rsid w:val="00774E0B"/>
    <w:rsid w:val="007773AB"/>
    <w:rsid w:val="00777598"/>
    <w:rsid w:val="00777CF8"/>
    <w:rsid w:val="00777F3D"/>
    <w:rsid w:val="00781559"/>
    <w:rsid w:val="00782343"/>
    <w:rsid w:val="00782666"/>
    <w:rsid w:val="00783365"/>
    <w:rsid w:val="007836EA"/>
    <w:rsid w:val="00784CDA"/>
    <w:rsid w:val="00786097"/>
    <w:rsid w:val="007904A8"/>
    <w:rsid w:val="007906C4"/>
    <w:rsid w:val="00790B6A"/>
    <w:rsid w:val="00791C86"/>
    <w:rsid w:val="00792CE7"/>
    <w:rsid w:val="00793FAC"/>
    <w:rsid w:val="007940EA"/>
    <w:rsid w:val="007944A6"/>
    <w:rsid w:val="007967E8"/>
    <w:rsid w:val="007978C8"/>
    <w:rsid w:val="007A01F8"/>
    <w:rsid w:val="007A2170"/>
    <w:rsid w:val="007A22BF"/>
    <w:rsid w:val="007A2F49"/>
    <w:rsid w:val="007A3323"/>
    <w:rsid w:val="007A4219"/>
    <w:rsid w:val="007A4231"/>
    <w:rsid w:val="007A7683"/>
    <w:rsid w:val="007A79D8"/>
    <w:rsid w:val="007B0A69"/>
    <w:rsid w:val="007B2072"/>
    <w:rsid w:val="007B2D0F"/>
    <w:rsid w:val="007B3A8F"/>
    <w:rsid w:val="007B4189"/>
    <w:rsid w:val="007B72B8"/>
    <w:rsid w:val="007B7A58"/>
    <w:rsid w:val="007C1314"/>
    <w:rsid w:val="007C13F6"/>
    <w:rsid w:val="007C21B5"/>
    <w:rsid w:val="007C43AA"/>
    <w:rsid w:val="007C4F60"/>
    <w:rsid w:val="007C7C81"/>
    <w:rsid w:val="007D0BE7"/>
    <w:rsid w:val="007D2C96"/>
    <w:rsid w:val="007D3369"/>
    <w:rsid w:val="007D52AE"/>
    <w:rsid w:val="007D557F"/>
    <w:rsid w:val="007D79A9"/>
    <w:rsid w:val="007D7CA0"/>
    <w:rsid w:val="007E151C"/>
    <w:rsid w:val="007E1B25"/>
    <w:rsid w:val="007E3D63"/>
    <w:rsid w:val="007E3E9B"/>
    <w:rsid w:val="007E4BD2"/>
    <w:rsid w:val="007E65AE"/>
    <w:rsid w:val="007E6B96"/>
    <w:rsid w:val="007E797F"/>
    <w:rsid w:val="007F2459"/>
    <w:rsid w:val="007F6039"/>
    <w:rsid w:val="007F6503"/>
    <w:rsid w:val="00800452"/>
    <w:rsid w:val="00801393"/>
    <w:rsid w:val="00802C13"/>
    <w:rsid w:val="00802F88"/>
    <w:rsid w:val="00811536"/>
    <w:rsid w:val="00811BE6"/>
    <w:rsid w:val="0081293E"/>
    <w:rsid w:val="00813F06"/>
    <w:rsid w:val="00815465"/>
    <w:rsid w:val="008157CB"/>
    <w:rsid w:val="00815823"/>
    <w:rsid w:val="00817149"/>
    <w:rsid w:val="00817E9A"/>
    <w:rsid w:val="00820AF0"/>
    <w:rsid w:val="00821646"/>
    <w:rsid w:val="00823B6E"/>
    <w:rsid w:val="008264F4"/>
    <w:rsid w:val="008306BD"/>
    <w:rsid w:val="00831A80"/>
    <w:rsid w:val="00832CC6"/>
    <w:rsid w:val="0083346E"/>
    <w:rsid w:val="00833743"/>
    <w:rsid w:val="00833F1B"/>
    <w:rsid w:val="008340A4"/>
    <w:rsid w:val="00835FAB"/>
    <w:rsid w:val="00836483"/>
    <w:rsid w:val="00837437"/>
    <w:rsid w:val="00841399"/>
    <w:rsid w:val="00841A7D"/>
    <w:rsid w:val="00842F98"/>
    <w:rsid w:val="008436E1"/>
    <w:rsid w:val="00843F1C"/>
    <w:rsid w:val="00844113"/>
    <w:rsid w:val="00844CB5"/>
    <w:rsid w:val="008503BE"/>
    <w:rsid w:val="008509C8"/>
    <w:rsid w:val="00855988"/>
    <w:rsid w:val="00856DBA"/>
    <w:rsid w:val="0085777D"/>
    <w:rsid w:val="0086223C"/>
    <w:rsid w:val="00867C8F"/>
    <w:rsid w:val="00870DDC"/>
    <w:rsid w:val="0087135F"/>
    <w:rsid w:val="0087136B"/>
    <w:rsid w:val="00871769"/>
    <w:rsid w:val="00871816"/>
    <w:rsid w:val="00871C79"/>
    <w:rsid w:val="00872D94"/>
    <w:rsid w:val="00873579"/>
    <w:rsid w:val="0087565B"/>
    <w:rsid w:val="008776CE"/>
    <w:rsid w:val="00880364"/>
    <w:rsid w:val="00883383"/>
    <w:rsid w:val="008835C6"/>
    <w:rsid w:val="00891592"/>
    <w:rsid w:val="00891E9E"/>
    <w:rsid w:val="008927E3"/>
    <w:rsid w:val="00893E7C"/>
    <w:rsid w:val="00894081"/>
    <w:rsid w:val="00894175"/>
    <w:rsid w:val="00894383"/>
    <w:rsid w:val="00896AE8"/>
    <w:rsid w:val="00896C9B"/>
    <w:rsid w:val="008972B9"/>
    <w:rsid w:val="008A0DDC"/>
    <w:rsid w:val="008A1F47"/>
    <w:rsid w:val="008A1FA3"/>
    <w:rsid w:val="008A2F68"/>
    <w:rsid w:val="008A6398"/>
    <w:rsid w:val="008A7FB8"/>
    <w:rsid w:val="008A7FF2"/>
    <w:rsid w:val="008B026D"/>
    <w:rsid w:val="008B02B8"/>
    <w:rsid w:val="008B0DE6"/>
    <w:rsid w:val="008B4C0B"/>
    <w:rsid w:val="008B4FA6"/>
    <w:rsid w:val="008B50FA"/>
    <w:rsid w:val="008B5282"/>
    <w:rsid w:val="008B5845"/>
    <w:rsid w:val="008B5E21"/>
    <w:rsid w:val="008B5E48"/>
    <w:rsid w:val="008B6573"/>
    <w:rsid w:val="008B7308"/>
    <w:rsid w:val="008B76C0"/>
    <w:rsid w:val="008B7C0A"/>
    <w:rsid w:val="008B7C17"/>
    <w:rsid w:val="008C1543"/>
    <w:rsid w:val="008C218F"/>
    <w:rsid w:val="008C2307"/>
    <w:rsid w:val="008C24F7"/>
    <w:rsid w:val="008C26DB"/>
    <w:rsid w:val="008C27A2"/>
    <w:rsid w:val="008C2D01"/>
    <w:rsid w:val="008C40E6"/>
    <w:rsid w:val="008C4C93"/>
    <w:rsid w:val="008C53B5"/>
    <w:rsid w:val="008C6173"/>
    <w:rsid w:val="008C78B6"/>
    <w:rsid w:val="008D0584"/>
    <w:rsid w:val="008D0F7A"/>
    <w:rsid w:val="008D268F"/>
    <w:rsid w:val="008D2990"/>
    <w:rsid w:val="008D68E4"/>
    <w:rsid w:val="008D724E"/>
    <w:rsid w:val="008E0506"/>
    <w:rsid w:val="008E0CFF"/>
    <w:rsid w:val="008E15F0"/>
    <w:rsid w:val="008E30CD"/>
    <w:rsid w:val="008E38DA"/>
    <w:rsid w:val="008E5D6B"/>
    <w:rsid w:val="008E76F0"/>
    <w:rsid w:val="008F15FE"/>
    <w:rsid w:val="008F2191"/>
    <w:rsid w:val="008F2390"/>
    <w:rsid w:val="008F2D29"/>
    <w:rsid w:val="008F3469"/>
    <w:rsid w:val="008F3AA0"/>
    <w:rsid w:val="008F5187"/>
    <w:rsid w:val="008F60D8"/>
    <w:rsid w:val="008F6E64"/>
    <w:rsid w:val="008F70CE"/>
    <w:rsid w:val="00902525"/>
    <w:rsid w:val="00902727"/>
    <w:rsid w:val="00902ABB"/>
    <w:rsid w:val="0090312B"/>
    <w:rsid w:val="00903825"/>
    <w:rsid w:val="0090389D"/>
    <w:rsid w:val="00904EF7"/>
    <w:rsid w:val="0090612B"/>
    <w:rsid w:val="00910BC4"/>
    <w:rsid w:val="00912502"/>
    <w:rsid w:val="00912AD6"/>
    <w:rsid w:val="009145D1"/>
    <w:rsid w:val="00915D13"/>
    <w:rsid w:val="0091674D"/>
    <w:rsid w:val="00916EAA"/>
    <w:rsid w:val="0091736D"/>
    <w:rsid w:val="00917725"/>
    <w:rsid w:val="00921A47"/>
    <w:rsid w:val="00923BDA"/>
    <w:rsid w:val="0092421F"/>
    <w:rsid w:val="00924C35"/>
    <w:rsid w:val="00924FC7"/>
    <w:rsid w:val="00927D23"/>
    <w:rsid w:val="0093037A"/>
    <w:rsid w:val="009308A3"/>
    <w:rsid w:val="0093108D"/>
    <w:rsid w:val="00932B28"/>
    <w:rsid w:val="00933AA5"/>
    <w:rsid w:val="0093418D"/>
    <w:rsid w:val="009365F7"/>
    <w:rsid w:val="00936BFC"/>
    <w:rsid w:val="00936FEB"/>
    <w:rsid w:val="009373D9"/>
    <w:rsid w:val="0094154D"/>
    <w:rsid w:val="009422CB"/>
    <w:rsid w:val="0094312C"/>
    <w:rsid w:val="00943B09"/>
    <w:rsid w:val="00944741"/>
    <w:rsid w:val="009457CC"/>
    <w:rsid w:val="00946383"/>
    <w:rsid w:val="00947B5E"/>
    <w:rsid w:val="0095001F"/>
    <w:rsid w:val="00950338"/>
    <w:rsid w:val="0095155F"/>
    <w:rsid w:val="00951B96"/>
    <w:rsid w:val="00951C66"/>
    <w:rsid w:val="00951FE0"/>
    <w:rsid w:val="00953073"/>
    <w:rsid w:val="00954196"/>
    <w:rsid w:val="00954429"/>
    <w:rsid w:val="009562A7"/>
    <w:rsid w:val="009563CE"/>
    <w:rsid w:val="00957C7B"/>
    <w:rsid w:val="0096025A"/>
    <w:rsid w:val="00961D9A"/>
    <w:rsid w:val="00966434"/>
    <w:rsid w:val="0096733F"/>
    <w:rsid w:val="00967860"/>
    <w:rsid w:val="009710CA"/>
    <w:rsid w:val="00972B35"/>
    <w:rsid w:val="0097306F"/>
    <w:rsid w:val="00973174"/>
    <w:rsid w:val="00974911"/>
    <w:rsid w:val="00974C7D"/>
    <w:rsid w:val="009758E9"/>
    <w:rsid w:val="00976328"/>
    <w:rsid w:val="0097680D"/>
    <w:rsid w:val="00980C17"/>
    <w:rsid w:val="00982438"/>
    <w:rsid w:val="009826C2"/>
    <w:rsid w:val="009829E1"/>
    <w:rsid w:val="0098404C"/>
    <w:rsid w:val="00985283"/>
    <w:rsid w:val="00986451"/>
    <w:rsid w:val="00990174"/>
    <w:rsid w:val="009906C9"/>
    <w:rsid w:val="00992629"/>
    <w:rsid w:val="0099346B"/>
    <w:rsid w:val="00993532"/>
    <w:rsid w:val="009954D5"/>
    <w:rsid w:val="00995992"/>
    <w:rsid w:val="00996D68"/>
    <w:rsid w:val="00997D30"/>
    <w:rsid w:val="009A03E5"/>
    <w:rsid w:val="009A0F3B"/>
    <w:rsid w:val="009A1BB4"/>
    <w:rsid w:val="009A24C5"/>
    <w:rsid w:val="009A2628"/>
    <w:rsid w:val="009A26D8"/>
    <w:rsid w:val="009A3200"/>
    <w:rsid w:val="009A34FA"/>
    <w:rsid w:val="009B0897"/>
    <w:rsid w:val="009B271F"/>
    <w:rsid w:val="009B2CBF"/>
    <w:rsid w:val="009B70EC"/>
    <w:rsid w:val="009B7481"/>
    <w:rsid w:val="009B7BD9"/>
    <w:rsid w:val="009C0C98"/>
    <w:rsid w:val="009C1183"/>
    <w:rsid w:val="009C2BA5"/>
    <w:rsid w:val="009C4C7F"/>
    <w:rsid w:val="009C53D8"/>
    <w:rsid w:val="009C54A0"/>
    <w:rsid w:val="009C6790"/>
    <w:rsid w:val="009C7DD5"/>
    <w:rsid w:val="009D011A"/>
    <w:rsid w:val="009D1457"/>
    <w:rsid w:val="009D5465"/>
    <w:rsid w:val="009D5C3F"/>
    <w:rsid w:val="009E0A7B"/>
    <w:rsid w:val="009E227D"/>
    <w:rsid w:val="009E2A8E"/>
    <w:rsid w:val="009E3360"/>
    <w:rsid w:val="009E4344"/>
    <w:rsid w:val="009E5019"/>
    <w:rsid w:val="009E7552"/>
    <w:rsid w:val="009F02E6"/>
    <w:rsid w:val="009F1A7E"/>
    <w:rsid w:val="009F252A"/>
    <w:rsid w:val="009F2C5A"/>
    <w:rsid w:val="009F7C3C"/>
    <w:rsid w:val="00A0039F"/>
    <w:rsid w:val="00A008F1"/>
    <w:rsid w:val="00A0094D"/>
    <w:rsid w:val="00A00E66"/>
    <w:rsid w:val="00A04F1B"/>
    <w:rsid w:val="00A0501B"/>
    <w:rsid w:val="00A12F94"/>
    <w:rsid w:val="00A14947"/>
    <w:rsid w:val="00A16171"/>
    <w:rsid w:val="00A205A6"/>
    <w:rsid w:val="00A20B46"/>
    <w:rsid w:val="00A21FF1"/>
    <w:rsid w:val="00A22452"/>
    <w:rsid w:val="00A232EB"/>
    <w:rsid w:val="00A235DF"/>
    <w:rsid w:val="00A244D6"/>
    <w:rsid w:val="00A30750"/>
    <w:rsid w:val="00A31DD1"/>
    <w:rsid w:val="00A32A83"/>
    <w:rsid w:val="00A32DE5"/>
    <w:rsid w:val="00A33421"/>
    <w:rsid w:val="00A3441D"/>
    <w:rsid w:val="00A3609A"/>
    <w:rsid w:val="00A360CF"/>
    <w:rsid w:val="00A368DB"/>
    <w:rsid w:val="00A37690"/>
    <w:rsid w:val="00A37C26"/>
    <w:rsid w:val="00A40E6F"/>
    <w:rsid w:val="00A423AA"/>
    <w:rsid w:val="00A44D28"/>
    <w:rsid w:val="00A4604D"/>
    <w:rsid w:val="00A4678B"/>
    <w:rsid w:val="00A467C9"/>
    <w:rsid w:val="00A46F5A"/>
    <w:rsid w:val="00A50650"/>
    <w:rsid w:val="00A50D86"/>
    <w:rsid w:val="00A52EA1"/>
    <w:rsid w:val="00A5378E"/>
    <w:rsid w:val="00A53A23"/>
    <w:rsid w:val="00A53EC6"/>
    <w:rsid w:val="00A55C0F"/>
    <w:rsid w:val="00A56276"/>
    <w:rsid w:val="00A5711A"/>
    <w:rsid w:val="00A62FDA"/>
    <w:rsid w:val="00A63514"/>
    <w:rsid w:val="00A64090"/>
    <w:rsid w:val="00A643CE"/>
    <w:rsid w:val="00A64799"/>
    <w:rsid w:val="00A64BB3"/>
    <w:rsid w:val="00A6604B"/>
    <w:rsid w:val="00A6770B"/>
    <w:rsid w:val="00A70587"/>
    <w:rsid w:val="00A705FE"/>
    <w:rsid w:val="00A70E00"/>
    <w:rsid w:val="00A719AA"/>
    <w:rsid w:val="00A7563E"/>
    <w:rsid w:val="00A75850"/>
    <w:rsid w:val="00A765C6"/>
    <w:rsid w:val="00A76BFB"/>
    <w:rsid w:val="00A77807"/>
    <w:rsid w:val="00A77844"/>
    <w:rsid w:val="00A84E4A"/>
    <w:rsid w:val="00A86A4A"/>
    <w:rsid w:val="00A8713F"/>
    <w:rsid w:val="00A90BA1"/>
    <w:rsid w:val="00A9199B"/>
    <w:rsid w:val="00A92576"/>
    <w:rsid w:val="00A929B3"/>
    <w:rsid w:val="00A95125"/>
    <w:rsid w:val="00A9743A"/>
    <w:rsid w:val="00A97A9A"/>
    <w:rsid w:val="00AA0671"/>
    <w:rsid w:val="00AA1F45"/>
    <w:rsid w:val="00AA2056"/>
    <w:rsid w:val="00AA2531"/>
    <w:rsid w:val="00AB0929"/>
    <w:rsid w:val="00AB1E09"/>
    <w:rsid w:val="00AB2E9D"/>
    <w:rsid w:val="00AB38FE"/>
    <w:rsid w:val="00AB41FF"/>
    <w:rsid w:val="00AB4E16"/>
    <w:rsid w:val="00AB5273"/>
    <w:rsid w:val="00AB5330"/>
    <w:rsid w:val="00AB5AC9"/>
    <w:rsid w:val="00AB6181"/>
    <w:rsid w:val="00AB6DBD"/>
    <w:rsid w:val="00AB71CE"/>
    <w:rsid w:val="00AB7747"/>
    <w:rsid w:val="00AC14CE"/>
    <w:rsid w:val="00AC25E7"/>
    <w:rsid w:val="00AC2A56"/>
    <w:rsid w:val="00AC7F14"/>
    <w:rsid w:val="00AD03C4"/>
    <w:rsid w:val="00AD055E"/>
    <w:rsid w:val="00AD47A7"/>
    <w:rsid w:val="00AD5818"/>
    <w:rsid w:val="00AE02F2"/>
    <w:rsid w:val="00AE11E1"/>
    <w:rsid w:val="00AE1AB2"/>
    <w:rsid w:val="00AE1B21"/>
    <w:rsid w:val="00AE248C"/>
    <w:rsid w:val="00AE2950"/>
    <w:rsid w:val="00AE5AFD"/>
    <w:rsid w:val="00AE63D9"/>
    <w:rsid w:val="00AF0CBF"/>
    <w:rsid w:val="00AF1A05"/>
    <w:rsid w:val="00AF257F"/>
    <w:rsid w:val="00AF33CF"/>
    <w:rsid w:val="00AF352E"/>
    <w:rsid w:val="00AF3AC2"/>
    <w:rsid w:val="00AF4D50"/>
    <w:rsid w:val="00AF6179"/>
    <w:rsid w:val="00AF7264"/>
    <w:rsid w:val="00AF782A"/>
    <w:rsid w:val="00B00BF6"/>
    <w:rsid w:val="00B014CE"/>
    <w:rsid w:val="00B0189A"/>
    <w:rsid w:val="00B033E5"/>
    <w:rsid w:val="00B03D54"/>
    <w:rsid w:val="00B03E93"/>
    <w:rsid w:val="00B05D7B"/>
    <w:rsid w:val="00B07E19"/>
    <w:rsid w:val="00B112F6"/>
    <w:rsid w:val="00B126E9"/>
    <w:rsid w:val="00B1295A"/>
    <w:rsid w:val="00B1352D"/>
    <w:rsid w:val="00B17BDC"/>
    <w:rsid w:val="00B20A45"/>
    <w:rsid w:val="00B211E1"/>
    <w:rsid w:val="00B2121F"/>
    <w:rsid w:val="00B22C5C"/>
    <w:rsid w:val="00B22CAB"/>
    <w:rsid w:val="00B247A2"/>
    <w:rsid w:val="00B24F30"/>
    <w:rsid w:val="00B26134"/>
    <w:rsid w:val="00B27559"/>
    <w:rsid w:val="00B2787C"/>
    <w:rsid w:val="00B27FC4"/>
    <w:rsid w:val="00B30505"/>
    <w:rsid w:val="00B31ABF"/>
    <w:rsid w:val="00B33BE3"/>
    <w:rsid w:val="00B35639"/>
    <w:rsid w:val="00B40221"/>
    <w:rsid w:val="00B4091C"/>
    <w:rsid w:val="00B42E11"/>
    <w:rsid w:val="00B43319"/>
    <w:rsid w:val="00B43D34"/>
    <w:rsid w:val="00B46040"/>
    <w:rsid w:val="00B47C39"/>
    <w:rsid w:val="00B5387B"/>
    <w:rsid w:val="00B53AD4"/>
    <w:rsid w:val="00B53B5D"/>
    <w:rsid w:val="00B541EC"/>
    <w:rsid w:val="00B54BC1"/>
    <w:rsid w:val="00B54D91"/>
    <w:rsid w:val="00B5507A"/>
    <w:rsid w:val="00B6055E"/>
    <w:rsid w:val="00B62545"/>
    <w:rsid w:val="00B6317D"/>
    <w:rsid w:val="00B63ADB"/>
    <w:rsid w:val="00B63CDD"/>
    <w:rsid w:val="00B64013"/>
    <w:rsid w:val="00B64429"/>
    <w:rsid w:val="00B64487"/>
    <w:rsid w:val="00B6451A"/>
    <w:rsid w:val="00B700BD"/>
    <w:rsid w:val="00B734AB"/>
    <w:rsid w:val="00B76192"/>
    <w:rsid w:val="00B7723F"/>
    <w:rsid w:val="00B8031A"/>
    <w:rsid w:val="00B80534"/>
    <w:rsid w:val="00B80EEA"/>
    <w:rsid w:val="00B812F3"/>
    <w:rsid w:val="00B8150F"/>
    <w:rsid w:val="00B830AB"/>
    <w:rsid w:val="00B8433C"/>
    <w:rsid w:val="00B85F36"/>
    <w:rsid w:val="00B87491"/>
    <w:rsid w:val="00B90B38"/>
    <w:rsid w:val="00B912AC"/>
    <w:rsid w:val="00B915BF"/>
    <w:rsid w:val="00B943A2"/>
    <w:rsid w:val="00B94845"/>
    <w:rsid w:val="00B94908"/>
    <w:rsid w:val="00B96B57"/>
    <w:rsid w:val="00B97E7E"/>
    <w:rsid w:val="00BA18E5"/>
    <w:rsid w:val="00BA29E9"/>
    <w:rsid w:val="00BA4C2A"/>
    <w:rsid w:val="00BA5AC9"/>
    <w:rsid w:val="00BA5C68"/>
    <w:rsid w:val="00BA6212"/>
    <w:rsid w:val="00BA6BDA"/>
    <w:rsid w:val="00BA7142"/>
    <w:rsid w:val="00BB007E"/>
    <w:rsid w:val="00BB0313"/>
    <w:rsid w:val="00BB0585"/>
    <w:rsid w:val="00BB1234"/>
    <w:rsid w:val="00BB237C"/>
    <w:rsid w:val="00BB375D"/>
    <w:rsid w:val="00BB3EE9"/>
    <w:rsid w:val="00BB41A3"/>
    <w:rsid w:val="00BB41A8"/>
    <w:rsid w:val="00BB45FB"/>
    <w:rsid w:val="00BB49C7"/>
    <w:rsid w:val="00BB4EC3"/>
    <w:rsid w:val="00BC0153"/>
    <w:rsid w:val="00BC081C"/>
    <w:rsid w:val="00BC1A3C"/>
    <w:rsid w:val="00BC1BC5"/>
    <w:rsid w:val="00BC32DC"/>
    <w:rsid w:val="00BC35B6"/>
    <w:rsid w:val="00BC3C48"/>
    <w:rsid w:val="00BC69B2"/>
    <w:rsid w:val="00BC77EE"/>
    <w:rsid w:val="00BD1B51"/>
    <w:rsid w:val="00BD2AC0"/>
    <w:rsid w:val="00BD4596"/>
    <w:rsid w:val="00BD484D"/>
    <w:rsid w:val="00BD582E"/>
    <w:rsid w:val="00BD6027"/>
    <w:rsid w:val="00BE1405"/>
    <w:rsid w:val="00BE2BF5"/>
    <w:rsid w:val="00BE305B"/>
    <w:rsid w:val="00BE312D"/>
    <w:rsid w:val="00BE3366"/>
    <w:rsid w:val="00BE33D7"/>
    <w:rsid w:val="00BE3B05"/>
    <w:rsid w:val="00BE46AA"/>
    <w:rsid w:val="00BE662F"/>
    <w:rsid w:val="00BE77EA"/>
    <w:rsid w:val="00BF070B"/>
    <w:rsid w:val="00BF1C20"/>
    <w:rsid w:val="00BF3C3D"/>
    <w:rsid w:val="00BF53DC"/>
    <w:rsid w:val="00BF6160"/>
    <w:rsid w:val="00C01519"/>
    <w:rsid w:val="00C03625"/>
    <w:rsid w:val="00C0380B"/>
    <w:rsid w:val="00C045FF"/>
    <w:rsid w:val="00C07A10"/>
    <w:rsid w:val="00C10578"/>
    <w:rsid w:val="00C130BC"/>
    <w:rsid w:val="00C134EE"/>
    <w:rsid w:val="00C135BC"/>
    <w:rsid w:val="00C13635"/>
    <w:rsid w:val="00C15B01"/>
    <w:rsid w:val="00C15C95"/>
    <w:rsid w:val="00C15F25"/>
    <w:rsid w:val="00C162B1"/>
    <w:rsid w:val="00C16710"/>
    <w:rsid w:val="00C16E62"/>
    <w:rsid w:val="00C20A8A"/>
    <w:rsid w:val="00C21D0B"/>
    <w:rsid w:val="00C237DC"/>
    <w:rsid w:val="00C239EE"/>
    <w:rsid w:val="00C24E1C"/>
    <w:rsid w:val="00C24EAC"/>
    <w:rsid w:val="00C256CE"/>
    <w:rsid w:val="00C2596A"/>
    <w:rsid w:val="00C26386"/>
    <w:rsid w:val="00C27537"/>
    <w:rsid w:val="00C277D2"/>
    <w:rsid w:val="00C27EB1"/>
    <w:rsid w:val="00C31F57"/>
    <w:rsid w:val="00C32255"/>
    <w:rsid w:val="00C328FE"/>
    <w:rsid w:val="00C33507"/>
    <w:rsid w:val="00C35016"/>
    <w:rsid w:val="00C379C9"/>
    <w:rsid w:val="00C40CAE"/>
    <w:rsid w:val="00C425A7"/>
    <w:rsid w:val="00C42625"/>
    <w:rsid w:val="00C42712"/>
    <w:rsid w:val="00C4409D"/>
    <w:rsid w:val="00C446AC"/>
    <w:rsid w:val="00C44E72"/>
    <w:rsid w:val="00C45A06"/>
    <w:rsid w:val="00C470C7"/>
    <w:rsid w:val="00C47276"/>
    <w:rsid w:val="00C47BCB"/>
    <w:rsid w:val="00C47E5B"/>
    <w:rsid w:val="00C51610"/>
    <w:rsid w:val="00C517D0"/>
    <w:rsid w:val="00C51C55"/>
    <w:rsid w:val="00C55C80"/>
    <w:rsid w:val="00C561D4"/>
    <w:rsid w:val="00C5781B"/>
    <w:rsid w:val="00C61E4B"/>
    <w:rsid w:val="00C6227D"/>
    <w:rsid w:val="00C62ED6"/>
    <w:rsid w:val="00C63ADD"/>
    <w:rsid w:val="00C64BFF"/>
    <w:rsid w:val="00C64D63"/>
    <w:rsid w:val="00C65AC0"/>
    <w:rsid w:val="00C67A1A"/>
    <w:rsid w:val="00C704E9"/>
    <w:rsid w:val="00C7106B"/>
    <w:rsid w:val="00C73039"/>
    <w:rsid w:val="00C73BDA"/>
    <w:rsid w:val="00C749E4"/>
    <w:rsid w:val="00C74F07"/>
    <w:rsid w:val="00C75AE6"/>
    <w:rsid w:val="00C763C9"/>
    <w:rsid w:val="00C76B2C"/>
    <w:rsid w:val="00C779EF"/>
    <w:rsid w:val="00C80057"/>
    <w:rsid w:val="00C80E9C"/>
    <w:rsid w:val="00C8175B"/>
    <w:rsid w:val="00C81E18"/>
    <w:rsid w:val="00C82232"/>
    <w:rsid w:val="00C8234C"/>
    <w:rsid w:val="00C824A8"/>
    <w:rsid w:val="00C82913"/>
    <w:rsid w:val="00C8465B"/>
    <w:rsid w:val="00C861DF"/>
    <w:rsid w:val="00C87CFB"/>
    <w:rsid w:val="00C87F3D"/>
    <w:rsid w:val="00C96CD2"/>
    <w:rsid w:val="00C972B1"/>
    <w:rsid w:val="00CA2CCE"/>
    <w:rsid w:val="00CA33A1"/>
    <w:rsid w:val="00CA43FD"/>
    <w:rsid w:val="00CA4C53"/>
    <w:rsid w:val="00CA6CE2"/>
    <w:rsid w:val="00CA7EF8"/>
    <w:rsid w:val="00CB09C7"/>
    <w:rsid w:val="00CB604A"/>
    <w:rsid w:val="00CB619C"/>
    <w:rsid w:val="00CB6259"/>
    <w:rsid w:val="00CB6742"/>
    <w:rsid w:val="00CB7921"/>
    <w:rsid w:val="00CC0ABE"/>
    <w:rsid w:val="00CC0CDA"/>
    <w:rsid w:val="00CC0E7D"/>
    <w:rsid w:val="00CC27E6"/>
    <w:rsid w:val="00CC4154"/>
    <w:rsid w:val="00CC489B"/>
    <w:rsid w:val="00CC4F4F"/>
    <w:rsid w:val="00CC5681"/>
    <w:rsid w:val="00CC6506"/>
    <w:rsid w:val="00CC6FB6"/>
    <w:rsid w:val="00CC7283"/>
    <w:rsid w:val="00CD2BCD"/>
    <w:rsid w:val="00CD2F50"/>
    <w:rsid w:val="00CD38C1"/>
    <w:rsid w:val="00CD3A4C"/>
    <w:rsid w:val="00CD460F"/>
    <w:rsid w:val="00CD691B"/>
    <w:rsid w:val="00CD6B71"/>
    <w:rsid w:val="00CE10E9"/>
    <w:rsid w:val="00CE1369"/>
    <w:rsid w:val="00CE1CF4"/>
    <w:rsid w:val="00CE2910"/>
    <w:rsid w:val="00CE2AB4"/>
    <w:rsid w:val="00CE42D7"/>
    <w:rsid w:val="00CE5393"/>
    <w:rsid w:val="00CE6076"/>
    <w:rsid w:val="00CE71C5"/>
    <w:rsid w:val="00CE7594"/>
    <w:rsid w:val="00CF1685"/>
    <w:rsid w:val="00CF26C0"/>
    <w:rsid w:val="00CF2C1C"/>
    <w:rsid w:val="00CF3689"/>
    <w:rsid w:val="00CF36BE"/>
    <w:rsid w:val="00CF6000"/>
    <w:rsid w:val="00CF6082"/>
    <w:rsid w:val="00CF75E7"/>
    <w:rsid w:val="00D00088"/>
    <w:rsid w:val="00D003F3"/>
    <w:rsid w:val="00D014DE"/>
    <w:rsid w:val="00D022F8"/>
    <w:rsid w:val="00D023A5"/>
    <w:rsid w:val="00D02CA9"/>
    <w:rsid w:val="00D0364F"/>
    <w:rsid w:val="00D06834"/>
    <w:rsid w:val="00D07314"/>
    <w:rsid w:val="00D07CCD"/>
    <w:rsid w:val="00D12888"/>
    <w:rsid w:val="00D12C83"/>
    <w:rsid w:val="00D130C8"/>
    <w:rsid w:val="00D141DF"/>
    <w:rsid w:val="00D203BD"/>
    <w:rsid w:val="00D20447"/>
    <w:rsid w:val="00D20528"/>
    <w:rsid w:val="00D206E3"/>
    <w:rsid w:val="00D2536F"/>
    <w:rsid w:val="00D25949"/>
    <w:rsid w:val="00D262BE"/>
    <w:rsid w:val="00D2725E"/>
    <w:rsid w:val="00D2759E"/>
    <w:rsid w:val="00D30339"/>
    <w:rsid w:val="00D308ED"/>
    <w:rsid w:val="00D30C30"/>
    <w:rsid w:val="00D31CF6"/>
    <w:rsid w:val="00D35AA6"/>
    <w:rsid w:val="00D35B96"/>
    <w:rsid w:val="00D35CA4"/>
    <w:rsid w:val="00D366AA"/>
    <w:rsid w:val="00D36D86"/>
    <w:rsid w:val="00D41738"/>
    <w:rsid w:val="00D42326"/>
    <w:rsid w:val="00D426C3"/>
    <w:rsid w:val="00D428AA"/>
    <w:rsid w:val="00D4394F"/>
    <w:rsid w:val="00D447DC"/>
    <w:rsid w:val="00D453F5"/>
    <w:rsid w:val="00D47FDB"/>
    <w:rsid w:val="00D50A34"/>
    <w:rsid w:val="00D53DE1"/>
    <w:rsid w:val="00D53EFA"/>
    <w:rsid w:val="00D54A5B"/>
    <w:rsid w:val="00D5522B"/>
    <w:rsid w:val="00D55954"/>
    <w:rsid w:val="00D577DC"/>
    <w:rsid w:val="00D60007"/>
    <w:rsid w:val="00D622EA"/>
    <w:rsid w:val="00D6431A"/>
    <w:rsid w:val="00D65CA3"/>
    <w:rsid w:val="00D67386"/>
    <w:rsid w:val="00D716D0"/>
    <w:rsid w:val="00D72465"/>
    <w:rsid w:val="00D72786"/>
    <w:rsid w:val="00D7392F"/>
    <w:rsid w:val="00D747A9"/>
    <w:rsid w:val="00D766E1"/>
    <w:rsid w:val="00D76E6A"/>
    <w:rsid w:val="00D8031F"/>
    <w:rsid w:val="00D808CC"/>
    <w:rsid w:val="00D81214"/>
    <w:rsid w:val="00D820B4"/>
    <w:rsid w:val="00D8397F"/>
    <w:rsid w:val="00D840A6"/>
    <w:rsid w:val="00D85D27"/>
    <w:rsid w:val="00D86177"/>
    <w:rsid w:val="00D866FB"/>
    <w:rsid w:val="00D86FD1"/>
    <w:rsid w:val="00D907A1"/>
    <w:rsid w:val="00D94A7C"/>
    <w:rsid w:val="00D95896"/>
    <w:rsid w:val="00D9728D"/>
    <w:rsid w:val="00D97438"/>
    <w:rsid w:val="00D97488"/>
    <w:rsid w:val="00DA02B5"/>
    <w:rsid w:val="00DA06D9"/>
    <w:rsid w:val="00DA1131"/>
    <w:rsid w:val="00DA29C4"/>
    <w:rsid w:val="00DA341B"/>
    <w:rsid w:val="00DB1D63"/>
    <w:rsid w:val="00DB2983"/>
    <w:rsid w:val="00DB390B"/>
    <w:rsid w:val="00DB4C01"/>
    <w:rsid w:val="00DB539A"/>
    <w:rsid w:val="00DB73E3"/>
    <w:rsid w:val="00DC031E"/>
    <w:rsid w:val="00DC1257"/>
    <w:rsid w:val="00DC165A"/>
    <w:rsid w:val="00DC2F12"/>
    <w:rsid w:val="00DC378C"/>
    <w:rsid w:val="00DC3D83"/>
    <w:rsid w:val="00DC3DC0"/>
    <w:rsid w:val="00DC4829"/>
    <w:rsid w:val="00DC5B2B"/>
    <w:rsid w:val="00DC5CCE"/>
    <w:rsid w:val="00DC7588"/>
    <w:rsid w:val="00DD182C"/>
    <w:rsid w:val="00DD2B91"/>
    <w:rsid w:val="00DD2BD8"/>
    <w:rsid w:val="00DD318D"/>
    <w:rsid w:val="00DD375F"/>
    <w:rsid w:val="00DD4A57"/>
    <w:rsid w:val="00DD6530"/>
    <w:rsid w:val="00DE00CE"/>
    <w:rsid w:val="00DE09C6"/>
    <w:rsid w:val="00DE34DB"/>
    <w:rsid w:val="00DE387F"/>
    <w:rsid w:val="00DE3ACD"/>
    <w:rsid w:val="00DE5B55"/>
    <w:rsid w:val="00DE5C26"/>
    <w:rsid w:val="00DE66E8"/>
    <w:rsid w:val="00DE6D7D"/>
    <w:rsid w:val="00DF2158"/>
    <w:rsid w:val="00DF260B"/>
    <w:rsid w:val="00DF2E12"/>
    <w:rsid w:val="00DF4416"/>
    <w:rsid w:val="00DF514A"/>
    <w:rsid w:val="00DF5C9F"/>
    <w:rsid w:val="00DF5D0B"/>
    <w:rsid w:val="00DF60BA"/>
    <w:rsid w:val="00DF6690"/>
    <w:rsid w:val="00DF6804"/>
    <w:rsid w:val="00E0223A"/>
    <w:rsid w:val="00E0358D"/>
    <w:rsid w:val="00E04323"/>
    <w:rsid w:val="00E05774"/>
    <w:rsid w:val="00E05CCB"/>
    <w:rsid w:val="00E070A2"/>
    <w:rsid w:val="00E07C4C"/>
    <w:rsid w:val="00E11E41"/>
    <w:rsid w:val="00E13244"/>
    <w:rsid w:val="00E134FE"/>
    <w:rsid w:val="00E1570F"/>
    <w:rsid w:val="00E15AD2"/>
    <w:rsid w:val="00E16CF4"/>
    <w:rsid w:val="00E218B0"/>
    <w:rsid w:val="00E22E7C"/>
    <w:rsid w:val="00E23776"/>
    <w:rsid w:val="00E24A15"/>
    <w:rsid w:val="00E251A9"/>
    <w:rsid w:val="00E2656A"/>
    <w:rsid w:val="00E27289"/>
    <w:rsid w:val="00E2789B"/>
    <w:rsid w:val="00E3095F"/>
    <w:rsid w:val="00E315CE"/>
    <w:rsid w:val="00E368C7"/>
    <w:rsid w:val="00E412D0"/>
    <w:rsid w:val="00E413B3"/>
    <w:rsid w:val="00E42928"/>
    <w:rsid w:val="00E435FA"/>
    <w:rsid w:val="00E44256"/>
    <w:rsid w:val="00E44C03"/>
    <w:rsid w:val="00E46AC5"/>
    <w:rsid w:val="00E529DF"/>
    <w:rsid w:val="00E52CFC"/>
    <w:rsid w:val="00E545FB"/>
    <w:rsid w:val="00E552C2"/>
    <w:rsid w:val="00E56322"/>
    <w:rsid w:val="00E57B1D"/>
    <w:rsid w:val="00E60982"/>
    <w:rsid w:val="00E62C62"/>
    <w:rsid w:val="00E62F81"/>
    <w:rsid w:val="00E654C1"/>
    <w:rsid w:val="00E65D97"/>
    <w:rsid w:val="00E65F7B"/>
    <w:rsid w:val="00E679B2"/>
    <w:rsid w:val="00E7102C"/>
    <w:rsid w:val="00E72A5A"/>
    <w:rsid w:val="00E72D40"/>
    <w:rsid w:val="00E73354"/>
    <w:rsid w:val="00E74060"/>
    <w:rsid w:val="00E74B29"/>
    <w:rsid w:val="00E75E0A"/>
    <w:rsid w:val="00E81E10"/>
    <w:rsid w:val="00E820F5"/>
    <w:rsid w:val="00E83EC6"/>
    <w:rsid w:val="00E84A5E"/>
    <w:rsid w:val="00E84E9F"/>
    <w:rsid w:val="00E85657"/>
    <w:rsid w:val="00E85BF9"/>
    <w:rsid w:val="00E85DA5"/>
    <w:rsid w:val="00E86763"/>
    <w:rsid w:val="00E874AA"/>
    <w:rsid w:val="00E87E87"/>
    <w:rsid w:val="00E900A2"/>
    <w:rsid w:val="00E9242D"/>
    <w:rsid w:val="00E93388"/>
    <w:rsid w:val="00E93774"/>
    <w:rsid w:val="00E94C83"/>
    <w:rsid w:val="00E94E84"/>
    <w:rsid w:val="00EA1815"/>
    <w:rsid w:val="00EA2025"/>
    <w:rsid w:val="00EA5453"/>
    <w:rsid w:val="00EA5B64"/>
    <w:rsid w:val="00EA7A49"/>
    <w:rsid w:val="00EB1083"/>
    <w:rsid w:val="00EB3A84"/>
    <w:rsid w:val="00EB5255"/>
    <w:rsid w:val="00EB52D4"/>
    <w:rsid w:val="00EB5C47"/>
    <w:rsid w:val="00EB7280"/>
    <w:rsid w:val="00EC052B"/>
    <w:rsid w:val="00EC2215"/>
    <w:rsid w:val="00EC682C"/>
    <w:rsid w:val="00EC7B88"/>
    <w:rsid w:val="00ED0231"/>
    <w:rsid w:val="00ED02A0"/>
    <w:rsid w:val="00ED0639"/>
    <w:rsid w:val="00ED2C3E"/>
    <w:rsid w:val="00ED2FD2"/>
    <w:rsid w:val="00ED4394"/>
    <w:rsid w:val="00ED4C31"/>
    <w:rsid w:val="00ED53E1"/>
    <w:rsid w:val="00ED69B5"/>
    <w:rsid w:val="00EE1992"/>
    <w:rsid w:val="00EE1DA9"/>
    <w:rsid w:val="00EE2A69"/>
    <w:rsid w:val="00EE6256"/>
    <w:rsid w:val="00EE66DA"/>
    <w:rsid w:val="00EE68BC"/>
    <w:rsid w:val="00EF3824"/>
    <w:rsid w:val="00EF4755"/>
    <w:rsid w:val="00EF58E1"/>
    <w:rsid w:val="00EF5A04"/>
    <w:rsid w:val="00EF7135"/>
    <w:rsid w:val="00F006BD"/>
    <w:rsid w:val="00F016A2"/>
    <w:rsid w:val="00F027DB"/>
    <w:rsid w:val="00F0460E"/>
    <w:rsid w:val="00F05382"/>
    <w:rsid w:val="00F05A7A"/>
    <w:rsid w:val="00F10CD2"/>
    <w:rsid w:val="00F149D4"/>
    <w:rsid w:val="00F14A7A"/>
    <w:rsid w:val="00F14D6F"/>
    <w:rsid w:val="00F15183"/>
    <w:rsid w:val="00F1766D"/>
    <w:rsid w:val="00F21B3E"/>
    <w:rsid w:val="00F220F6"/>
    <w:rsid w:val="00F22985"/>
    <w:rsid w:val="00F2508F"/>
    <w:rsid w:val="00F25E66"/>
    <w:rsid w:val="00F26227"/>
    <w:rsid w:val="00F30738"/>
    <w:rsid w:val="00F3144D"/>
    <w:rsid w:val="00F31766"/>
    <w:rsid w:val="00F31C6E"/>
    <w:rsid w:val="00F322DD"/>
    <w:rsid w:val="00F3383E"/>
    <w:rsid w:val="00F35142"/>
    <w:rsid w:val="00F3607F"/>
    <w:rsid w:val="00F45734"/>
    <w:rsid w:val="00F465A7"/>
    <w:rsid w:val="00F50B7C"/>
    <w:rsid w:val="00F50E9A"/>
    <w:rsid w:val="00F511A3"/>
    <w:rsid w:val="00F529AA"/>
    <w:rsid w:val="00F53E67"/>
    <w:rsid w:val="00F550E6"/>
    <w:rsid w:val="00F55F5B"/>
    <w:rsid w:val="00F5776B"/>
    <w:rsid w:val="00F60B25"/>
    <w:rsid w:val="00F63119"/>
    <w:rsid w:val="00F63CDB"/>
    <w:rsid w:val="00F6511E"/>
    <w:rsid w:val="00F663AD"/>
    <w:rsid w:val="00F66906"/>
    <w:rsid w:val="00F67E5C"/>
    <w:rsid w:val="00F707B5"/>
    <w:rsid w:val="00F74345"/>
    <w:rsid w:val="00F759FB"/>
    <w:rsid w:val="00F764E4"/>
    <w:rsid w:val="00F76856"/>
    <w:rsid w:val="00F8027D"/>
    <w:rsid w:val="00F80A0A"/>
    <w:rsid w:val="00F810F1"/>
    <w:rsid w:val="00F82966"/>
    <w:rsid w:val="00F82B19"/>
    <w:rsid w:val="00F834CE"/>
    <w:rsid w:val="00F85853"/>
    <w:rsid w:val="00F900F6"/>
    <w:rsid w:val="00F9212D"/>
    <w:rsid w:val="00F92298"/>
    <w:rsid w:val="00F9397C"/>
    <w:rsid w:val="00F93DB9"/>
    <w:rsid w:val="00F93DEB"/>
    <w:rsid w:val="00F944BA"/>
    <w:rsid w:val="00F95178"/>
    <w:rsid w:val="00F95F3E"/>
    <w:rsid w:val="00F965DA"/>
    <w:rsid w:val="00F96A33"/>
    <w:rsid w:val="00FA0213"/>
    <w:rsid w:val="00FA0635"/>
    <w:rsid w:val="00FA0D24"/>
    <w:rsid w:val="00FA0E89"/>
    <w:rsid w:val="00FA1EDE"/>
    <w:rsid w:val="00FA25C9"/>
    <w:rsid w:val="00FA2BD4"/>
    <w:rsid w:val="00FA406A"/>
    <w:rsid w:val="00FA500E"/>
    <w:rsid w:val="00FA6560"/>
    <w:rsid w:val="00FB24AE"/>
    <w:rsid w:val="00FB308C"/>
    <w:rsid w:val="00FB503A"/>
    <w:rsid w:val="00FB516C"/>
    <w:rsid w:val="00FB5EC0"/>
    <w:rsid w:val="00FB774D"/>
    <w:rsid w:val="00FB78A8"/>
    <w:rsid w:val="00FB78AC"/>
    <w:rsid w:val="00FC05D5"/>
    <w:rsid w:val="00FC0929"/>
    <w:rsid w:val="00FC206D"/>
    <w:rsid w:val="00FC24B0"/>
    <w:rsid w:val="00FD0236"/>
    <w:rsid w:val="00FD18F4"/>
    <w:rsid w:val="00FD2036"/>
    <w:rsid w:val="00FD29F1"/>
    <w:rsid w:val="00FD54DB"/>
    <w:rsid w:val="00FD619F"/>
    <w:rsid w:val="00FD672C"/>
    <w:rsid w:val="00FD68A5"/>
    <w:rsid w:val="00FD754C"/>
    <w:rsid w:val="00FE270B"/>
    <w:rsid w:val="00FE2D29"/>
    <w:rsid w:val="00FE3A1E"/>
    <w:rsid w:val="00FE4E78"/>
    <w:rsid w:val="00FE6252"/>
    <w:rsid w:val="00FE677B"/>
    <w:rsid w:val="00FE7B08"/>
    <w:rsid w:val="00FF04C4"/>
    <w:rsid w:val="00FF1C90"/>
    <w:rsid w:val="00FF221B"/>
    <w:rsid w:val="00FF23E1"/>
    <w:rsid w:val="00FF3958"/>
    <w:rsid w:val="00FF3D8B"/>
    <w:rsid w:val="00FF41D7"/>
    <w:rsid w:val="00FF54A3"/>
    <w:rsid w:val="00FF5AA5"/>
    <w:rsid w:val="01042CD0"/>
    <w:rsid w:val="01045D46"/>
    <w:rsid w:val="011B38AC"/>
    <w:rsid w:val="01290F7E"/>
    <w:rsid w:val="012C31B9"/>
    <w:rsid w:val="012D3F00"/>
    <w:rsid w:val="01571AC6"/>
    <w:rsid w:val="015D1E09"/>
    <w:rsid w:val="016A071E"/>
    <w:rsid w:val="018E6DA4"/>
    <w:rsid w:val="01BF59FB"/>
    <w:rsid w:val="01F91C72"/>
    <w:rsid w:val="01F97E76"/>
    <w:rsid w:val="021B40CD"/>
    <w:rsid w:val="023615AF"/>
    <w:rsid w:val="024414F5"/>
    <w:rsid w:val="02604471"/>
    <w:rsid w:val="02697903"/>
    <w:rsid w:val="026B126A"/>
    <w:rsid w:val="02757C17"/>
    <w:rsid w:val="0276687B"/>
    <w:rsid w:val="02A1357E"/>
    <w:rsid w:val="02A93B2F"/>
    <w:rsid w:val="02B43C0E"/>
    <w:rsid w:val="02BB74E5"/>
    <w:rsid w:val="02C31933"/>
    <w:rsid w:val="02C36B8C"/>
    <w:rsid w:val="02C646E1"/>
    <w:rsid w:val="02CE265D"/>
    <w:rsid w:val="02EA4873"/>
    <w:rsid w:val="02F96569"/>
    <w:rsid w:val="02FA216F"/>
    <w:rsid w:val="02FD263D"/>
    <w:rsid w:val="031743B0"/>
    <w:rsid w:val="03273795"/>
    <w:rsid w:val="032F04D8"/>
    <w:rsid w:val="037164F1"/>
    <w:rsid w:val="037F36C7"/>
    <w:rsid w:val="03801F24"/>
    <w:rsid w:val="038E15BE"/>
    <w:rsid w:val="039C5442"/>
    <w:rsid w:val="03A313A6"/>
    <w:rsid w:val="03A5589C"/>
    <w:rsid w:val="03C86AEE"/>
    <w:rsid w:val="03D6401F"/>
    <w:rsid w:val="03E614F4"/>
    <w:rsid w:val="03EA7B21"/>
    <w:rsid w:val="03FB13F1"/>
    <w:rsid w:val="041240F3"/>
    <w:rsid w:val="041F2F73"/>
    <w:rsid w:val="042E68A8"/>
    <w:rsid w:val="045E2E06"/>
    <w:rsid w:val="046E0B6E"/>
    <w:rsid w:val="04836190"/>
    <w:rsid w:val="04AA73A9"/>
    <w:rsid w:val="04D01847"/>
    <w:rsid w:val="04D62211"/>
    <w:rsid w:val="04F76DD4"/>
    <w:rsid w:val="04F94396"/>
    <w:rsid w:val="05083C10"/>
    <w:rsid w:val="05094D59"/>
    <w:rsid w:val="051060E7"/>
    <w:rsid w:val="05377D8A"/>
    <w:rsid w:val="054306FC"/>
    <w:rsid w:val="057E450D"/>
    <w:rsid w:val="059B55E5"/>
    <w:rsid w:val="05AD56F0"/>
    <w:rsid w:val="05B06F0E"/>
    <w:rsid w:val="05B8492F"/>
    <w:rsid w:val="05EF67CC"/>
    <w:rsid w:val="05F83EAE"/>
    <w:rsid w:val="0607608E"/>
    <w:rsid w:val="0608756F"/>
    <w:rsid w:val="060E126C"/>
    <w:rsid w:val="063E7D85"/>
    <w:rsid w:val="06460702"/>
    <w:rsid w:val="06581AF4"/>
    <w:rsid w:val="06695AAF"/>
    <w:rsid w:val="0676641E"/>
    <w:rsid w:val="06783122"/>
    <w:rsid w:val="06996DDB"/>
    <w:rsid w:val="06D118A6"/>
    <w:rsid w:val="06EA28E5"/>
    <w:rsid w:val="06F100EE"/>
    <w:rsid w:val="06F14F07"/>
    <w:rsid w:val="070776A5"/>
    <w:rsid w:val="0719416D"/>
    <w:rsid w:val="07272898"/>
    <w:rsid w:val="07293586"/>
    <w:rsid w:val="07295285"/>
    <w:rsid w:val="0730481F"/>
    <w:rsid w:val="075E2D84"/>
    <w:rsid w:val="07636392"/>
    <w:rsid w:val="076F767D"/>
    <w:rsid w:val="07740E68"/>
    <w:rsid w:val="07770C56"/>
    <w:rsid w:val="0781715E"/>
    <w:rsid w:val="07817C26"/>
    <w:rsid w:val="07CC56E3"/>
    <w:rsid w:val="07D611D9"/>
    <w:rsid w:val="07E5093B"/>
    <w:rsid w:val="07F24004"/>
    <w:rsid w:val="081952B3"/>
    <w:rsid w:val="081E245E"/>
    <w:rsid w:val="083B347B"/>
    <w:rsid w:val="083C22E1"/>
    <w:rsid w:val="085207C5"/>
    <w:rsid w:val="086E5F4A"/>
    <w:rsid w:val="087B33F9"/>
    <w:rsid w:val="08896BF4"/>
    <w:rsid w:val="08957AE1"/>
    <w:rsid w:val="08AC0FDA"/>
    <w:rsid w:val="08F301FA"/>
    <w:rsid w:val="08FB1F7D"/>
    <w:rsid w:val="091361A6"/>
    <w:rsid w:val="092217DD"/>
    <w:rsid w:val="09264351"/>
    <w:rsid w:val="092B746A"/>
    <w:rsid w:val="09306D58"/>
    <w:rsid w:val="093A7294"/>
    <w:rsid w:val="093B3554"/>
    <w:rsid w:val="09412D13"/>
    <w:rsid w:val="096133B5"/>
    <w:rsid w:val="099E20EE"/>
    <w:rsid w:val="09A34935"/>
    <w:rsid w:val="09A66753"/>
    <w:rsid w:val="09B47680"/>
    <w:rsid w:val="09CF3C7F"/>
    <w:rsid w:val="0A263993"/>
    <w:rsid w:val="0A2D3AC2"/>
    <w:rsid w:val="0A2F7010"/>
    <w:rsid w:val="0A345E6D"/>
    <w:rsid w:val="0A3E4F4C"/>
    <w:rsid w:val="0A41453F"/>
    <w:rsid w:val="0A5063FD"/>
    <w:rsid w:val="0A742C74"/>
    <w:rsid w:val="0A7B04A7"/>
    <w:rsid w:val="0A7B4003"/>
    <w:rsid w:val="0AA479FE"/>
    <w:rsid w:val="0AA755DF"/>
    <w:rsid w:val="0AC93C18"/>
    <w:rsid w:val="0AD563ED"/>
    <w:rsid w:val="0AEE68A5"/>
    <w:rsid w:val="0AFC4E15"/>
    <w:rsid w:val="0B075ACF"/>
    <w:rsid w:val="0B077F8D"/>
    <w:rsid w:val="0B120D44"/>
    <w:rsid w:val="0B3568A8"/>
    <w:rsid w:val="0B54502F"/>
    <w:rsid w:val="0B9D61FB"/>
    <w:rsid w:val="0BAD28E2"/>
    <w:rsid w:val="0BB45F54"/>
    <w:rsid w:val="0BC07081"/>
    <w:rsid w:val="0BD27BF6"/>
    <w:rsid w:val="0BD54C5D"/>
    <w:rsid w:val="0BFB7F97"/>
    <w:rsid w:val="0C01114E"/>
    <w:rsid w:val="0C12096C"/>
    <w:rsid w:val="0C3B3C7D"/>
    <w:rsid w:val="0C875D84"/>
    <w:rsid w:val="0CAB2EAE"/>
    <w:rsid w:val="0CB02377"/>
    <w:rsid w:val="0CCB361E"/>
    <w:rsid w:val="0D185BC6"/>
    <w:rsid w:val="0D3511EA"/>
    <w:rsid w:val="0D386EBC"/>
    <w:rsid w:val="0D430144"/>
    <w:rsid w:val="0D621C7D"/>
    <w:rsid w:val="0DA25896"/>
    <w:rsid w:val="0DA50A19"/>
    <w:rsid w:val="0DA84003"/>
    <w:rsid w:val="0DAC183F"/>
    <w:rsid w:val="0DCC335C"/>
    <w:rsid w:val="0DEB314C"/>
    <w:rsid w:val="0E0967CC"/>
    <w:rsid w:val="0E0E2C2D"/>
    <w:rsid w:val="0E143A4D"/>
    <w:rsid w:val="0E3A275B"/>
    <w:rsid w:val="0E3C6AF3"/>
    <w:rsid w:val="0E656D5D"/>
    <w:rsid w:val="0E671717"/>
    <w:rsid w:val="0E73034D"/>
    <w:rsid w:val="0E9E1F1C"/>
    <w:rsid w:val="0EC66C82"/>
    <w:rsid w:val="0EC95C60"/>
    <w:rsid w:val="0EEE41D5"/>
    <w:rsid w:val="0F076E37"/>
    <w:rsid w:val="0F13775A"/>
    <w:rsid w:val="0F297BB3"/>
    <w:rsid w:val="0F3A74D1"/>
    <w:rsid w:val="0F434A4A"/>
    <w:rsid w:val="0F54525A"/>
    <w:rsid w:val="0F5F45FE"/>
    <w:rsid w:val="0F621921"/>
    <w:rsid w:val="0F6935F2"/>
    <w:rsid w:val="0F7C2CF7"/>
    <w:rsid w:val="0F892248"/>
    <w:rsid w:val="0F9A112B"/>
    <w:rsid w:val="0F9F1181"/>
    <w:rsid w:val="0FB75ADD"/>
    <w:rsid w:val="0FBA3932"/>
    <w:rsid w:val="0FC63F72"/>
    <w:rsid w:val="0FFF56D6"/>
    <w:rsid w:val="100C3CA5"/>
    <w:rsid w:val="101C0F7D"/>
    <w:rsid w:val="105646DF"/>
    <w:rsid w:val="10693E66"/>
    <w:rsid w:val="106D2F64"/>
    <w:rsid w:val="1078796A"/>
    <w:rsid w:val="10B63710"/>
    <w:rsid w:val="10C72541"/>
    <w:rsid w:val="10EE0CB7"/>
    <w:rsid w:val="10F02398"/>
    <w:rsid w:val="10F10820"/>
    <w:rsid w:val="111B209C"/>
    <w:rsid w:val="111C2F7A"/>
    <w:rsid w:val="11421D1E"/>
    <w:rsid w:val="11665CA1"/>
    <w:rsid w:val="11976220"/>
    <w:rsid w:val="119F0480"/>
    <w:rsid w:val="11A24CCA"/>
    <w:rsid w:val="11BB04A1"/>
    <w:rsid w:val="11E6418C"/>
    <w:rsid w:val="11F36B75"/>
    <w:rsid w:val="12010CBD"/>
    <w:rsid w:val="122D7871"/>
    <w:rsid w:val="12505D75"/>
    <w:rsid w:val="12616C6F"/>
    <w:rsid w:val="126523B4"/>
    <w:rsid w:val="12684C0A"/>
    <w:rsid w:val="12716E79"/>
    <w:rsid w:val="12AA0FC6"/>
    <w:rsid w:val="12B97C83"/>
    <w:rsid w:val="12CA5B28"/>
    <w:rsid w:val="12F162A3"/>
    <w:rsid w:val="1308769D"/>
    <w:rsid w:val="1315107D"/>
    <w:rsid w:val="13163996"/>
    <w:rsid w:val="131E6E02"/>
    <w:rsid w:val="135A5165"/>
    <w:rsid w:val="138C2734"/>
    <w:rsid w:val="139363A6"/>
    <w:rsid w:val="13951726"/>
    <w:rsid w:val="13C10E02"/>
    <w:rsid w:val="13F037B8"/>
    <w:rsid w:val="13FA068E"/>
    <w:rsid w:val="13FC3C5B"/>
    <w:rsid w:val="14216DC1"/>
    <w:rsid w:val="14235704"/>
    <w:rsid w:val="14396509"/>
    <w:rsid w:val="14454BDE"/>
    <w:rsid w:val="14460456"/>
    <w:rsid w:val="14481A6E"/>
    <w:rsid w:val="145B785A"/>
    <w:rsid w:val="146B158C"/>
    <w:rsid w:val="146B50E8"/>
    <w:rsid w:val="146C0264"/>
    <w:rsid w:val="1475006A"/>
    <w:rsid w:val="148310DB"/>
    <w:rsid w:val="148E632B"/>
    <w:rsid w:val="149D6867"/>
    <w:rsid w:val="14A60E1A"/>
    <w:rsid w:val="14DD2C3C"/>
    <w:rsid w:val="15543DCE"/>
    <w:rsid w:val="157601E9"/>
    <w:rsid w:val="15865F5F"/>
    <w:rsid w:val="158E64F8"/>
    <w:rsid w:val="158F3058"/>
    <w:rsid w:val="158F7EC6"/>
    <w:rsid w:val="15D41C12"/>
    <w:rsid w:val="16087E1D"/>
    <w:rsid w:val="160B0931"/>
    <w:rsid w:val="16290142"/>
    <w:rsid w:val="16856946"/>
    <w:rsid w:val="169201AF"/>
    <w:rsid w:val="16AA47C4"/>
    <w:rsid w:val="16C508D2"/>
    <w:rsid w:val="17086D4C"/>
    <w:rsid w:val="171750B3"/>
    <w:rsid w:val="17562080"/>
    <w:rsid w:val="17701D14"/>
    <w:rsid w:val="17735226"/>
    <w:rsid w:val="178B3D61"/>
    <w:rsid w:val="17942BA8"/>
    <w:rsid w:val="17A616E0"/>
    <w:rsid w:val="17D15283"/>
    <w:rsid w:val="180579C4"/>
    <w:rsid w:val="18154D41"/>
    <w:rsid w:val="18277578"/>
    <w:rsid w:val="18350EF4"/>
    <w:rsid w:val="183643B8"/>
    <w:rsid w:val="18464CFE"/>
    <w:rsid w:val="18493520"/>
    <w:rsid w:val="1856074F"/>
    <w:rsid w:val="18803556"/>
    <w:rsid w:val="188A20EA"/>
    <w:rsid w:val="18971BFD"/>
    <w:rsid w:val="189F624C"/>
    <w:rsid w:val="18B87482"/>
    <w:rsid w:val="18C52855"/>
    <w:rsid w:val="18F27B86"/>
    <w:rsid w:val="19090812"/>
    <w:rsid w:val="192137EA"/>
    <w:rsid w:val="19370B79"/>
    <w:rsid w:val="1938477D"/>
    <w:rsid w:val="19522DF1"/>
    <w:rsid w:val="195B6022"/>
    <w:rsid w:val="1964282F"/>
    <w:rsid w:val="19697AA4"/>
    <w:rsid w:val="19935DAA"/>
    <w:rsid w:val="19B27315"/>
    <w:rsid w:val="19B50B33"/>
    <w:rsid w:val="19C21571"/>
    <w:rsid w:val="19D65FAA"/>
    <w:rsid w:val="1A016E88"/>
    <w:rsid w:val="1A1C66C0"/>
    <w:rsid w:val="1A244394"/>
    <w:rsid w:val="1A42393B"/>
    <w:rsid w:val="1A587EBD"/>
    <w:rsid w:val="1A72634D"/>
    <w:rsid w:val="1A937147"/>
    <w:rsid w:val="1AA056A9"/>
    <w:rsid w:val="1AA07505"/>
    <w:rsid w:val="1AA20E4C"/>
    <w:rsid w:val="1AA555D5"/>
    <w:rsid w:val="1AA9696A"/>
    <w:rsid w:val="1AAB4541"/>
    <w:rsid w:val="1AAD45DE"/>
    <w:rsid w:val="1ADE3386"/>
    <w:rsid w:val="1AF5395E"/>
    <w:rsid w:val="1B046F80"/>
    <w:rsid w:val="1B09784B"/>
    <w:rsid w:val="1B3267B5"/>
    <w:rsid w:val="1B3920E3"/>
    <w:rsid w:val="1B3A1DD6"/>
    <w:rsid w:val="1B3A7422"/>
    <w:rsid w:val="1B40161D"/>
    <w:rsid w:val="1B441859"/>
    <w:rsid w:val="1B471C0C"/>
    <w:rsid w:val="1B5B55E2"/>
    <w:rsid w:val="1B62419A"/>
    <w:rsid w:val="1B6371AB"/>
    <w:rsid w:val="1B641AF8"/>
    <w:rsid w:val="1B6606B1"/>
    <w:rsid w:val="1B800292"/>
    <w:rsid w:val="1B8151F1"/>
    <w:rsid w:val="1B890F40"/>
    <w:rsid w:val="1B952CBB"/>
    <w:rsid w:val="1B9C4643"/>
    <w:rsid w:val="1BA86B44"/>
    <w:rsid w:val="1BF522EC"/>
    <w:rsid w:val="1BFE2CE6"/>
    <w:rsid w:val="1C416DD2"/>
    <w:rsid w:val="1C574ACF"/>
    <w:rsid w:val="1C5E7925"/>
    <w:rsid w:val="1C6A3ED7"/>
    <w:rsid w:val="1C6C298A"/>
    <w:rsid w:val="1C7067C2"/>
    <w:rsid w:val="1C8628BB"/>
    <w:rsid w:val="1C920D38"/>
    <w:rsid w:val="1CD2191E"/>
    <w:rsid w:val="1CDE13A5"/>
    <w:rsid w:val="1CE4777B"/>
    <w:rsid w:val="1CF65A71"/>
    <w:rsid w:val="1CFD070F"/>
    <w:rsid w:val="1D046871"/>
    <w:rsid w:val="1D215675"/>
    <w:rsid w:val="1D231209"/>
    <w:rsid w:val="1D434E54"/>
    <w:rsid w:val="1D494AB1"/>
    <w:rsid w:val="1D5F6196"/>
    <w:rsid w:val="1D6132A5"/>
    <w:rsid w:val="1D616BDB"/>
    <w:rsid w:val="1D721295"/>
    <w:rsid w:val="1D8E56D5"/>
    <w:rsid w:val="1DAB02E6"/>
    <w:rsid w:val="1DE64CD6"/>
    <w:rsid w:val="1DF4799B"/>
    <w:rsid w:val="1E0B5974"/>
    <w:rsid w:val="1E107C71"/>
    <w:rsid w:val="1E1A2596"/>
    <w:rsid w:val="1E2F7187"/>
    <w:rsid w:val="1E531AD8"/>
    <w:rsid w:val="1E5B79ED"/>
    <w:rsid w:val="1E621756"/>
    <w:rsid w:val="1E676A63"/>
    <w:rsid w:val="1E6F4B89"/>
    <w:rsid w:val="1E737718"/>
    <w:rsid w:val="1E7A43DA"/>
    <w:rsid w:val="1E8B53BB"/>
    <w:rsid w:val="1E952D86"/>
    <w:rsid w:val="1E960EF2"/>
    <w:rsid w:val="1EAF57F3"/>
    <w:rsid w:val="1EB331A2"/>
    <w:rsid w:val="1EBF32D1"/>
    <w:rsid w:val="1ECE57F7"/>
    <w:rsid w:val="1ED037F9"/>
    <w:rsid w:val="1ED77131"/>
    <w:rsid w:val="1EEA3BCC"/>
    <w:rsid w:val="1EF6667B"/>
    <w:rsid w:val="1EFF5C2B"/>
    <w:rsid w:val="1F0716D1"/>
    <w:rsid w:val="1F215E93"/>
    <w:rsid w:val="1F250D89"/>
    <w:rsid w:val="1F2B0A52"/>
    <w:rsid w:val="1F3A1588"/>
    <w:rsid w:val="1F3C43C2"/>
    <w:rsid w:val="1F7057BF"/>
    <w:rsid w:val="1F762A09"/>
    <w:rsid w:val="1F8E05A7"/>
    <w:rsid w:val="1FAE2C7B"/>
    <w:rsid w:val="1FB604AA"/>
    <w:rsid w:val="1FC908DF"/>
    <w:rsid w:val="1FE7539E"/>
    <w:rsid w:val="1FFC78A6"/>
    <w:rsid w:val="201B41DF"/>
    <w:rsid w:val="20232D1B"/>
    <w:rsid w:val="20671BE0"/>
    <w:rsid w:val="20907AF5"/>
    <w:rsid w:val="20963CB8"/>
    <w:rsid w:val="20A81A1B"/>
    <w:rsid w:val="20B07FB6"/>
    <w:rsid w:val="20B646FB"/>
    <w:rsid w:val="20D92642"/>
    <w:rsid w:val="20EE081C"/>
    <w:rsid w:val="21197918"/>
    <w:rsid w:val="213B74B1"/>
    <w:rsid w:val="213F7CDD"/>
    <w:rsid w:val="214C4683"/>
    <w:rsid w:val="215A2310"/>
    <w:rsid w:val="216C158C"/>
    <w:rsid w:val="21712FB6"/>
    <w:rsid w:val="21771570"/>
    <w:rsid w:val="21911468"/>
    <w:rsid w:val="219B47A6"/>
    <w:rsid w:val="219E4D4F"/>
    <w:rsid w:val="21B870C2"/>
    <w:rsid w:val="21C638F6"/>
    <w:rsid w:val="21DA2E97"/>
    <w:rsid w:val="21DE318A"/>
    <w:rsid w:val="21E354A7"/>
    <w:rsid w:val="21E872B7"/>
    <w:rsid w:val="21EF5B80"/>
    <w:rsid w:val="221868B3"/>
    <w:rsid w:val="22382533"/>
    <w:rsid w:val="223F30CD"/>
    <w:rsid w:val="224F6049"/>
    <w:rsid w:val="22576990"/>
    <w:rsid w:val="2259408F"/>
    <w:rsid w:val="2265586D"/>
    <w:rsid w:val="22680C97"/>
    <w:rsid w:val="229D33C0"/>
    <w:rsid w:val="22A23778"/>
    <w:rsid w:val="22B567E9"/>
    <w:rsid w:val="22F47480"/>
    <w:rsid w:val="22FB679A"/>
    <w:rsid w:val="2301714E"/>
    <w:rsid w:val="230A65EC"/>
    <w:rsid w:val="23146D1C"/>
    <w:rsid w:val="233B46DE"/>
    <w:rsid w:val="234657D2"/>
    <w:rsid w:val="234A05BF"/>
    <w:rsid w:val="23641680"/>
    <w:rsid w:val="23690FB4"/>
    <w:rsid w:val="23BD6517"/>
    <w:rsid w:val="23C81F5A"/>
    <w:rsid w:val="23CE2A4E"/>
    <w:rsid w:val="23CF10C1"/>
    <w:rsid w:val="23DE1C48"/>
    <w:rsid w:val="240210CD"/>
    <w:rsid w:val="24027F4B"/>
    <w:rsid w:val="24264B88"/>
    <w:rsid w:val="2449512E"/>
    <w:rsid w:val="24604E51"/>
    <w:rsid w:val="24646008"/>
    <w:rsid w:val="24655449"/>
    <w:rsid w:val="246E59A6"/>
    <w:rsid w:val="24852301"/>
    <w:rsid w:val="249A030A"/>
    <w:rsid w:val="24BF09F7"/>
    <w:rsid w:val="24C04FDC"/>
    <w:rsid w:val="24D17CD5"/>
    <w:rsid w:val="24DC78B8"/>
    <w:rsid w:val="24DD0CC3"/>
    <w:rsid w:val="24E33DC2"/>
    <w:rsid w:val="24E36FEC"/>
    <w:rsid w:val="24E43ADC"/>
    <w:rsid w:val="24E937BE"/>
    <w:rsid w:val="24EA5C2C"/>
    <w:rsid w:val="252D53FE"/>
    <w:rsid w:val="25466C1E"/>
    <w:rsid w:val="254D3533"/>
    <w:rsid w:val="25545324"/>
    <w:rsid w:val="25706A02"/>
    <w:rsid w:val="25743FC3"/>
    <w:rsid w:val="257A6505"/>
    <w:rsid w:val="258C4EBE"/>
    <w:rsid w:val="25946D3B"/>
    <w:rsid w:val="259A196D"/>
    <w:rsid w:val="25BC6EC6"/>
    <w:rsid w:val="25CF7DAE"/>
    <w:rsid w:val="25D456C7"/>
    <w:rsid w:val="25EC2D81"/>
    <w:rsid w:val="25FC69B1"/>
    <w:rsid w:val="26044107"/>
    <w:rsid w:val="26064C71"/>
    <w:rsid w:val="263234A3"/>
    <w:rsid w:val="263810F1"/>
    <w:rsid w:val="263E2EA2"/>
    <w:rsid w:val="2665408D"/>
    <w:rsid w:val="267563FA"/>
    <w:rsid w:val="26A12420"/>
    <w:rsid w:val="26A7416C"/>
    <w:rsid w:val="26B61A14"/>
    <w:rsid w:val="273378F4"/>
    <w:rsid w:val="276848D7"/>
    <w:rsid w:val="277057A2"/>
    <w:rsid w:val="278A3680"/>
    <w:rsid w:val="27C541DD"/>
    <w:rsid w:val="27E52900"/>
    <w:rsid w:val="280C6C87"/>
    <w:rsid w:val="281C32A9"/>
    <w:rsid w:val="281E474C"/>
    <w:rsid w:val="28230AC5"/>
    <w:rsid w:val="284657F9"/>
    <w:rsid w:val="28695D30"/>
    <w:rsid w:val="287D1F4F"/>
    <w:rsid w:val="28964FEA"/>
    <w:rsid w:val="28F81CE5"/>
    <w:rsid w:val="29022A8F"/>
    <w:rsid w:val="290D06FC"/>
    <w:rsid w:val="2914061D"/>
    <w:rsid w:val="29206EB8"/>
    <w:rsid w:val="2953641F"/>
    <w:rsid w:val="29595666"/>
    <w:rsid w:val="2977071A"/>
    <w:rsid w:val="297735AE"/>
    <w:rsid w:val="29874881"/>
    <w:rsid w:val="29990DA5"/>
    <w:rsid w:val="29A20691"/>
    <w:rsid w:val="29A44ECD"/>
    <w:rsid w:val="29B771BE"/>
    <w:rsid w:val="29E325E0"/>
    <w:rsid w:val="2A0B0AA8"/>
    <w:rsid w:val="2A0B3764"/>
    <w:rsid w:val="2A3D2278"/>
    <w:rsid w:val="2A452503"/>
    <w:rsid w:val="2A5844A3"/>
    <w:rsid w:val="2A591196"/>
    <w:rsid w:val="2A8A407E"/>
    <w:rsid w:val="2AC333F1"/>
    <w:rsid w:val="2B097912"/>
    <w:rsid w:val="2B230073"/>
    <w:rsid w:val="2B253B3A"/>
    <w:rsid w:val="2B381D70"/>
    <w:rsid w:val="2B900F4A"/>
    <w:rsid w:val="2B943AA2"/>
    <w:rsid w:val="2BA936A8"/>
    <w:rsid w:val="2BAA24E2"/>
    <w:rsid w:val="2BC926E0"/>
    <w:rsid w:val="2BC96E6C"/>
    <w:rsid w:val="2BCF2A55"/>
    <w:rsid w:val="2BCF6CEB"/>
    <w:rsid w:val="2BD804A6"/>
    <w:rsid w:val="2BE57569"/>
    <w:rsid w:val="2BF74D27"/>
    <w:rsid w:val="2C2879BD"/>
    <w:rsid w:val="2C315A5A"/>
    <w:rsid w:val="2C325C5E"/>
    <w:rsid w:val="2C495EEA"/>
    <w:rsid w:val="2C4B1C25"/>
    <w:rsid w:val="2C4E1416"/>
    <w:rsid w:val="2C5A06A9"/>
    <w:rsid w:val="2C77400A"/>
    <w:rsid w:val="2CA67E79"/>
    <w:rsid w:val="2CA8512D"/>
    <w:rsid w:val="2CAE76A7"/>
    <w:rsid w:val="2CB516E9"/>
    <w:rsid w:val="2CDF621C"/>
    <w:rsid w:val="2CE850D0"/>
    <w:rsid w:val="2CEC5002"/>
    <w:rsid w:val="2CFC7029"/>
    <w:rsid w:val="2D012636"/>
    <w:rsid w:val="2D0F7EC8"/>
    <w:rsid w:val="2D27751E"/>
    <w:rsid w:val="2D2A393B"/>
    <w:rsid w:val="2D372031"/>
    <w:rsid w:val="2D3A0392"/>
    <w:rsid w:val="2D410C84"/>
    <w:rsid w:val="2D6505A3"/>
    <w:rsid w:val="2D683439"/>
    <w:rsid w:val="2D760839"/>
    <w:rsid w:val="2D7A57D8"/>
    <w:rsid w:val="2D9937B4"/>
    <w:rsid w:val="2D9E56F5"/>
    <w:rsid w:val="2DB86539"/>
    <w:rsid w:val="2DC1677B"/>
    <w:rsid w:val="2DCC49F2"/>
    <w:rsid w:val="2E054A00"/>
    <w:rsid w:val="2E084045"/>
    <w:rsid w:val="2E41165F"/>
    <w:rsid w:val="2E520957"/>
    <w:rsid w:val="2E5A402A"/>
    <w:rsid w:val="2E667F96"/>
    <w:rsid w:val="2E783F54"/>
    <w:rsid w:val="2E7D6405"/>
    <w:rsid w:val="2E8226AB"/>
    <w:rsid w:val="2E8472A4"/>
    <w:rsid w:val="2E9020F8"/>
    <w:rsid w:val="2E96754F"/>
    <w:rsid w:val="2EA342EC"/>
    <w:rsid w:val="2EA4771D"/>
    <w:rsid w:val="2EA72D69"/>
    <w:rsid w:val="2EB977AC"/>
    <w:rsid w:val="2EBF5A34"/>
    <w:rsid w:val="2ED73C87"/>
    <w:rsid w:val="2EE13C88"/>
    <w:rsid w:val="2EE43FBD"/>
    <w:rsid w:val="2EF33CF3"/>
    <w:rsid w:val="2F1E302B"/>
    <w:rsid w:val="2F221140"/>
    <w:rsid w:val="2F2C6398"/>
    <w:rsid w:val="2F651149"/>
    <w:rsid w:val="2F8D1866"/>
    <w:rsid w:val="2FC11891"/>
    <w:rsid w:val="2FD065E6"/>
    <w:rsid w:val="2FD96870"/>
    <w:rsid w:val="2FE1062C"/>
    <w:rsid w:val="2FE43947"/>
    <w:rsid w:val="2FE45139"/>
    <w:rsid w:val="2FE57FED"/>
    <w:rsid w:val="3038136C"/>
    <w:rsid w:val="30405EFE"/>
    <w:rsid w:val="304165B4"/>
    <w:rsid w:val="305529D1"/>
    <w:rsid w:val="30580BC9"/>
    <w:rsid w:val="307A6947"/>
    <w:rsid w:val="30894E1C"/>
    <w:rsid w:val="30C916BD"/>
    <w:rsid w:val="30E11138"/>
    <w:rsid w:val="30F01E24"/>
    <w:rsid w:val="31033E44"/>
    <w:rsid w:val="311E2ED7"/>
    <w:rsid w:val="312C4297"/>
    <w:rsid w:val="31365CDD"/>
    <w:rsid w:val="3138297C"/>
    <w:rsid w:val="314B3E80"/>
    <w:rsid w:val="314D19A6"/>
    <w:rsid w:val="315619EE"/>
    <w:rsid w:val="315C449C"/>
    <w:rsid w:val="319861AF"/>
    <w:rsid w:val="31B56C20"/>
    <w:rsid w:val="31B82709"/>
    <w:rsid w:val="31BC55E5"/>
    <w:rsid w:val="31CB5888"/>
    <w:rsid w:val="31CC3212"/>
    <w:rsid w:val="31D05482"/>
    <w:rsid w:val="31D33BDE"/>
    <w:rsid w:val="322A16DC"/>
    <w:rsid w:val="322C4F5E"/>
    <w:rsid w:val="32400B34"/>
    <w:rsid w:val="32487D2D"/>
    <w:rsid w:val="324F56C3"/>
    <w:rsid w:val="325223B2"/>
    <w:rsid w:val="32522AEB"/>
    <w:rsid w:val="32975FA8"/>
    <w:rsid w:val="329E6876"/>
    <w:rsid w:val="32A008BB"/>
    <w:rsid w:val="32B4098D"/>
    <w:rsid w:val="32BB17B7"/>
    <w:rsid w:val="32BF7827"/>
    <w:rsid w:val="32F402FF"/>
    <w:rsid w:val="33230FCE"/>
    <w:rsid w:val="333015F2"/>
    <w:rsid w:val="334B6320"/>
    <w:rsid w:val="33564236"/>
    <w:rsid w:val="3361798A"/>
    <w:rsid w:val="33796687"/>
    <w:rsid w:val="339733AC"/>
    <w:rsid w:val="339E6ED8"/>
    <w:rsid w:val="33AD497E"/>
    <w:rsid w:val="33BF3B58"/>
    <w:rsid w:val="33C04CC0"/>
    <w:rsid w:val="33C171D3"/>
    <w:rsid w:val="33D934D4"/>
    <w:rsid w:val="33DF725C"/>
    <w:rsid w:val="33EA096D"/>
    <w:rsid w:val="33FE2F6A"/>
    <w:rsid w:val="340A3A3E"/>
    <w:rsid w:val="340E07E5"/>
    <w:rsid w:val="34163603"/>
    <w:rsid w:val="34235BF7"/>
    <w:rsid w:val="343378A0"/>
    <w:rsid w:val="343C3883"/>
    <w:rsid w:val="343E65D2"/>
    <w:rsid w:val="34476B80"/>
    <w:rsid w:val="344C5A5B"/>
    <w:rsid w:val="34696745"/>
    <w:rsid w:val="346B5F41"/>
    <w:rsid w:val="34BB756E"/>
    <w:rsid w:val="34C91C0B"/>
    <w:rsid w:val="34D421AF"/>
    <w:rsid w:val="34FF4A9D"/>
    <w:rsid w:val="352260F8"/>
    <w:rsid w:val="35230E90"/>
    <w:rsid w:val="35265EB6"/>
    <w:rsid w:val="35300A8B"/>
    <w:rsid w:val="35343375"/>
    <w:rsid w:val="35380B97"/>
    <w:rsid w:val="353E4CB7"/>
    <w:rsid w:val="353F67B6"/>
    <w:rsid w:val="354D466A"/>
    <w:rsid w:val="358C5FA8"/>
    <w:rsid w:val="35AF355C"/>
    <w:rsid w:val="35BA1419"/>
    <w:rsid w:val="35C15DF1"/>
    <w:rsid w:val="35C45F10"/>
    <w:rsid w:val="35FE5964"/>
    <w:rsid w:val="36074A7F"/>
    <w:rsid w:val="360B23CB"/>
    <w:rsid w:val="363506C2"/>
    <w:rsid w:val="36390619"/>
    <w:rsid w:val="36535AB0"/>
    <w:rsid w:val="36822194"/>
    <w:rsid w:val="36923549"/>
    <w:rsid w:val="369577EC"/>
    <w:rsid w:val="369B443A"/>
    <w:rsid w:val="369D5528"/>
    <w:rsid w:val="36B75FBF"/>
    <w:rsid w:val="36BC434F"/>
    <w:rsid w:val="36BD0C45"/>
    <w:rsid w:val="36E11AC5"/>
    <w:rsid w:val="36F171AD"/>
    <w:rsid w:val="36F663F6"/>
    <w:rsid w:val="36FB381F"/>
    <w:rsid w:val="375113BB"/>
    <w:rsid w:val="375A67BB"/>
    <w:rsid w:val="375C1259"/>
    <w:rsid w:val="377C6F7F"/>
    <w:rsid w:val="378835D1"/>
    <w:rsid w:val="378D1B76"/>
    <w:rsid w:val="37B17570"/>
    <w:rsid w:val="37C4498C"/>
    <w:rsid w:val="37D01DD2"/>
    <w:rsid w:val="37D116ED"/>
    <w:rsid w:val="37D83F93"/>
    <w:rsid w:val="37E00298"/>
    <w:rsid w:val="37E1553E"/>
    <w:rsid w:val="37F51809"/>
    <w:rsid w:val="37FE7E9E"/>
    <w:rsid w:val="38047C2B"/>
    <w:rsid w:val="380A6EAB"/>
    <w:rsid w:val="383A3AD6"/>
    <w:rsid w:val="384331AD"/>
    <w:rsid w:val="38593326"/>
    <w:rsid w:val="38726196"/>
    <w:rsid w:val="3884161F"/>
    <w:rsid w:val="388C6629"/>
    <w:rsid w:val="388D79E3"/>
    <w:rsid w:val="38922DC8"/>
    <w:rsid w:val="38AB7AEC"/>
    <w:rsid w:val="38B302F9"/>
    <w:rsid w:val="38C30CC1"/>
    <w:rsid w:val="38F12CD3"/>
    <w:rsid w:val="38F94775"/>
    <w:rsid w:val="39137979"/>
    <w:rsid w:val="3918546B"/>
    <w:rsid w:val="39186D3D"/>
    <w:rsid w:val="392971ED"/>
    <w:rsid w:val="39325651"/>
    <w:rsid w:val="39374EE1"/>
    <w:rsid w:val="393D67A4"/>
    <w:rsid w:val="39673A8E"/>
    <w:rsid w:val="396D3CA1"/>
    <w:rsid w:val="397B3CE4"/>
    <w:rsid w:val="399A62CC"/>
    <w:rsid w:val="399D5494"/>
    <w:rsid w:val="39B14E7A"/>
    <w:rsid w:val="39CC5010"/>
    <w:rsid w:val="39E430C3"/>
    <w:rsid w:val="39E70516"/>
    <w:rsid w:val="39EE7A9E"/>
    <w:rsid w:val="3A002A5F"/>
    <w:rsid w:val="3A03179B"/>
    <w:rsid w:val="3A0D2BB1"/>
    <w:rsid w:val="3A2160C5"/>
    <w:rsid w:val="3A2775BC"/>
    <w:rsid w:val="3A322302"/>
    <w:rsid w:val="3A4A561C"/>
    <w:rsid w:val="3A502507"/>
    <w:rsid w:val="3A872856"/>
    <w:rsid w:val="3A9E281D"/>
    <w:rsid w:val="3AB97A11"/>
    <w:rsid w:val="3AC95A09"/>
    <w:rsid w:val="3ACC19E6"/>
    <w:rsid w:val="3ACE0335"/>
    <w:rsid w:val="3AEB385A"/>
    <w:rsid w:val="3AF439D1"/>
    <w:rsid w:val="3AF50388"/>
    <w:rsid w:val="3B2A3D23"/>
    <w:rsid w:val="3B2D3E6E"/>
    <w:rsid w:val="3B3275EC"/>
    <w:rsid w:val="3B3763D1"/>
    <w:rsid w:val="3B624E48"/>
    <w:rsid w:val="3B784DB9"/>
    <w:rsid w:val="3B8927B8"/>
    <w:rsid w:val="3BB34319"/>
    <w:rsid w:val="3BD504B1"/>
    <w:rsid w:val="3BDA6978"/>
    <w:rsid w:val="3BEF02AE"/>
    <w:rsid w:val="3C011D0B"/>
    <w:rsid w:val="3C0B7D54"/>
    <w:rsid w:val="3C2F6E1E"/>
    <w:rsid w:val="3C300842"/>
    <w:rsid w:val="3C333E8E"/>
    <w:rsid w:val="3C341EBC"/>
    <w:rsid w:val="3C4D4EF4"/>
    <w:rsid w:val="3C4F64BA"/>
    <w:rsid w:val="3C4F6F1A"/>
    <w:rsid w:val="3C51142E"/>
    <w:rsid w:val="3C511A61"/>
    <w:rsid w:val="3C8755D4"/>
    <w:rsid w:val="3C882D25"/>
    <w:rsid w:val="3C8B4E0C"/>
    <w:rsid w:val="3C9C35B9"/>
    <w:rsid w:val="3CA47CBF"/>
    <w:rsid w:val="3CBB6755"/>
    <w:rsid w:val="3CBE5E4E"/>
    <w:rsid w:val="3CDA245A"/>
    <w:rsid w:val="3D1E06B7"/>
    <w:rsid w:val="3D232155"/>
    <w:rsid w:val="3D4D47C3"/>
    <w:rsid w:val="3D5210BB"/>
    <w:rsid w:val="3D5243D5"/>
    <w:rsid w:val="3D6019DB"/>
    <w:rsid w:val="3D8965B6"/>
    <w:rsid w:val="3D8A4A41"/>
    <w:rsid w:val="3D8A71EE"/>
    <w:rsid w:val="3D8C2AD2"/>
    <w:rsid w:val="3D9F260D"/>
    <w:rsid w:val="3DE010CB"/>
    <w:rsid w:val="3DF67F84"/>
    <w:rsid w:val="3DFC5847"/>
    <w:rsid w:val="3E231887"/>
    <w:rsid w:val="3E342725"/>
    <w:rsid w:val="3E4164F2"/>
    <w:rsid w:val="3E562664"/>
    <w:rsid w:val="3E5D4E6C"/>
    <w:rsid w:val="3E756428"/>
    <w:rsid w:val="3E866AE9"/>
    <w:rsid w:val="3EA63D2F"/>
    <w:rsid w:val="3EB876E9"/>
    <w:rsid w:val="3EDA0523"/>
    <w:rsid w:val="3EE36C23"/>
    <w:rsid w:val="3F452F96"/>
    <w:rsid w:val="3F4B7DCF"/>
    <w:rsid w:val="3F530DF5"/>
    <w:rsid w:val="3F5C3150"/>
    <w:rsid w:val="3F612AFC"/>
    <w:rsid w:val="3F645CCE"/>
    <w:rsid w:val="3F7951E3"/>
    <w:rsid w:val="3FCA02CF"/>
    <w:rsid w:val="3FD017EB"/>
    <w:rsid w:val="3FEF0668"/>
    <w:rsid w:val="3FF473ED"/>
    <w:rsid w:val="4014495C"/>
    <w:rsid w:val="4017068F"/>
    <w:rsid w:val="40265BEA"/>
    <w:rsid w:val="402E3DB6"/>
    <w:rsid w:val="404843AC"/>
    <w:rsid w:val="404E2308"/>
    <w:rsid w:val="40583CF2"/>
    <w:rsid w:val="407A6407"/>
    <w:rsid w:val="40813643"/>
    <w:rsid w:val="408F0965"/>
    <w:rsid w:val="40A47108"/>
    <w:rsid w:val="40A50896"/>
    <w:rsid w:val="41070669"/>
    <w:rsid w:val="41300BC1"/>
    <w:rsid w:val="4146530E"/>
    <w:rsid w:val="414945AA"/>
    <w:rsid w:val="415A481E"/>
    <w:rsid w:val="41620B9E"/>
    <w:rsid w:val="418C7A69"/>
    <w:rsid w:val="41B5529A"/>
    <w:rsid w:val="41B9630E"/>
    <w:rsid w:val="41FA40EF"/>
    <w:rsid w:val="4200449D"/>
    <w:rsid w:val="420B2551"/>
    <w:rsid w:val="42126458"/>
    <w:rsid w:val="421A4018"/>
    <w:rsid w:val="422B1CF5"/>
    <w:rsid w:val="423A3BCC"/>
    <w:rsid w:val="424E57D2"/>
    <w:rsid w:val="426265A9"/>
    <w:rsid w:val="42641241"/>
    <w:rsid w:val="429B4AB5"/>
    <w:rsid w:val="42B26C49"/>
    <w:rsid w:val="42C122F6"/>
    <w:rsid w:val="42C27294"/>
    <w:rsid w:val="42D27F5D"/>
    <w:rsid w:val="42F17120"/>
    <w:rsid w:val="42F425C9"/>
    <w:rsid w:val="42F8373B"/>
    <w:rsid w:val="42F95C65"/>
    <w:rsid w:val="432701F2"/>
    <w:rsid w:val="433A6FE6"/>
    <w:rsid w:val="43421237"/>
    <w:rsid w:val="43480868"/>
    <w:rsid w:val="4350713C"/>
    <w:rsid w:val="43644794"/>
    <w:rsid w:val="43655CC1"/>
    <w:rsid w:val="436653E0"/>
    <w:rsid w:val="436C56A3"/>
    <w:rsid w:val="437F78FC"/>
    <w:rsid w:val="43C4431A"/>
    <w:rsid w:val="43EC2FD6"/>
    <w:rsid w:val="43FA47E5"/>
    <w:rsid w:val="44157B28"/>
    <w:rsid w:val="44336EA9"/>
    <w:rsid w:val="44386F13"/>
    <w:rsid w:val="443961BC"/>
    <w:rsid w:val="443E53F4"/>
    <w:rsid w:val="445D6F53"/>
    <w:rsid w:val="4479731C"/>
    <w:rsid w:val="44823859"/>
    <w:rsid w:val="449661F2"/>
    <w:rsid w:val="44B951CC"/>
    <w:rsid w:val="44CD14E0"/>
    <w:rsid w:val="44ED5B18"/>
    <w:rsid w:val="44F20B0B"/>
    <w:rsid w:val="44FF1EE1"/>
    <w:rsid w:val="452E5F4C"/>
    <w:rsid w:val="45612018"/>
    <w:rsid w:val="456A5A1B"/>
    <w:rsid w:val="457B5205"/>
    <w:rsid w:val="458946E9"/>
    <w:rsid w:val="45896D96"/>
    <w:rsid w:val="459D6377"/>
    <w:rsid w:val="45A47C0E"/>
    <w:rsid w:val="45AC607A"/>
    <w:rsid w:val="45D8763E"/>
    <w:rsid w:val="464D1829"/>
    <w:rsid w:val="46577FD6"/>
    <w:rsid w:val="465A435A"/>
    <w:rsid w:val="46715CDF"/>
    <w:rsid w:val="46716CA4"/>
    <w:rsid w:val="46816072"/>
    <w:rsid w:val="46835F82"/>
    <w:rsid w:val="46A14816"/>
    <w:rsid w:val="46BF1452"/>
    <w:rsid w:val="46D955A7"/>
    <w:rsid w:val="46DB1CFC"/>
    <w:rsid w:val="46F03838"/>
    <w:rsid w:val="46F85C3C"/>
    <w:rsid w:val="46FD7572"/>
    <w:rsid w:val="470850E1"/>
    <w:rsid w:val="47133957"/>
    <w:rsid w:val="473474C9"/>
    <w:rsid w:val="4751250D"/>
    <w:rsid w:val="476615BC"/>
    <w:rsid w:val="476A5F09"/>
    <w:rsid w:val="47976055"/>
    <w:rsid w:val="47A07E0C"/>
    <w:rsid w:val="47B440D5"/>
    <w:rsid w:val="47C00B3A"/>
    <w:rsid w:val="47C7730F"/>
    <w:rsid w:val="47EE5820"/>
    <w:rsid w:val="47F55A08"/>
    <w:rsid w:val="47F646ED"/>
    <w:rsid w:val="480C3F44"/>
    <w:rsid w:val="480D1B18"/>
    <w:rsid w:val="4870272E"/>
    <w:rsid w:val="487B7DD3"/>
    <w:rsid w:val="487C4D54"/>
    <w:rsid w:val="48873C32"/>
    <w:rsid w:val="4895694F"/>
    <w:rsid w:val="48BE229C"/>
    <w:rsid w:val="48C06AA9"/>
    <w:rsid w:val="48D7702C"/>
    <w:rsid w:val="48F9480D"/>
    <w:rsid w:val="491B0A04"/>
    <w:rsid w:val="491F5F40"/>
    <w:rsid w:val="4978521B"/>
    <w:rsid w:val="497F6C1B"/>
    <w:rsid w:val="49900B72"/>
    <w:rsid w:val="49983D74"/>
    <w:rsid w:val="49B15CB2"/>
    <w:rsid w:val="49BB7FFD"/>
    <w:rsid w:val="49BE33C3"/>
    <w:rsid w:val="49C65774"/>
    <w:rsid w:val="49D15412"/>
    <w:rsid w:val="49D663FD"/>
    <w:rsid w:val="49DC7715"/>
    <w:rsid w:val="49DE76CD"/>
    <w:rsid w:val="49DF2E48"/>
    <w:rsid w:val="49E0289D"/>
    <w:rsid w:val="49F7299F"/>
    <w:rsid w:val="4A023139"/>
    <w:rsid w:val="4A29327C"/>
    <w:rsid w:val="4A2F038B"/>
    <w:rsid w:val="4A7B576F"/>
    <w:rsid w:val="4AB76106"/>
    <w:rsid w:val="4AF561A9"/>
    <w:rsid w:val="4B025B6F"/>
    <w:rsid w:val="4B041325"/>
    <w:rsid w:val="4B1530DD"/>
    <w:rsid w:val="4B8B32F4"/>
    <w:rsid w:val="4BA71825"/>
    <w:rsid w:val="4BB24DCF"/>
    <w:rsid w:val="4BBF4325"/>
    <w:rsid w:val="4BDF5CB0"/>
    <w:rsid w:val="4BE92FC6"/>
    <w:rsid w:val="4BF52F0E"/>
    <w:rsid w:val="4C204B15"/>
    <w:rsid w:val="4C3F1BF5"/>
    <w:rsid w:val="4C4A0649"/>
    <w:rsid w:val="4C5F51E4"/>
    <w:rsid w:val="4C674719"/>
    <w:rsid w:val="4C7E5ECA"/>
    <w:rsid w:val="4C876AA5"/>
    <w:rsid w:val="4CA53B59"/>
    <w:rsid w:val="4CAD48B8"/>
    <w:rsid w:val="4CB612FA"/>
    <w:rsid w:val="4CC033C3"/>
    <w:rsid w:val="4CC43D82"/>
    <w:rsid w:val="4CFC07D3"/>
    <w:rsid w:val="4D021D86"/>
    <w:rsid w:val="4D0E00FB"/>
    <w:rsid w:val="4D176606"/>
    <w:rsid w:val="4D2211D8"/>
    <w:rsid w:val="4D28735E"/>
    <w:rsid w:val="4D3632F4"/>
    <w:rsid w:val="4D4825C1"/>
    <w:rsid w:val="4D4E3827"/>
    <w:rsid w:val="4D926C66"/>
    <w:rsid w:val="4DA51447"/>
    <w:rsid w:val="4DA76F10"/>
    <w:rsid w:val="4DB1243D"/>
    <w:rsid w:val="4DEC4FB0"/>
    <w:rsid w:val="4E075D8A"/>
    <w:rsid w:val="4E1418BB"/>
    <w:rsid w:val="4E197388"/>
    <w:rsid w:val="4E27229A"/>
    <w:rsid w:val="4E303152"/>
    <w:rsid w:val="4E3D0E73"/>
    <w:rsid w:val="4E4808CB"/>
    <w:rsid w:val="4E7820C0"/>
    <w:rsid w:val="4E846181"/>
    <w:rsid w:val="4EC00FAD"/>
    <w:rsid w:val="4ECD6362"/>
    <w:rsid w:val="4ED24F7C"/>
    <w:rsid w:val="4F0A4F22"/>
    <w:rsid w:val="4F0C1C1A"/>
    <w:rsid w:val="4F1C32F2"/>
    <w:rsid w:val="4F357060"/>
    <w:rsid w:val="4F5D1742"/>
    <w:rsid w:val="4F61480C"/>
    <w:rsid w:val="4F6F31D1"/>
    <w:rsid w:val="4F846A83"/>
    <w:rsid w:val="4F9843DC"/>
    <w:rsid w:val="4FB629B4"/>
    <w:rsid w:val="4FC62A8C"/>
    <w:rsid w:val="4FC93F80"/>
    <w:rsid w:val="4FE04F4D"/>
    <w:rsid w:val="4FE20F0D"/>
    <w:rsid w:val="4FE51552"/>
    <w:rsid w:val="500C123A"/>
    <w:rsid w:val="501C59C5"/>
    <w:rsid w:val="503142D2"/>
    <w:rsid w:val="50504C4B"/>
    <w:rsid w:val="505416D5"/>
    <w:rsid w:val="50592A94"/>
    <w:rsid w:val="506B379F"/>
    <w:rsid w:val="50956811"/>
    <w:rsid w:val="509C6E7C"/>
    <w:rsid w:val="50EA01F8"/>
    <w:rsid w:val="511D0F3D"/>
    <w:rsid w:val="51565E3F"/>
    <w:rsid w:val="5162104E"/>
    <w:rsid w:val="516F7DCA"/>
    <w:rsid w:val="5174046D"/>
    <w:rsid w:val="517B5A61"/>
    <w:rsid w:val="51846DF9"/>
    <w:rsid w:val="518B3AC8"/>
    <w:rsid w:val="519740D0"/>
    <w:rsid w:val="519F60E0"/>
    <w:rsid w:val="51A033F5"/>
    <w:rsid w:val="51AE1E69"/>
    <w:rsid w:val="51AF1271"/>
    <w:rsid w:val="51B16EB1"/>
    <w:rsid w:val="51C726F9"/>
    <w:rsid w:val="51F15F26"/>
    <w:rsid w:val="52036385"/>
    <w:rsid w:val="521D73DE"/>
    <w:rsid w:val="522C1E75"/>
    <w:rsid w:val="52733715"/>
    <w:rsid w:val="527C6137"/>
    <w:rsid w:val="52A628D0"/>
    <w:rsid w:val="52AB4326"/>
    <w:rsid w:val="52AC2855"/>
    <w:rsid w:val="52B96E6E"/>
    <w:rsid w:val="52D352D4"/>
    <w:rsid w:val="530764FC"/>
    <w:rsid w:val="536F0A75"/>
    <w:rsid w:val="537D3427"/>
    <w:rsid w:val="53A039CC"/>
    <w:rsid w:val="53A1505A"/>
    <w:rsid w:val="53D91484"/>
    <w:rsid w:val="53D97B09"/>
    <w:rsid w:val="53EA0BEA"/>
    <w:rsid w:val="54063E08"/>
    <w:rsid w:val="542C53F7"/>
    <w:rsid w:val="543437E8"/>
    <w:rsid w:val="547075D6"/>
    <w:rsid w:val="5472341A"/>
    <w:rsid w:val="54754727"/>
    <w:rsid w:val="54A831CB"/>
    <w:rsid w:val="54AC1A15"/>
    <w:rsid w:val="54B301BB"/>
    <w:rsid w:val="54BD4DF3"/>
    <w:rsid w:val="54F73313"/>
    <w:rsid w:val="54F80955"/>
    <w:rsid w:val="54F80959"/>
    <w:rsid w:val="55124B31"/>
    <w:rsid w:val="5514456A"/>
    <w:rsid w:val="55164368"/>
    <w:rsid w:val="551C5269"/>
    <w:rsid w:val="552D5837"/>
    <w:rsid w:val="553B06B4"/>
    <w:rsid w:val="553D1BAE"/>
    <w:rsid w:val="555170A7"/>
    <w:rsid w:val="5560589C"/>
    <w:rsid w:val="55802582"/>
    <w:rsid w:val="5587536D"/>
    <w:rsid w:val="559B174B"/>
    <w:rsid w:val="55AD7E36"/>
    <w:rsid w:val="55CE0CF4"/>
    <w:rsid w:val="55D9187E"/>
    <w:rsid w:val="55FF4903"/>
    <w:rsid w:val="56123B09"/>
    <w:rsid w:val="56402C2D"/>
    <w:rsid w:val="56793E58"/>
    <w:rsid w:val="568B4B9B"/>
    <w:rsid w:val="5693011B"/>
    <w:rsid w:val="569D4F9B"/>
    <w:rsid w:val="56A71BE0"/>
    <w:rsid w:val="56B05D52"/>
    <w:rsid w:val="56B22A9C"/>
    <w:rsid w:val="56B6169A"/>
    <w:rsid w:val="56B8358B"/>
    <w:rsid w:val="56C41BB2"/>
    <w:rsid w:val="56D77B93"/>
    <w:rsid w:val="56E52D6F"/>
    <w:rsid w:val="571B13F2"/>
    <w:rsid w:val="572B0E7F"/>
    <w:rsid w:val="575C50C1"/>
    <w:rsid w:val="57A85B42"/>
    <w:rsid w:val="57B72A76"/>
    <w:rsid w:val="57C3426C"/>
    <w:rsid w:val="57CA51BB"/>
    <w:rsid w:val="57CE1F93"/>
    <w:rsid w:val="57D67297"/>
    <w:rsid w:val="58016B55"/>
    <w:rsid w:val="580526D3"/>
    <w:rsid w:val="58091D2B"/>
    <w:rsid w:val="58356951"/>
    <w:rsid w:val="585363BA"/>
    <w:rsid w:val="585D090B"/>
    <w:rsid w:val="5878114F"/>
    <w:rsid w:val="587F428B"/>
    <w:rsid w:val="588743D1"/>
    <w:rsid w:val="5887701A"/>
    <w:rsid w:val="588E2720"/>
    <w:rsid w:val="58931AE5"/>
    <w:rsid w:val="58976D88"/>
    <w:rsid w:val="589866DF"/>
    <w:rsid w:val="58AB32D2"/>
    <w:rsid w:val="58B33F35"/>
    <w:rsid w:val="58BA17E7"/>
    <w:rsid w:val="58C01FAC"/>
    <w:rsid w:val="58E046AB"/>
    <w:rsid w:val="59114DD8"/>
    <w:rsid w:val="59253171"/>
    <w:rsid w:val="592E3D5C"/>
    <w:rsid w:val="59335911"/>
    <w:rsid w:val="593C1225"/>
    <w:rsid w:val="593E361E"/>
    <w:rsid w:val="59416157"/>
    <w:rsid w:val="594E5A91"/>
    <w:rsid w:val="59673487"/>
    <w:rsid w:val="597A6457"/>
    <w:rsid w:val="59972307"/>
    <w:rsid w:val="59A37131"/>
    <w:rsid w:val="59AD76DB"/>
    <w:rsid w:val="59C0439F"/>
    <w:rsid w:val="59CA7D81"/>
    <w:rsid w:val="59D34F0E"/>
    <w:rsid w:val="59E268EE"/>
    <w:rsid w:val="59E57756"/>
    <w:rsid w:val="59FB2037"/>
    <w:rsid w:val="5A032C9A"/>
    <w:rsid w:val="5A057C73"/>
    <w:rsid w:val="5A0A4028"/>
    <w:rsid w:val="5A180DDE"/>
    <w:rsid w:val="5A1B1443"/>
    <w:rsid w:val="5A225504"/>
    <w:rsid w:val="5A331DD7"/>
    <w:rsid w:val="5A381C96"/>
    <w:rsid w:val="5A475977"/>
    <w:rsid w:val="5A4E12CF"/>
    <w:rsid w:val="5A5831BD"/>
    <w:rsid w:val="5A904663"/>
    <w:rsid w:val="5A9658BC"/>
    <w:rsid w:val="5AAE2C06"/>
    <w:rsid w:val="5AB73426"/>
    <w:rsid w:val="5ABE2233"/>
    <w:rsid w:val="5ACA4723"/>
    <w:rsid w:val="5AE47DEB"/>
    <w:rsid w:val="5AE66844"/>
    <w:rsid w:val="5B055CCD"/>
    <w:rsid w:val="5B0A68EC"/>
    <w:rsid w:val="5B195BE4"/>
    <w:rsid w:val="5B266D41"/>
    <w:rsid w:val="5B3E042E"/>
    <w:rsid w:val="5B4A2EA7"/>
    <w:rsid w:val="5B4D1B6B"/>
    <w:rsid w:val="5B5B518D"/>
    <w:rsid w:val="5B600CD0"/>
    <w:rsid w:val="5B6237DD"/>
    <w:rsid w:val="5B7976B8"/>
    <w:rsid w:val="5B970ED3"/>
    <w:rsid w:val="5BAB5694"/>
    <w:rsid w:val="5BAC17FA"/>
    <w:rsid w:val="5BBD1C05"/>
    <w:rsid w:val="5BD252CE"/>
    <w:rsid w:val="5BDF5D95"/>
    <w:rsid w:val="5BE857A5"/>
    <w:rsid w:val="5BFE52E4"/>
    <w:rsid w:val="5BFE7528"/>
    <w:rsid w:val="5C05719D"/>
    <w:rsid w:val="5C057404"/>
    <w:rsid w:val="5C1347D3"/>
    <w:rsid w:val="5C6A0700"/>
    <w:rsid w:val="5C8E7193"/>
    <w:rsid w:val="5CF163CC"/>
    <w:rsid w:val="5D0F2146"/>
    <w:rsid w:val="5D6924FF"/>
    <w:rsid w:val="5D7E5A6D"/>
    <w:rsid w:val="5D900CE9"/>
    <w:rsid w:val="5D932CA5"/>
    <w:rsid w:val="5DD85A85"/>
    <w:rsid w:val="5DDB1B75"/>
    <w:rsid w:val="5DEF24A4"/>
    <w:rsid w:val="5E2467F1"/>
    <w:rsid w:val="5E287B2F"/>
    <w:rsid w:val="5E577DA1"/>
    <w:rsid w:val="5E874B33"/>
    <w:rsid w:val="5EAF6B6D"/>
    <w:rsid w:val="5EE132B4"/>
    <w:rsid w:val="5EF157B7"/>
    <w:rsid w:val="5EFE6044"/>
    <w:rsid w:val="5F0A1B85"/>
    <w:rsid w:val="5F161CB0"/>
    <w:rsid w:val="5F1A2B43"/>
    <w:rsid w:val="5F1B3B63"/>
    <w:rsid w:val="5F235C82"/>
    <w:rsid w:val="5F451B02"/>
    <w:rsid w:val="5F510D7F"/>
    <w:rsid w:val="5F6412E9"/>
    <w:rsid w:val="5F8E6C88"/>
    <w:rsid w:val="5FB837BB"/>
    <w:rsid w:val="5FCB5012"/>
    <w:rsid w:val="5FE86000"/>
    <w:rsid w:val="5FF56B3E"/>
    <w:rsid w:val="600A3B58"/>
    <w:rsid w:val="60190CB5"/>
    <w:rsid w:val="601A0C87"/>
    <w:rsid w:val="6041546B"/>
    <w:rsid w:val="607C0319"/>
    <w:rsid w:val="60843976"/>
    <w:rsid w:val="60893180"/>
    <w:rsid w:val="608E0404"/>
    <w:rsid w:val="60A910C2"/>
    <w:rsid w:val="60CC405A"/>
    <w:rsid w:val="60FD7BB2"/>
    <w:rsid w:val="61081033"/>
    <w:rsid w:val="611124D3"/>
    <w:rsid w:val="614810BF"/>
    <w:rsid w:val="615C160D"/>
    <w:rsid w:val="615F691E"/>
    <w:rsid w:val="61771A3C"/>
    <w:rsid w:val="61830D56"/>
    <w:rsid w:val="618D5C6B"/>
    <w:rsid w:val="61AB256B"/>
    <w:rsid w:val="61CD250B"/>
    <w:rsid w:val="61E215D8"/>
    <w:rsid w:val="62073708"/>
    <w:rsid w:val="621B3775"/>
    <w:rsid w:val="621B47B3"/>
    <w:rsid w:val="62364782"/>
    <w:rsid w:val="6298624F"/>
    <w:rsid w:val="62A86D54"/>
    <w:rsid w:val="62B215C5"/>
    <w:rsid w:val="62BF1D31"/>
    <w:rsid w:val="62C855C8"/>
    <w:rsid w:val="62CA07F9"/>
    <w:rsid w:val="62D45E4F"/>
    <w:rsid w:val="6334599F"/>
    <w:rsid w:val="633E0363"/>
    <w:rsid w:val="633F186E"/>
    <w:rsid w:val="63414812"/>
    <w:rsid w:val="63696264"/>
    <w:rsid w:val="63744F99"/>
    <w:rsid w:val="639008DA"/>
    <w:rsid w:val="639375C1"/>
    <w:rsid w:val="6394356A"/>
    <w:rsid w:val="63946F67"/>
    <w:rsid w:val="63B15515"/>
    <w:rsid w:val="63BD6AE6"/>
    <w:rsid w:val="63C61B2C"/>
    <w:rsid w:val="63CF16C4"/>
    <w:rsid w:val="63D40BE9"/>
    <w:rsid w:val="63DF623B"/>
    <w:rsid w:val="63EC09F4"/>
    <w:rsid w:val="63EE680E"/>
    <w:rsid w:val="63F802C4"/>
    <w:rsid w:val="63FB3B19"/>
    <w:rsid w:val="64102431"/>
    <w:rsid w:val="641D05B5"/>
    <w:rsid w:val="642F4EBF"/>
    <w:rsid w:val="64430863"/>
    <w:rsid w:val="646537AC"/>
    <w:rsid w:val="64701E66"/>
    <w:rsid w:val="6491649F"/>
    <w:rsid w:val="64A37553"/>
    <w:rsid w:val="64A5243A"/>
    <w:rsid w:val="64A83460"/>
    <w:rsid w:val="64CA092A"/>
    <w:rsid w:val="64CE6550"/>
    <w:rsid w:val="64E2007C"/>
    <w:rsid w:val="64F531DE"/>
    <w:rsid w:val="6511677D"/>
    <w:rsid w:val="6516137B"/>
    <w:rsid w:val="651C4C58"/>
    <w:rsid w:val="65373578"/>
    <w:rsid w:val="655D0EA7"/>
    <w:rsid w:val="656C729B"/>
    <w:rsid w:val="657B3713"/>
    <w:rsid w:val="6587504E"/>
    <w:rsid w:val="65A75B21"/>
    <w:rsid w:val="65C46B3B"/>
    <w:rsid w:val="65C67202"/>
    <w:rsid w:val="65D34C6F"/>
    <w:rsid w:val="65E53BBA"/>
    <w:rsid w:val="660863A7"/>
    <w:rsid w:val="66352159"/>
    <w:rsid w:val="66377775"/>
    <w:rsid w:val="666176C6"/>
    <w:rsid w:val="666F24C2"/>
    <w:rsid w:val="66A5011D"/>
    <w:rsid w:val="66BC6BA8"/>
    <w:rsid w:val="66E549FB"/>
    <w:rsid w:val="66F715FA"/>
    <w:rsid w:val="671F124A"/>
    <w:rsid w:val="67472418"/>
    <w:rsid w:val="67527824"/>
    <w:rsid w:val="67550B21"/>
    <w:rsid w:val="677564BE"/>
    <w:rsid w:val="677A33C6"/>
    <w:rsid w:val="678656FF"/>
    <w:rsid w:val="679B7E37"/>
    <w:rsid w:val="67B22C7C"/>
    <w:rsid w:val="67D83339"/>
    <w:rsid w:val="67E8086F"/>
    <w:rsid w:val="680E7DD4"/>
    <w:rsid w:val="681C7057"/>
    <w:rsid w:val="681F6961"/>
    <w:rsid w:val="682269E1"/>
    <w:rsid w:val="68252AB1"/>
    <w:rsid w:val="682A5189"/>
    <w:rsid w:val="68610A2F"/>
    <w:rsid w:val="68711C95"/>
    <w:rsid w:val="68805514"/>
    <w:rsid w:val="68C92356"/>
    <w:rsid w:val="68F4265A"/>
    <w:rsid w:val="68FA4878"/>
    <w:rsid w:val="68FD41C8"/>
    <w:rsid w:val="69003677"/>
    <w:rsid w:val="69142D91"/>
    <w:rsid w:val="692B2F7A"/>
    <w:rsid w:val="69316E2F"/>
    <w:rsid w:val="694320DB"/>
    <w:rsid w:val="694C01BA"/>
    <w:rsid w:val="694E2071"/>
    <w:rsid w:val="696C2AA0"/>
    <w:rsid w:val="696D3ED3"/>
    <w:rsid w:val="697110C0"/>
    <w:rsid w:val="69766163"/>
    <w:rsid w:val="697A3B33"/>
    <w:rsid w:val="69AD259B"/>
    <w:rsid w:val="69AE2CDA"/>
    <w:rsid w:val="69BA6AE8"/>
    <w:rsid w:val="69D44760"/>
    <w:rsid w:val="69DA0212"/>
    <w:rsid w:val="69DA1BE5"/>
    <w:rsid w:val="69DE67C2"/>
    <w:rsid w:val="69E27E52"/>
    <w:rsid w:val="69EE44CE"/>
    <w:rsid w:val="6A01174F"/>
    <w:rsid w:val="6A054EE6"/>
    <w:rsid w:val="6A0A266E"/>
    <w:rsid w:val="6A1862EE"/>
    <w:rsid w:val="6A1C5DDE"/>
    <w:rsid w:val="6A2904FB"/>
    <w:rsid w:val="6A520EC7"/>
    <w:rsid w:val="6A7669A8"/>
    <w:rsid w:val="6A767F75"/>
    <w:rsid w:val="6A892D47"/>
    <w:rsid w:val="6AB13C81"/>
    <w:rsid w:val="6AC82CFF"/>
    <w:rsid w:val="6AF64881"/>
    <w:rsid w:val="6AF87E20"/>
    <w:rsid w:val="6B322639"/>
    <w:rsid w:val="6B350625"/>
    <w:rsid w:val="6B3B2FF9"/>
    <w:rsid w:val="6B6C4B43"/>
    <w:rsid w:val="6B9A6C28"/>
    <w:rsid w:val="6BB84E41"/>
    <w:rsid w:val="6BC41818"/>
    <w:rsid w:val="6BC654FC"/>
    <w:rsid w:val="6BC82B25"/>
    <w:rsid w:val="6BE32D45"/>
    <w:rsid w:val="6C0A28E7"/>
    <w:rsid w:val="6C3926ED"/>
    <w:rsid w:val="6C636C38"/>
    <w:rsid w:val="6C6B54DD"/>
    <w:rsid w:val="6C8E2897"/>
    <w:rsid w:val="6CA20B34"/>
    <w:rsid w:val="6CA3750C"/>
    <w:rsid w:val="6CB3620A"/>
    <w:rsid w:val="6D154D36"/>
    <w:rsid w:val="6D1C60F5"/>
    <w:rsid w:val="6D4F5008"/>
    <w:rsid w:val="6D622A81"/>
    <w:rsid w:val="6D8C30C1"/>
    <w:rsid w:val="6D8F0FFE"/>
    <w:rsid w:val="6D8F7B8A"/>
    <w:rsid w:val="6DAF2E1D"/>
    <w:rsid w:val="6DB34098"/>
    <w:rsid w:val="6DB45496"/>
    <w:rsid w:val="6DB545B6"/>
    <w:rsid w:val="6DCA5B51"/>
    <w:rsid w:val="6DD22159"/>
    <w:rsid w:val="6DD864C0"/>
    <w:rsid w:val="6DDC52CE"/>
    <w:rsid w:val="6DDE3992"/>
    <w:rsid w:val="6DE02FB4"/>
    <w:rsid w:val="6DE508A0"/>
    <w:rsid w:val="6E07419E"/>
    <w:rsid w:val="6E0A352C"/>
    <w:rsid w:val="6E1845F1"/>
    <w:rsid w:val="6E1B1666"/>
    <w:rsid w:val="6E225124"/>
    <w:rsid w:val="6E361B31"/>
    <w:rsid w:val="6E4770F5"/>
    <w:rsid w:val="6E514CED"/>
    <w:rsid w:val="6E5B484E"/>
    <w:rsid w:val="6E9440C2"/>
    <w:rsid w:val="6E9F40EE"/>
    <w:rsid w:val="6EB563D5"/>
    <w:rsid w:val="6EB60CF1"/>
    <w:rsid w:val="6ED92677"/>
    <w:rsid w:val="6EDA6267"/>
    <w:rsid w:val="6EE026C8"/>
    <w:rsid w:val="6EED6FAE"/>
    <w:rsid w:val="6EF92BBF"/>
    <w:rsid w:val="6F0B6D0F"/>
    <w:rsid w:val="6F1826CF"/>
    <w:rsid w:val="6F225983"/>
    <w:rsid w:val="6F351FBE"/>
    <w:rsid w:val="6F520EF1"/>
    <w:rsid w:val="6F5614BA"/>
    <w:rsid w:val="6F5B2CCE"/>
    <w:rsid w:val="6F6505DA"/>
    <w:rsid w:val="6F6D70DC"/>
    <w:rsid w:val="6F7F0102"/>
    <w:rsid w:val="6F914B78"/>
    <w:rsid w:val="6F990141"/>
    <w:rsid w:val="6FCA43E4"/>
    <w:rsid w:val="6FDC1B6B"/>
    <w:rsid w:val="6FF709D1"/>
    <w:rsid w:val="6FF87030"/>
    <w:rsid w:val="6FFC5590"/>
    <w:rsid w:val="70025A22"/>
    <w:rsid w:val="700C0AC4"/>
    <w:rsid w:val="70280B82"/>
    <w:rsid w:val="704223C1"/>
    <w:rsid w:val="70563120"/>
    <w:rsid w:val="70580F52"/>
    <w:rsid w:val="705F66D0"/>
    <w:rsid w:val="706D1DD0"/>
    <w:rsid w:val="70836184"/>
    <w:rsid w:val="70855E9E"/>
    <w:rsid w:val="70856B87"/>
    <w:rsid w:val="709656E2"/>
    <w:rsid w:val="70B36D70"/>
    <w:rsid w:val="70C9220F"/>
    <w:rsid w:val="70CD4043"/>
    <w:rsid w:val="70CF39A8"/>
    <w:rsid w:val="70D527EE"/>
    <w:rsid w:val="70F26CF1"/>
    <w:rsid w:val="710D4B66"/>
    <w:rsid w:val="711C33C6"/>
    <w:rsid w:val="71270F1E"/>
    <w:rsid w:val="7150636D"/>
    <w:rsid w:val="715B5300"/>
    <w:rsid w:val="71793359"/>
    <w:rsid w:val="719A3A8C"/>
    <w:rsid w:val="71AB06FA"/>
    <w:rsid w:val="71AE3447"/>
    <w:rsid w:val="71D27F8A"/>
    <w:rsid w:val="71E80233"/>
    <w:rsid w:val="71F95DB5"/>
    <w:rsid w:val="71FF7333"/>
    <w:rsid w:val="72055145"/>
    <w:rsid w:val="72434482"/>
    <w:rsid w:val="724C0875"/>
    <w:rsid w:val="72553024"/>
    <w:rsid w:val="72593EAE"/>
    <w:rsid w:val="727C693D"/>
    <w:rsid w:val="728541CD"/>
    <w:rsid w:val="729360C1"/>
    <w:rsid w:val="729D0617"/>
    <w:rsid w:val="72D8271C"/>
    <w:rsid w:val="73004E3A"/>
    <w:rsid w:val="73122968"/>
    <w:rsid w:val="731F5D5E"/>
    <w:rsid w:val="73283936"/>
    <w:rsid w:val="732C5B6B"/>
    <w:rsid w:val="73375A36"/>
    <w:rsid w:val="734A0F9C"/>
    <w:rsid w:val="735E0734"/>
    <w:rsid w:val="73746DD9"/>
    <w:rsid w:val="7379430D"/>
    <w:rsid w:val="737A4969"/>
    <w:rsid w:val="73865D2B"/>
    <w:rsid w:val="738D5656"/>
    <w:rsid w:val="73BC23E0"/>
    <w:rsid w:val="73C51AD5"/>
    <w:rsid w:val="73F45E4D"/>
    <w:rsid w:val="73FA185E"/>
    <w:rsid w:val="741E793C"/>
    <w:rsid w:val="74244483"/>
    <w:rsid w:val="74275812"/>
    <w:rsid w:val="743A5EBC"/>
    <w:rsid w:val="745E3944"/>
    <w:rsid w:val="7465790C"/>
    <w:rsid w:val="74782EBA"/>
    <w:rsid w:val="74A91C02"/>
    <w:rsid w:val="74A94EAA"/>
    <w:rsid w:val="74C56E8A"/>
    <w:rsid w:val="74E7348C"/>
    <w:rsid w:val="74F259FB"/>
    <w:rsid w:val="74F642D7"/>
    <w:rsid w:val="75032BE2"/>
    <w:rsid w:val="75272F16"/>
    <w:rsid w:val="753007A1"/>
    <w:rsid w:val="753949E3"/>
    <w:rsid w:val="754A3852"/>
    <w:rsid w:val="755558B0"/>
    <w:rsid w:val="7558063D"/>
    <w:rsid w:val="75643AD9"/>
    <w:rsid w:val="75AB0F3B"/>
    <w:rsid w:val="75C02620"/>
    <w:rsid w:val="75CE0A7A"/>
    <w:rsid w:val="75D20794"/>
    <w:rsid w:val="75EC2627"/>
    <w:rsid w:val="76066FA6"/>
    <w:rsid w:val="762967D9"/>
    <w:rsid w:val="7635099D"/>
    <w:rsid w:val="766034F6"/>
    <w:rsid w:val="76B82CAE"/>
    <w:rsid w:val="76BE72DE"/>
    <w:rsid w:val="76C43C71"/>
    <w:rsid w:val="76CC0B8C"/>
    <w:rsid w:val="76CF7D74"/>
    <w:rsid w:val="76D00978"/>
    <w:rsid w:val="77081EF8"/>
    <w:rsid w:val="77161A50"/>
    <w:rsid w:val="771639A1"/>
    <w:rsid w:val="775A1194"/>
    <w:rsid w:val="777027EC"/>
    <w:rsid w:val="77762421"/>
    <w:rsid w:val="777B1F7F"/>
    <w:rsid w:val="77881564"/>
    <w:rsid w:val="779C62FE"/>
    <w:rsid w:val="779D6084"/>
    <w:rsid w:val="77B56B1F"/>
    <w:rsid w:val="77F70009"/>
    <w:rsid w:val="780F09F4"/>
    <w:rsid w:val="7822192D"/>
    <w:rsid w:val="783D4581"/>
    <w:rsid w:val="78414B3A"/>
    <w:rsid w:val="78601D64"/>
    <w:rsid w:val="786923ED"/>
    <w:rsid w:val="787B336D"/>
    <w:rsid w:val="78825504"/>
    <w:rsid w:val="78A23952"/>
    <w:rsid w:val="78A90480"/>
    <w:rsid w:val="78C30B4D"/>
    <w:rsid w:val="78C54260"/>
    <w:rsid w:val="78DF301F"/>
    <w:rsid w:val="78F15D7E"/>
    <w:rsid w:val="78F87A16"/>
    <w:rsid w:val="790A04EF"/>
    <w:rsid w:val="792D67C3"/>
    <w:rsid w:val="792F0BB1"/>
    <w:rsid w:val="79410FF4"/>
    <w:rsid w:val="79431FB0"/>
    <w:rsid w:val="794A1ABF"/>
    <w:rsid w:val="795F1331"/>
    <w:rsid w:val="796055BB"/>
    <w:rsid w:val="796E68F3"/>
    <w:rsid w:val="798A414B"/>
    <w:rsid w:val="79AA087F"/>
    <w:rsid w:val="79B54FE1"/>
    <w:rsid w:val="79BB10AA"/>
    <w:rsid w:val="79D76107"/>
    <w:rsid w:val="79DC1EBD"/>
    <w:rsid w:val="7A0F01B1"/>
    <w:rsid w:val="7A1940E8"/>
    <w:rsid w:val="7A1E6893"/>
    <w:rsid w:val="7A364017"/>
    <w:rsid w:val="7A394BFF"/>
    <w:rsid w:val="7A635DB0"/>
    <w:rsid w:val="7A8265E1"/>
    <w:rsid w:val="7A9C0875"/>
    <w:rsid w:val="7AA34C5A"/>
    <w:rsid w:val="7AA62F32"/>
    <w:rsid w:val="7AD452AB"/>
    <w:rsid w:val="7AD46261"/>
    <w:rsid w:val="7AED3A34"/>
    <w:rsid w:val="7AFD68B1"/>
    <w:rsid w:val="7B507FDE"/>
    <w:rsid w:val="7B686D42"/>
    <w:rsid w:val="7B841746"/>
    <w:rsid w:val="7B930324"/>
    <w:rsid w:val="7BC2255D"/>
    <w:rsid w:val="7BC9569A"/>
    <w:rsid w:val="7BD911FD"/>
    <w:rsid w:val="7C0B235E"/>
    <w:rsid w:val="7C492F7D"/>
    <w:rsid w:val="7C6C5AC7"/>
    <w:rsid w:val="7C907E98"/>
    <w:rsid w:val="7C9B2E13"/>
    <w:rsid w:val="7CAA63F1"/>
    <w:rsid w:val="7CC6544B"/>
    <w:rsid w:val="7CF1528D"/>
    <w:rsid w:val="7D0239FF"/>
    <w:rsid w:val="7D1172F8"/>
    <w:rsid w:val="7D143D8C"/>
    <w:rsid w:val="7D1E09AF"/>
    <w:rsid w:val="7D251F60"/>
    <w:rsid w:val="7D366D5F"/>
    <w:rsid w:val="7D5E40CD"/>
    <w:rsid w:val="7D6F6CEB"/>
    <w:rsid w:val="7D84025A"/>
    <w:rsid w:val="7D85293D"/>
    <w:rsid w:val="7DA21912"/>
    <w:rsid w:val="7DCD56F2"/>
    <w:rsid w:val="7DD31A53"/>
    <w:rsid w:val="7DD345AE"/>
    <w:rsid w:val="7DD962F1"/>
    <w:rsid w:val="7DFB0E94"/>
    <w:rsid w:val="7E33054D"/>
    <w:rsid w:val="7E544291"/>
    <w:rsid w:val="7E5D4094"/>
    <w:rsid w:val="7E7B2ECD"/>
    <w:rsid w:val="7E7D2237"/>
    <w:rsid w:val="7E8B30DA"/>
    <w:rsid w:val="7E8B3E8A"/>
    <w:rsid w:val="7E9E0374"/>
    <w:rsid w:val="7EA476C6"/>
    <w:rsid w:val="7EB911BB"/>
    <w:rsid w:val="7EBF36EC"/>
    <w:rsid w:val="7ED4682F"/>
    <w:rsid w:val="7EF23159"/>
    <w:rsid w:val="7EFE7EFE"/>
    <w:rsid w:val="7F001CE7"/>
    <w:rsid w:val="7F1D6BD7"/>
    <w:rsid w:val="7F224C10"/>
    <w:rsid w:val="7F565496"/>
    <w:rsid w:val="7F7122D0"/>
    <w:rsid w:val="7F7249AC"/>
    <w:rsid w:val="7F744DFF"/>
    <w:rsid w:val="7F971D10"/>
    <w:rsid w:val="7FA95BC6"/>
    <w:rsid w:val="7FE47E50"/>
    <w:rsid w:val="7FF60A2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99" w:semiHidden="0" w:name="heading 2" w:locked="1"/>
    <w:lsdException w:qFormat="1" w:unhideWhenUsed="0" w:uiPriority="99"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uiPriority="0" w:name="index 6" w:locked="1"/>
    <w:lsdException w:uiPriority="0" w:name="index 7" w:locked="1"/>
    <w:lsdException w:uiPriority="0" w:name="index 8" w:locked="1"/>
    <w:lsdException w:uiPriority="0" w:name="index 9" w:locked="1"/>
    <w:lsdException w:qFormat="1" w:uiPriority="39" w:semiHidden="0" w:name="toc 1" w:locked="1"/>
    <w:lsdException w:qFormat="1" w:uiPriority="39" w:semiHidden="0" w:name="toc 2" w:locked="1"/>
    <w:lsdException w:qFormat="1" w:uiPriority="39" w:semiHidden="0" w:name="toc 3" w:locked="1"/>
    <w:lsdException w:qFormat="1" w:unhideWhenUsed="0" w:uiPriority="39" w:semiHidden="0" w:name="toc 4" w:locked="1"/>
    <w:lsdException w:qFormat="1" w:uiPriority="0" w:semiHidden="0" w:name="toc 5" w:locked="1"/>
    <w:lsdException w:qFormat="1" w:uiPriority="39" w:semiHidden="0" w:name="toc 6" w:locked="1"/>
    <w:lsdException w:qFormat="1" w:uiPriority="39" w:semiHidden="0" w:name="toc 7" w:locked="1"/>
    <w:lsdException w:qFormat="1" w:uiPriority="39" w:semiHidden="0" w:name="toc 8" w:locked="1"/>
    <w:lsdException w:qFormat="1" w:uiPriority="39" w:semiHidden="0" w:name="toc 9" w:locked="1"/>
    <w:lsdException w:qFormat="1" w:uiPriority="0" w:semiHidden="0" w:name="Normal Indent" w:locked="1"/>
    <w:lsdException w:uiPriority="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ocked="1"/>
    <w:lsdException w:qFormat="1" w:unhideWhenUsed="0" w:uiPriority="0" w:semiHidden="0"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nhideWhenUsed="0" w:uiPriority="0" w:semiHidden="0" w:name="annotation reference"/>
    <w:lsdException w:uiPriority="0" w:name="line number" w:locked="1"/>
    <w:lsdException w:qFormat="1" w:unhideWhenUsed="0" w:uiPriority="0" w:semiHidden="0" w:name="page number" w:locked="1"/>
    <w:lsdException w:uiPriority="0" w:name="endnote reference" w:locked="1"/>
    <w:lsdException w:qFormat="1" w:unhideWhenUsed="0" w:uiPriority="0" w:semiHidden="0" w:name="endnote text" w:locked="1"/>
    <w:lsdException w:unhideWhenUsed="0" w:uiPriority="0" w:semiHidden="0" w:name="table of authorities" w:locked="1"/>
    <w:lsdException w:uiPriority="0" w:name="macro" w:locked="1"/>
    <w:lsdException w:uiPriority="0" w:name="toa heading" w:locked="1"/>
    <w:lsdException w:qFormat="1" w:unhideWhenUsed="0" w:uiPriority="0" w:semiHidden="0" w:name="List" w:locked="1"/>
    <w:lsdException w:unhideWhenUsed="0" w:uiPriority="0" w:semiHidden="0" w:name="List Bullet" w:locked="1"/>
    <w:lsdException w:uiPriority="0" w:name="List Number" w:locked="1"/>
    <w:lsdException w:uiPriority="0" w:name="List 2" w:locked="1"/>
    <w:lsdException w:uiPriority="0" w:name="List 3" w:locked="1"/>
    <w:lsdException w:uiPriority="0" w:name="List 4" w:locked="1"/>
    <w:lsdException w:uiPriority="0" w:name="List 5" w:locked="1"/>
    <w:lsdException w:uiPriority="0" w:name="List Bullet 2" w:locked="1"/>
    <w:lsdException w:uiPriority="0" w:name="List Bullet 3" w:locked="1"/>
    <w:lsdException w:uiPriority="0" w:name="List Bullet 4" w:locked="1"/>
    <w:lsdException w:qFormat="1" w:uiPriority="99" w:semiHidden="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0" w:semiHidden="0" w:name="Title" w:locked="1"/>
    <w:lsdException w:uiPriority="0" w:name="Closing" w:locked="1"/>
    <w:lsdException w:uiPriority="0" w:name="Signature" w:locked="1"/>
    <w:lsdException w:qFormat="1" w:uiPriority="1" w:name="Default Paragraph Font"/>
    <w:lsdException w:qFormat="1" w:unhideWhenUsed="0" w:uiPriority="99" w:semiHidden="0" w:name="Body Text"/>
    <w:lsdException w:qFormat="1" w:unhideWhenUsed="0" w:uiPriority="99" w:semiHidden="0" w:name="Body Text Indent"/>
    <w:lsdException w:uiPriority="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iPriority="0" w:name="Message Header" w:locked="1"/>
    <w:lsdException w:qFormat="1" w:unhideWhenUsed="0" w:uiPriority="0" w:semiHidden="0" w:name="Subtitle" w:locked="1"/>
    <w:lsdException w:uiPriority="0" w:name="Salutation" w:locked="1"/>
    <w:lsdException w:qFormat="1" w:unhideWhenUsed="0" w:uiPriority="99" w:semiHidden="0" w:name="Date"/>
    <w:lsdException w:qFormat="1" w:uiPriority="99" w:semiHidden="0" w:name="Body Text First Indent" w:locked="1"/>
    <w:lsdException w:qFormat="1" w:unhideWhenUsed="0" w:uiPriority="99" w:semiHidden="0" w:name="Body Text First Indent 2" w:locked="1"/>
    <w:lsdException w:qFormat="1" w:unhideWhenUsed="0" w:uiPriority="0" w:semiHidden="0" w:name="Note Heading" w:locked="1"/>
    <w:lsdException w:uiPriority="0" w:name="Body Text 2" w:locked="1"/>
    <w:lsdException w:uiPriority="0" w:name="Body Text 3" w:locked="1"/>
    <w:lsdException w:qFormat="1" w:unhideWhenUsed="0" w:uiPriority="99" w:semiHidden="0" w:name="Body Text Indent 2" w:locked="1"/>
    <w:lsdException w:qFormat="1" w:unhideWhenUsed="0" w:uiPriority="0" w:semiHidden="0" w:name="Body Text Indent 3" w:locked="1"/>
    <w:lsdException w:uiPriority="0" w:name="Block Text" w:locked="1"/>
    <w:lsdException w:qFormat="1" w:unhideWhenUsed="0" w:uiPriority="0" w:semiHidden="0" w:name="Hyperlink" w:locked="1"/>
    <w:lsdException w:uiPriority="0" w:name="FollowedHyperlink" w:locked="1"/>
    <w:lsdException w:qFormat="1" w:unhideWhenUsed="0" w:uiPriority="0" w:semiHidden="0" w:name="Strong" w:locked="1"/>
    <w:lsdException w:qFormat="1" w:unhideWhenUsed="0" w:uiPriority="0" w:semiHidden="0" w:name="Emphasis" w:locked="1"/>
    <w:lsdException w:qFormat="1" w:uiPriority="99" w:semiHidden="0" w:name="Document Map" w:locked="1"/>
    <w:lsdException w:qFormat="1" w:unhideWhenUsed="0" w:uiPriority="0" w:semiHidden="0" w:name="Plain Text" w:locked="1"/>
    <w:lsdException w:uiPriority="0" w:name="E-mail Signature" w:locked="1"/>
    <w:lsdException w:qFormat="1" w:unhideWhenUsed="0" w:uiPriority="0" w:semiHidden="0" w:name="Normal (Web)"/>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uiPriority="0" w:name="HTML Preformatted" w:locked="1"/>
    <w:lsdException w:uiPriority="0" w:name="HTML Sample" w:locked="1"/>
    <w:lsdException w:uiPriority="0" w:name="HTML Typewriter" w:locked="1"/>
    <w:lsdException w:uiPriority="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59" w:semiHidden="0" w:name="Table Grid"/>
    <w:lsdException w:qFormat="1"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6"/>
    <w:autoRedefine/>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55"/>
    <w:autoRedefine/>
    <w:qFormat/>
    <w:locked/>
    <w:uiPriority w:val="99"/>
    <w:pPr>
      <w:keepNext/>
      <w:keepLines/>
      <w:spacing w:before="260" w:after="260" w:line="416" w:lineRule="auto"/>
      <w:outlineLvl w:val="1"/>
    </w:pPr>
    <w:rPr>
      <w:rFonts w:ascii="Cambria" w:hAnsi="Cambria"/>
      <w:b/>
      <w:bCs/>
      <w:sz w:val="32"/>
      <w:szCs w:val="32"/>
    </w:rPr>
  </w:style>
  <w:style w:type="paragraph" w:styleId="4">
    <w:name w:val="heading 3"/>
    <w:basedOn w:val="1"/>
    <w:next w:val="1"/>
    <w:link w:val="57"/>
    <w:autoRedefine/>
    <w:qFormat/>
    <w:locked/>
    <w:uiPriority w:val="99"/>
    <w:pPr>
      <w:keepNext/>
      <w:keepLines/>
      <w:spacing w:before="260" w:after="260" w:line="416" w:lineRule="auto"/>
      <w:outlineLvl w:val="2"/>
    </w:pPr>
    <w:rPr>
      <w:b/>
      <w:bCs/>
      <w:sz w:val="32"/>
      <w:szCs w:val="32"/>
    </w:rPr>
  </w:style>
  <w:style w:type="paragraph" w:styleId="5">
    <w:name w:val="heading 4"/>
    <w:basedOn w:val="1"/>
    <w:next w:val="1"/>
    <w:link w:val="68"/>
    <w:autoRedefine/>
    <w:qFormat/>
    <w:locked/>
    <w:uiPriority w:val="0"/>
    <w:pPr>
      <w:keepNext/>
      <w:keepLines/>
      <w:spacing w:before="280" w:after="290" w:line="376" w:lineRule="auto"/>
      <w:outlineLvl w:val="3"/>
    </w:pPr>
    <w:rPr>
      <w:rFonts w:ascii="Cambria" w:hAnsi="Cambria"/>
      <w:b/>
      <w:bCs/>
      <w:sz w:val="28"/>
      <w:szCs w:val="28"/>
    </w:rPr>
  </w:style>
  <w:style w:type="paragraph" w:styleId="6">
    <w:name w:val="heading 5"/>
    <w:basedOn w:val="1"/>
    <w:next w:val="1"/>
    <w:link w:val="69"/>
    <w:autoRedefine/>
    <w:qFormat/>
    <w:locked/>
    <w:uiPriority w:val="0"/>
    <w:pPr>
      <w:keepNext/>
      <w:keepLines/>
      <w:spacing w:before="280" w:after="290" w:line="376" w:lineRule="auto"/>
      <w:outlineLvl w:val="4"/>
    </w:pPr>
    <w:rPr>
      <w:b/>
      <w:bCs/>
      <w:sz w:val="28"/>
      <w:szCs w:val="28"/>
    </w:rPr>
  </w:style>
  <w:style w:type="paragraph" w:styleId="7">
    <w:name w:val="heading 6"/>
    <w:basedOn w:val="1"/>
    <w:next w:val="1"/>
    <w:link w:val="70"/>
    <w:autoRedefine/>
    <w:qFormat/>
    <w:locked/>
    <w:uiPriority w:val="0"/>
    <w:pPr>
      <w:keepNext/>
      <w:keepLines/>
      <w:spacing w:line="240" w:lineRule="atLeast"/>
      <w:jc w:val="left"/>
      <w:outlineLvl w:val="5"/>
    </w:pPr>
    <w:rPr>
      <w:rFonts w:eastAsia="Arial Unicode MS"/>
      <w:i/>
      <w:color w:val="000000"/>
      <w:spacing w:val="5"/>
      <w:kern w:val="20"/>
      <w:szCs w:val="20"/>
    </w:rPr>
  </w:style>
  <w:style w:type="paragraph" w:styleId="8">
    <w:name w:val="heading 7"/>
    <w:basedOn w:val="1"/>
    <w:next w:val="1"/>
    <w:link w:val="71"/>
    <w:qFormat/>
    <w:locked/>
    <w:uiPriority w:val="0"/>
    <w:pPr>
      <w:keepNext/>
      <w:keepLines/>
      <w:spacing w:line="240" w:lineRule="atLeast"/>
      <w:jc w:val="left"/>
      <w:outlineLvl w:val="6"/>
    </w:pPr>
    <w:rPr>
      <w:smallCaps/>
      <w:color w:val="000000"/>
      <w:kern w:val="20"/>
      <w:szCs w:val="20"/>
    </w:rPr>
  </w:style>
  <w:style w:type="paragraph" w:styleId="9">
    <w:name w:val="heading 8"/>
    <w:basedOn w:val="1"/>
    <w:next w:val="1"/>
    <w:link w:val="72"/>
    <w:qFormat/>
    <w:locked/>
    <w:uiPriority w:val="0"/>
    <w:pPr>
      <w:keepNext/>
      <w:keepLines/>
      <w:spacing w:line="240" w:lineRule="atLeast"/>
      <w:ind w:firstLine="360"/>
      <w:jc w:val="left"/>
      <w:outlineLvl w:val="7"/>
    </w:pPr>
    <w:rPr>
      <w:i/>
      <w:color w:val="000000"/>
      <w:spacing w:val="5"/>
      <w:kern w:val="20"/>
      <w:szCs w:val="20"/>
    </w:rPr>
  </w:style>
  <w:style w:type="paragraph" w:styleId="10">
    <w:name w:val="heading 9"/>
    <w:basedOn w:val="1"/>
    <w:next w:val="1"/>
    <w:link w:val="73"/>
    <w:autoRedefine/>
    <w:qFormat/>
    <w:locked/>
    <w:uiPriority w:val="0"/>
    <w:pPr>
      <w:keepNext/>
      <w:keepLines/>
      <w:spacing w:line="240" w:lineRule="atLeast"/>
      <w:jc w:val="left"/>
      <w:outlineLvl w:val="8"/>
    </w:pPr>
    <w:rPr>
      <w:color w:val="000000"/>
      <w:spacing w:val="-5"/>
      <w:kern w:val="20"/>
      <w:szCs w:val="20"/>
    </w:rPr>
  </w:style>
  <w:style w:type="character" w:default="1" w:styleId="49">
    <w:name w:val="Default Paragraph Font"/>
    <w:semiHidden/>
    <w:unhideWhenUsed/>
    <w:qFormat/>
    <w:uiPriority w:val="1"/>
  </w:style>
  <w:style w:type="table" w:default="1" w:styleId="46">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locked/>
    <w:uiPriority w:val="39"/>
    <w:pPr>
      <w:widowControl/>
      <w:adjustRightInd w:val="0"/>
      <w:snapToGrid w:val="0"/>
      <w:spacing w:line="360" w:lineRule="auto"/>
      <w:ind w:left="1320"/>
      <w:jc w:val="left"/>
    </w:pPr>
    <w:rPr>
      <w:rFonts w:ascii="Calibri" w:hAnsi="Calibri" w:cs="Calibri"/>
      <w:kern w:val="0"/>
      <w:sz w:val="18"/>
      <w:szCs w:val="18"/>
    </w:rPr>
  </w:style>
  <w:style w:type="paragraph" w:styleId="12">
    <w:name w:val="Note Heading"/>
    <w:basedOn w:val="1"/>
    <w:next w:val="1"/>
    <w:qFormat/>
    <w:locked/>
    <w:uiPriority w:val="0"/>
    <w:pPr>
      <w:jc w:val="center"/>
    </w:pPr>
    <w:rPr>
      <w:szCs w:val="20"/>
    </w:rPr>
  </w:style>
  <w:style w:type="paragraph" w:styleId="13">
    <w:name w:val="Normal Indent"/>
    <w:basedOn w:val="14"/>
    <w:link w:val="74"/>
    <w:unhideWhenUsed/>
    <w:qFormat/>
    <w:locked/>
    <w:uiPriority w:val="0"/>
    <w:pPr>
      <w:ind w:firstLine="420"/>
    </w:pPr>
    <w:rPr>
      <w:rFonts w:ascii="Calibri" w:hAnsi="Calibri"/>
      <w:szCs w:val="22"/>
    </w:rPr>
  </w:style>
  <w:style w:type="paragraph" w:styleId="14">
    <w:name w:val="Body Text First Indent"/>
    <w:basedOn w:val="15"/>
    <w:next w:val="1"/>
    <w:link w:val="90"/>
    <w:autoRedefine/>
    <w:unhideWhenUsed/>
    <w:qFormat/>
    <w:locked/>
    <w:uiPriority w:val="99"/>
    <w:pPr>
      <w:adjustRightInd w:val="0"/>
      <w:spacing w:before="0" w:after="120" w:line="360" w:lineRule="auto"/>
      <w:ind w:right="0" w:firstLine="420" w:firstLineChars="100"/>
      <w:jc w:val="left"/>
    </w:pPr>
    <w:rPr>
      <w:sz w:val="24"/>
      <w:szCs w:val="22"/>
    </w:rPr>
  </w:style>
  <w:style w:type="paragraph" w:styleId="15">
    <w:name w:val="Body Text"/>
    <w:basedOn w:val="1"/>
    <w:next w:val="16"/>
    <w:link w:val="77"/>
    <w:qFormat/>
    <w:uiPriority w:val="99"/>
    <w:pPr>
      <w:widowControl/>
      <w:snapToGrid w:val="0"/>
      <w:spacing w:before="60" w:after="160" w:line="259" w:lineRule="auto"/>
      <w:ind w:right="113"/>
    </w:pPr>
    <w:rPr>
      <w:kern w:val="0"/>
      <w:sz w:val="18"/>
      <w:szCs w:val="20"/>
    </w:rPr>
  </w:style>
  <w:style w:type="paragraph" w:styleId="16">
    <w:name w:val="Date"/>
    <w:basedOn w:val="1"/>
    <w:next w:val="1"/>
    <w:link w:val="79"/>
    <w:autoRedefine/>
    <w:qFormat/>
    <w:uiPriority w:val="99"/>
    <w:pPr>
      <w:ind w:left="100" w:leftChars="2500"/>
    </w:pPr>
    <w:rPr>
      <w:kern w:val="0"/>
      <w:sz w:val="24"/>
      <w:szCs w:val="20"/>
    </w:rPr>
  </w:style>
  <w:style w:type="paragraph" w:styleId="17">
    <w:name w:val="caption"/>
    <w:basedOn w:val="1"/>
    <w:next w:val="1"/>
    <w:autoRedefine/>
    <w:qFormat/>
    <w:locked/>
    <w:uiPriority w:val="0"/>
    <w:rPr>
      <w:rFonts w:ascii="Arial" w:hAnsi="Arial" w:eastAsia="黑体"/>
      <w:b/>
      <w:sz w:val="20"/>
    </w:rPr>
  </w:style>
  <w:style w:type="paragraph" w:styleId="18">
    <w:name w:val="Document Map"/>
    <w:basedOn w:val="1"/>
    <w:link w:val="75"/>
    <w:unhideWhenUsed/>
    <w:qFormat/>
    <w:locked/>
    <w:uiPriority w:val="99"/>
    <w:rPr>
      <w:rFonts w:ascii="宋体"/>
      <w:sz w:val="18"/>
      <w:szCs w:val="18"/>
    </w:rPr>
  </w:style>
  <w:style w:type="paragraph" w:styleId="19">
    <w:name w:val="annotation text"/>
    <w:basedOn w:val="1"/>
    <w:link w:val="76"/>
    <w:qFormat/>
    <w:uiPriority w:val="0"/>
    <w:pPr>
      <w:jc w:val="left"/>
    </w:pPr>
    <w:rPr>
      <w:kern w:val="0"/>
      <w:sz w:val="24"/>
      <w:szCs w:val="20"/>
    </w:rPr>
  </w:style>
  <w:style w:type="paragraph" w:styleId="20">
    <w:name w:val="Body Text Indent"/>
    <w:basedOn w:val="1"/>
    <w:next w:val="14"/>
    <w:link w:val="66"/>
    <w:autoRedefine/>
    <w:qFormat/>
    <w:uiPriority w:val="99"/>
    <w:pPr>
      <w:spacing w:after="120"/>
      <w:ind w:left="420" w:leftChars="200"/>
    </w:pPr>
    <w:rPr>
      <w:kern w:val="0"/>
      <w:sz w:val="24"/>
      <w:szCs w:val="20"/>
    </w:rPr>
  </w:style>
  <w:style w:type="paragraph" w:styleId="21">
    <w:name w:val="toc 5"/>
    <w:basedOn w:val="1"/>
    <w:next w:val="1"/>
    <w:unhideWhenUsed/>
    <w:qFormat/>
    <w:locked/>
    <w:uiPriority w:val="0"/>
    <w:pPr>
      <w:widowControl/>
      <w:adjustRightInd w:val="0"/>
      <w:snapToGrid w:val="0"/>
      <w:spacing w:line="360" w:lineRule="auto"/>
      <w:ind w:left="880"/>
      <w:jc w:val="left"/>
    </w:pPr>
    <w:rPr>
      <w:rFonts w:ascii="Calibri" w:hAnsi="Calibri" w:cs="Calibri"/>
      <w:kern w:val="0"/>
      <w:sz w:val="18"/>
      <w:szCs w:val="18"/>
    </w:rPr>
  </w:style>
  <w:style w:type="paragraph" w:styleId="22">
    <w:name w:val="toc 3"/>
    <w:basedOn w:val="1"/>
    <w:next w:val="1"/>
    <w:unhideWhenUsed/>
    <w:qFormat/>
    <w:locked/>
    <w:uiPriority w:val="39"/>
    <w:pPr>
      <w:widowControl/>
      <w:adjustRightInd w:val="0"/>
      <w:snapToGrid w:val="0"/>
      <w:spacing w:line="360" w:lineRule="auto"/>
      <w:ind w:left="440"/>
      <w:jc w:val="left"/>
    </w:pPr>
    <w:rPr>
      <w:rFonts w:ascii="Calibri" w:hAnsi="Calibri" w:cs="Calibri"/>
      <w:i/>
      <w:iCs/>
      <w:kern w:val="0"/>
      <w:sz w:val="20"/>
      <w:szCs w:val="20"/>
    </w:rPr>
  </w:style>
  <w:style w:type="paragraph" w:styleId="23">
    <w:name w:val="Plain Text"/>
    <w:basedOn w:val="1"/>
    <w:next w:val="1"/>
    <w:link w:val="78"/>
    <w:qFormat/>
    <w:locked/>
    <w:uiPriority w:val="0"/>
    <w:rPr>
      <w:rFonts w:ascii="宋体" w:hAnsi="Courier New"/>
      <w:kern w:val="0"/>
      <w:sz w:val="20"/>
      <w:szCs w:val="20"/>
    </w:rPr>
  </w:style>
  <w:style w:type="paragraph" w:styleId="24">
    <w:name w:val="List Bullet 5"/>
    <w:basedOn w:val="1"/>
    <w:unhideWhenUsed/>
    <w:qFormat/>
    <w:locked/>
    <w:uiPriority w:val="99"/>
    <w:pPr>
      <w:numPr>
        <w:ilvl w:val="0"/>
        <w:numId w:val="1"/>
      </w:numPr>
    </w:pPr>
  </w:style>
  <w:style w:type="paragraph" w:styleId="25">
    <w:name w:val="toc 8"/>
    <w:basedOn w:val="1"/>
    <w:next w:val="1"/>
    <w:autoRedefine/>
    <w:unhideWhenUsed/>
    <w:qFormat/>
    <w:locked/>
    <w:uiPriority w:val="39"/>
    <w:pPr>
      <w:widowControl/>
      <w:adjustRightInd w:val="0"/>
      <w:snapToGrid w:val="0"/>
      <w:spacing w:line="360" w:lineRule="auto"/>
      <w:ind w:left="1540"/>
      <w:jc w:val="left"/>
    </w:pPr>
    <w:rPr>
      <w:rFonts w:ascii="Calibri" w:hAnsi="Calibri" w:cs="Calibri"/>
      <w:kern w:val="0"/>
      <w:sz w:val="18"/>
      <w:szCs w:val="18"/>
    </w:rPr>
  </w:style>
  <w:style w:type="paragraph" w:styleId="26">
    <w:name w:val="Body Text Indent 2"/>
    <w:basedOn w:val="1"/>
    <w:link w:val="80"/>
    <w:autoRedefine/>
    <w:qFormat/>
    <w:locked/>
    <w:uiPriority w:val="99"/>
    <w:pPr>
      <w:spacing w:after="120" w:line="480" w:lineRule="auto"/>
      <w:ind w:left="420" w:leftChars="200"/>
    </w:pPr>
  </w:style>
  <w:style w:type="paragraph" w:styleId="27">
    <w:name w:val="endnote text"/>
    <w:basedOn w:val="1"/>
    <w:qFormat/>
    <w:locked/>
    <w:uiPriority w:val="0"/>
    <w:pPr>
      <w:autoSpaceDE w:val="0"/>
      <w:autoSpaceDN w:val="0"/>
      <w:snapToGrid w:val="0"/>
      <w:jc w:val="left"/>
    </w:pPr>
    <w:rPr>
      <w:rFonts w:ascii="Noto Sans CJK JP Regular" w:hAnsi="Noto Sans CJK JP Regular" w:eastAsia="Noto Sans CJK JP Regular" w:cs="Noto Sans CJK JP Regular"/>
      <w:kern w:val="0"/>
      <w:sz w:val="22"/>
      <w:szCs w:val="22"/>
      <w:lang w:eastAsia="en-US"/>
    </w:rPr>
  </w:style>
  <w:style w:type="paragraph" w:styleId="28">
    <w:name w:val="Balloon Text"/>
    <w:basedOn w:val="1"/>
    <w:link w:val="81"/>
    <w:qFormat/>
    <w:uiPriority w:val="0"/>
    <w:rPr>
      <w:kern w:val="0"/>
      <w:sz w:val="18"/>
      <w:szCs w:val="20"/>
    </w:rPr>
  </w:style>
  <w:style w:type="paragraph" w:styleId="29">
    <w:name w:val="footer"/>
    <w:basedOn w:val="1"/>
    <w:link w:val="82"/>
    <w:qFormat/>
    <w:uiPriority w:val="99"/>
    <w:pPr>
      <w:tabs>
        <w:tab w:val="center" w:pos="4153"/>
        <w:tab w:val="right" w:pos="8306"/>
      </w:tabs>
      <w:snapToGrid w:val="0"/>
      <w:jc w:val="left"/>
    </w:pPr>
    <w:rPr>
      <w:kern w:val="0"/>
      <w:sz w:val="18"/>
      <w:szCs w:val="20"/>
    </w:rPr>
  </w:style>
  <w:style w:type="paragraph" w:styleId="30">
    <w:name w:val="header"/>
    <w:basedOn w:val="1"/>
    <w:next w:val="31"/>
    <w:link w:val="83"/>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31">
    <w:name w:val="样式5"/>
    <w:basedOn w:val="32"/>
    <w:qFormat/>
    <w:uiPriority w:val="0"/>
    <w:pPr>
      <w:spacing w:line="360" w:lineRule="auto"/>
      <w:ind w:firstLine="510"/>
    </w:pPr>
  </w:style>
  <w:style w:type="paragraph" w:customStyle="1" w:styleId="32">
    <w:name w:val="正文1"/>
    <w:basedOn w:val="33"/>
    <w:next w:val="1"/>
    <w:qFormat/>
    <w:uiPriority w:val="0"/>
    <w:pPr>
      <w:spacing w:line="480" w:lineRule="exact"/>
      <w:ind w:firstLine="200"/>
    </w:pPr>
    <w:rPr>
      <w:rFonts w:ascii="Calibri" w:hAnsi="Calibri"/>
      <w:kern w:val="0"/>
    </w:rPr>
  </w:style>
  <w:style w:type="paragraph" w:customStyle="1" w:styleId="33">
    <w:name w:val="正文11"/>
    <w:basedOn w:val="1"/>
    <w:qFormat/>
    <w:uiPriority w:val="0"/>
    <w:pPr>
      <w:adjustRightInd w:val="0"/>
      <w:snapToGrid w:val="0"/>
      <w:spacing w:line="360" w:lineRule="auto"/>
      <w:ind w:firstLine="420" w:firstLineChars="200"/>
    </w:pPr>
    <w:rPr>
      <w:color w:val="000000"/>
      <w:sz w:val="24"/>
    </w:rPr>
  </w:style>
  <w:style w:type="paragraph" w:styleId="34">
    <w:name w:val="toc 1"/>
    <w:basedOn w:val="1"/>
    <w:next w:val="1"/>
    <w:unhideWhenUsed/>
    <w:qFormat/>
    <w:locked/>
    <w:uiPriority w:val="39"/>
    <w:pPr>
      <w:widowControl/>
      <w:tabs>
        <w:tab w:val="right" w:leader="dot" w:pos="8835"/>
      </w:tabs>
      <w:adjustRightInd w:val="0"/>
      <w:snapToGrid w:val="0"/>
      <w:spacing w:before="120" w:after="120" w:line="360" w:lineRule="auto"/>
      <w:jc w:val="center"/>
    </w:pPr>
    <w:rPr>
      <w:rFonts w:ascii="宋体" w:hAnsi="宋体" w:cs="Calibri"/>
      <w:b/>
      <w:bCs/>
      <w:caps/>
      <w:kern w:val="0"/>
      <w:sz w:val="20"/>
      <w:szCs w:val="20"/>
    </w:rPr>
  </w:style>
  <w:style w:type="paragraph" w:styleId="35">
    <w:name w:val="toc 4"/>
    <w:basedOn w:val="1"/>
    <w:next w:val="1"/>
    <w:qFormat/>
    <w:locked/>
    <w:uiPriority w:val="39"/>
    <w:pPr>
      <w:ind w:left="630"/>
      <w:jc w:val="left"/>
    </w:pPr>
    <w:rPr>
      <w:sz w:val="18"/>
      <w:szCs w:val="18"/>
    </w:rPr>
  </w:style>
  <w:style w:type="paragraph" w:styleId="36">
    <w:name w:val="Subtitle"/>
    <w:basedOn w:val="1"/>
    <w:next w:val="1"/>
    <w:link w:val="84"/>
    <w:autoRedefine/>
    <w:qFormat/>
    <w:locked/>
    <w:uiPriority w:val="0"/>
    <w:pPr>
      <w:widowControl/>
      <w:spacing w:line="360" w:lineRule="auto"/>
      <w:jc w:val="left"/>
      <w:outlineLvl w:val="2"/>
    </w:pPr>
    <w:rPr>
      <w:rFonts w:ascii="黑体" w:hAnsi="Cambria" w:eastAsia="黑体"/>
      <w:kern w:val="28"/>
      <w:sz w:val="28"/>
      <w:szCs w:val="28"/>
    </w:rPr>
  </w:style>
  <w:style w:type="paragraph" w:styleId="37">
    <w:name w:val="List"/>
    <w:basedOn w:val="1"/>
    <w:link w:val="85"/>
    <w:qFormat/>
    <w:locked/>
    <w:uiPriority w:val="0"/>
    <w:pPr>
      <w:ind w:left="200" w:hanging="200" w:hangingChars="200"/>
    </w:pPr>
    <w:rPr>
      <w:rFonts w:ascii="Calibri" w:hAnsi="Calibri"/>
      <w:szCs w:val="22"/>
    </w:rPr>
  </w:style>
  <w:style w:type="paragraph" w:styleId="38">
    <w:name w:val="toc 6"/>
    <w:basedOn w:val="1"/>
    <w:next w:val="1"/>
    <w:unhideWhenUsed/>
    <w:qFormat/>
    <w:locked/>
    <w:uiPriority w:val="39"/>
    <w:pPr>
      <w:widowControl/>
      <w:adjustRightInd w:val="0"/>
      <w:snapToGrid w:val="0"/>
      <w:spacing w:line="360" w:lineRule="auto"/>
      <w:ind w:left="1100"/>
      <w:jc w:val="left"/>
    </w:pPr>
    <w:rPr>
      <w:rFonts w:ascii="Calibri" w:hAnsi="Calibri" w:cs="Calibri"/>
      <w:kern w:val="0"/>
      <w:sz w:val="18"/>
      <w:szCs w:val="18"/>
    </w:rPr>
  </w:style>
  <w:style w:type="paragraph" w:styleId="39">
    <w:name w:val="Body Text Indent 3"/>
    <w:basedOn w:val="1"/>
    <w:link w:val="86"/>
    <w:autoRedefine/>
    <w:qFormat/>
    <w:locked/>
    <w:uiPriority w:val="0"/>
    <w:pPr>
      <w:ind w:firstLine="480"/>
    </w:pPr>
    <w:rPr>
      <w:rFonts w:ascii="新宋体" w:hAnsi="新宋体" w:eastAsia="新宋体"/>
      <w:kern w:val="0"/>
      <w:sz w:val="24"/>
    </w:rPr>
  </w:style>
  <w:style w:type="paragraph" w:styleId="40">
    <w:name w:val="toc 2"/>
    <w:basedOn w:val="1"/>
    <w:next w:val="1"/>
    <w:autoRedefine/>
    <w:unhideWhenUsed/>
    <w:qFormat/>
    <w:locked/>
    <w:uiPriority w:val="39"/>
    <w:pPr>
      <w:widowControl/>
      <w:adjustRightInd w:val="0"/>
      <w:snapToGrid w:val="0"/>
      <w:spacing w:line="360" w:lineRule="auto"/>
      <w:ind w:left="220"/>
      <w:jc w:val="left"/>
    </w:pPr>
    <w:rPr>
      <w:rFonts w:ascii="Calibri" w:hAnsi="Calibri" w:cs="Calibri"/>
      <w:smallCaps/>
      <w:kern w:val="0"/>
      <w:sz w:val="20"/>
      <w:szCs w:val="20"/>
    </w:rPr>
  </w:style>
  <w:style w:type="paragraph" w:styleId="41">
    <w:name w:val="toc 9"/>
    <w:basedOn w:val="1"/>
    <w:next w:val="1"/>
    <w:autoRedefine/>
    <w:unhideWhenUsed/>
    <w:qFormat/>
    <w:locked/>
    <w:uiPriority w:val="39"/>
    <w:pPr>
      <w:widowControl/>
      <w:adjustRightInd w:val="0"/>
      <w:snapToGrid w:val="0"/>
      <w:spacing w:line="360" w:lineRule="auto"/>
      <w:ind w:left="1760"/>
      <w:jc w:val="left"/>
    </w:pPr>
    <w:rPr>
      <w:rFonts w:ascii="Calibri" w:hAnsi="Calibri" w:cs="Calibri"/>
      <w:kern w:val="0"/>
      <w:sz w:val="18"/>
      <w:szCs w:val="18"/>
    </w:rPr>
  </w:style>
  <w:style w:type="paragraph" w:styleId="42">
    <w:name w:val="Normal (Web)"/>
    <w:basedOn w:val="1"/>
    <w:link w:val="87"/>
    <w:autoRedefine/>
    <w:qFormat/>
    <w:uiPriority w:val="0"/>
    <w:pPr>
      <w:widowControl/>
      <w:spacing w:before="100" w:beforeAutospacing="1" w:after="100" w:afterAutospacing="1"/>
      <w:jc w:val="left"/>
    </w:pPr>
    <w:rPr>
      <w:rFonts w:ascii="宋体" w:hAnsi="宋体"/>
      <w:kern w:val="0"/>
      <w:sz w:val="24"/>
      <w:szCs w:val="20"/>
    </w:rPr>
  </w:style>
  <w:style w:type="paragraph" w:styleId="43">
    <w:name w:val="Title"/>
    <w:basedOn w:val="1"/>
    <w:link w:val="88"/>
    <w:qFormat/>
    <w:locked/>
    <w:uiPriority w:val="0"/>
    <w:pPr>
      <w:spacing w:before="240" w:after="60"/>
      <w:jc w:val="center"/>
      <w:outlineLvl w:val="0"/>
    </w:pPr>
    <w:rPr>
      <w:rFonts w:ascii="Arial" w:hAnsi="Arial"/>
      <w:b/>
      <w:snapToGrid w:val="0"/>
      <w:color w:val="000000"/>
      <w:kern w:val="0"/>
      <w:sz w:val="32"/>
      <w:szCs w:val="20"/>
    </w:rPr>
  </w:style>
  <w:style w:type="paragraph" w:styleId="44">
    <w:name w:val="annotation subject"/>
    <w:basedOn w:val="19"/>
    <w:next w:val="19"/>
    <w:link w:val="89"/>
    <w:autoRedefine/>
    <w:qFormat/>
    <w:uiPriority w:val="0"/>
    <w:rPr>
      <w:b/>
      <w:kern w:val="2"/>
    </w:rPr>
  </w:style>
  <w:style w:type="paragraph" w:styleId="45">
    <w:name w:val="Body Text First Indent 2"/>
    <w:basedOn w:val="20"/>
    <w:next w:val="1"/>
    <w:link w:val="67"/>
    <w:qFormat/>
    <w:locked/>
    <w:uiPriority w:val="99"/>
    <w:pPr>
      <w:ind w:firstLine="420" w:firstLineChars="200"/>
    </w:pPr>
    <w:rPr>
      <w:kern w:val="2"/>
      <w:sz w:val="21"/>
      <w:szCs w:val="24"/>
    </w:rPr>
  </w:style>
  <w:style w:type="table" w:styleId="47">
    <w:name w:val="Table Grid"/>
    <w:basedOn w:val="4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8">
    <w:name w:val="Table Theme"/>
    <w:basedOn w:val="46"/>
    <w:autoRedefine/>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0">
    <w:name w:val="Strong"/>
    <w:autoRedefine/>
    <w:qFormat/>
    <w:locked/>
    <w:uiPriority w:val="0"/>
    <w:rPr>
      <w:b/>
      <w:bCs/>
    </w:rPr>
  </w:style>
  <w:style w:type="character" w:styleId="51">
    <w:name w:val="page number"/>
    <w:autoRedefine/>
    <w:qFormat/>
    <w:locked/>
    <w:uiPriority w:val="0"/>
  </w:style>
  <w:style w:type="character" w:styleId="52">
    <w:name w:val="Emphasis"/>
    <w:qFormat/>
    <w:locked/>
    <w:uiPriority w:val="0"/>
    <w:rPr>
      <w:rFonts w:eastAsia="黑体"/>
      <w:i/>
      <w:iCs/>
      <w:snapToGrid w:val="0"/>
      <w:sz w:val="24"/>
      <w:szCs w:val="24"/>
    </w:rPr>
  </w:style>
  <w:style w:type="character" w:styleId="53">
    <w:name w:val="Hyperlink"/>
    <w:qFormat/>
    <w:locked/>
    <w:uiPriority w:val="0"/>
    <w:rPr>
      <w:color w:val="0000FF"/>
      <w:u w:val="single"/>
    </w:rPr>
  </w:style>
  <w:style w:type="character" w:styleId="54">
    <w:name w:val="annotation reference"/>
    <w:qFormat/>
    <w:uiPriority w:val="0"/>
    <w:rPr>
      <w:sz w:val="21"/>
    </w:rPr>
  </w:style>
  <w:style w:type="character" w:customStyle="1" w:styleId="55">
    <w:name w:val="标题 2 字符"/>
    <w:link w:val="3"/>
    <w:autoRedefine/>
    <w:qFormat/>
    <w:uiPriority w:val="99"/>
    <w:rPr>
      <w:rFonts w:ascii="Cambria" w:hAnsi="Cambria" w:eastAsia="宋体" w:cs="Times New Roman"/>
      <w:b/>
      <w:bCs/>
      <w:kern w:val="2"/>
      <w:sz w:val="32"/>
      <w:szCs w:val="32"/>
    </w:rPr>
  </w:style>
  <w:style w:type="character" w:customStyle="1" w:styleId="56">
    <w:name w:val="标题 1 字符"/>
    <w:link w:val="2"/>
    <w:autoRedefine/>
    <w:qFormat/>
    <w:uiPriority w:val="0"/>
    <w:rPr>
      <w:rFonts w:eastAsia="黑体"/>
      <w:b/>
      <w:bCs/>
      <w:color w:val="000000"/>
      <w:kern w:val="44"/>
      <w:sz w:val="30"/>
      <w:szCs w:val="30"/>
    </w:rPr>
  </w:style>
  <w:style w:type="character" w:customStyle="1" w:styleId="57">
    <w:name w:val="标题 3 字符"/>
    <w:link w:val="4"/>
    <w:autoRedefine/>
    <w:qFormat/>
    <w:uiPriority w:val="99"/>
    <w:rPr>
      <w:b/>
      <w:bCs/>
      <w:kern w:val="2"/>
      <w:sz w:val="32"/>
      <w:szCs w:val="32"/>
    </w:rPr>
  </w:style>
  <w:style w:type="paragraph" w:customStyle="1" w:styleId="58">
    <w:name w:val="样式 正文文本缩进 + 行距: 1.5 倍行距"/>
    <w:basedOn w:val="59"/>
    <w:next w:val="1"/>
    <w:autoRedefine/>
    <w:qFormat/>
    <w:uiPriority w:val="0"/>
    <w:pPr>
      <w:spacing w:after="120" w:line="360" w:lineRule="auto"/>
      <w:ind w:left="90" w:leftChars="32" w:firstLine="560" w:firstLineChars="200"/>
    </w:pPr>
    <w:rPr>
      <w:rFonts w:cs="宋体"/>
      <w:sz w:val="24"/>
    </w:rPr>
  </w:style>
  <w:style w:type="paragraph" w:customStyle="1" w:styleId="59">
    <w:name w:val="正文文本缩进1"/>
    <w:basedOn w:val="1"/>
    <w:next w:val="58"/>
    <w:link w:val="187"/>
    <w:autoRedefine/>
    <w:qFormat/>
    <w:uiPriority w:val="0"/>
    <w:pPr>
      <w:adjustRightInd w:val="0"/>
      <w:spacing w:line="233" w:lineRule="auto"/>
      <w:ind w:firstLine="570"/>
      <w:textAlignment w:val="baseline"/>
    </w:pPr>
    <w:rPr>
      <w:rFonts w:ascii="仿宋_GB2312" w:eastAsia="仿宋_GB2312"/>
      <w:kern w:val="0"/>
      <w:sz w:val="28"/>
      <w:szCs w:val="20"/>
    </w:rPr>
  </w:style>
  <w:style w:type="paragraph" w:customStyle="1" w:styleId="60">
    <w:name w:val="style4"/>
    <w:basedOn w:val="1"/>
    <w:next w:val="61"/>
    <w:autoRedefine/>
    <w:unhideWhenUsed/>
    <w:qFormat/>
    <w:uiPriority w:val="0"/>
    <w:pPr>
      <w:widowControl/>
      <w:spacing w:before="280" w:after="280"/>
    </w:pPr>
    <w:rPr>
      <w:rFonts w:hint="eastAsia" w:ascii="宋体"/>
      <w:sz w:val="18"/>
    </w:rPr>
  </w:style>
  <w:style w:type="paragraph" w:customStyle="1" w:styleId="61">
    <w:name w:val="2"/>
    <w:next w:val="1"/>
    <w:autoRedefine/>
    <w:unhideWhenUsed/>
    <w:qFormat/>
    <w:uiPriority w:val="0"/>
    <w:pPr>
      <w:widowControl w:val="0"/>
      <w:jc w:val="both"/>
    </w:pPr>
    <w:rPr>
      <w:rFonts w:hint="eastAsia" w:ascii="Times New Roman" w:hAnsi="Times New Roman" w:eastAsia="Times New Roman" w:cs="Times New Roman"/>
      <w:sz w:val="21"/>
      <w:lang w:val="en-US" w:eastAsia="zh-CN" w:bidi="ar-SA"/>
    </w:rPr>
  </w:style>
  <w:style w:type="paragraph" w:customStyle="1" w:styleId="62">
    <w:name w:val="reader-word-layer reader-word-s46-2"/>
    <w:basedOn w:val="1"/>
    <w:next w:val="63"/>
    <w:qFormat/>
    <w:uiPriority w:val="0"/>
    <w:pPr>
      <w:widowControl/>
      <w:spacing w:before="280" w:after="280"/>
    </w:pPr>
    <w:rPr>
      <w:rFonts w:ascii="宋体"/>
      <w:sz w:val="24"/>
    </w:rPr>
  </w:style>
  <w:style w:type="paragraph" w:customStyle="1" w:styleId="63">
    <w:name w:val="xl35"/>
    <w:basedOn w:val="1"/>
    <w:next w:val="1"/>
    <w:qFormat/>
    <w:uiPriority w:val="0"/>
    <w:pPr>
      <w:widowControl/>
      <w:shd w:val="clear" w:color="FFFFFF" w:fill="FFFFFF"/>
      <w:spacing w:before="280" w:after="280"/>
    </w:pPr>
    <w:rPr>
      <w:rFonts w:ascii="Arial Unicode MS" w:eastAsia="Arial Unicode MS"/>
      <w:sz w:val="24"/>
    </w:rPr>
  </w:style>
  <w:style w:type="paragraph" w:customStyle="1" w:styleId="64">
    <w:name w:val="样式 标题 1一级标题 + 段前: 0.5 行 段后: 0.5 行"/>
    <w:basedOn w:val="2"/>
    <w:autoRedefine/>
    <w:qFormat/>
    <w:uiPriority w:val="99"/>
    <w:pPr>
      <w:spacing w:line="320" w:lineRule="exact"/>
      <w:outlineLvl w:val="9"/>
    </w:pPr>
    <w:rPr>
      <w:spacing w:val="-6"/>
      <w:sz w:val="21"/>
      <w:szCs w:val="21"/>
    </w:rPr>
  </w:style>
  <w:style w:type="paragraph" w:customStyle="1" w:styleId="65">
    <w:name w:val="xl27"/>
    <w:basedOn w:val="1"/>
    <w:autoRedefine/>
    <w:qFormat/>
    <w:uiPriority w:val="0"/>
    <w:pPr>
      <w:widowControl/>
      <w:pBdr>
        <w:left w:val="single" w:color="auto" w:sz="4" w:space="0"/>
      </w:pBdr>
      <w:spacing w:before="100" w:beforeAutospacing="1" w:after="100" w:afterAutospacing="1"/>
      <w:jc w:val="center"/>
    </w:pPr>
    <w:rPr>
      <w:rFonts w:eastAsia="Arial Unicode MS"/>
      <w:kern w:val="0"/>
      <w:lang w:eastAsia="zh-TW"/>
    </w:rPr>
  </w:style>
  <w:style w:type="character" w:customStyle="1" w:styleId="66">
    <w:name w:val="正文文本缩进 字符"/>
    <w:link w:val="20"/>
    <w:autoRedefine/>
    <w:qFormat/>
    <w:locked/>
    <w:uiPriority w:val="0"/>
    <w:rPr>
      <w:rFonts w:ascii="Times New Roman" w:hAnsi="Times New Roman" w:eastAsia="宋体"/>
      <w:sz w:val="24"/>
    </w:rPr>
  </w:style>
  <w:style w:type="character" w:customStyle="1" w:styleId="67">
    <w:name w:val="正文文本首行缩进 2 字符"/>
    <w:link w:val="45"/>
    <w:autoRedefine/>
    <w:qFormat/>
    <w:uiPriority w:val="99"/>
    <w:rPr>
      <w:rFonts w:ascii="Times New Roman" w:hAnsi="Times New Roman" w:eastAsia="宋体"/>
      <w:kern w:val="2"/>
      <w:sz w:val="21"/>
      <w:szCs w:val="24"/>
    </w:rPr>
  </w:style>
  <w:style w:type="character" w:customStyle="1" w:styleId="68">
    <w:name w:val="标题 4 字符"/>
    <w:link w:val="5"/>
    <w:autoRedefine/>
    <w:qFormat/>
    <w:uiPriority w:val="0"/>
    <w:rPr>
      <w:rFonts w:ascii="Cambria" w:hAnsi="Cambria" w:eastAsia="宋体" w:cs="Times New Roman"/>
      <w:b/>
      <w:bCs/>
      <w:kern w:val="2"/>
      <w:sz w:val="28"/>
      <w:szCs w:val="28"/>
    </w:rPr>
  </w:style>
  <w:style w:type="character" w:customStyle="1" w:styleId="69">
    <w:name w:val="标题 5 字符"/>
    <w:link w:val="6"/>
    <w:qFormat/>
    <w:uiPriority w:val="0"/>
    <w:rPr>
      <w:b/>
      <w:bCs/>
      <w:kern w:val="2"/>
      <w:sz w:val="28"/>
      <w:szCs w:val="28"/>
    </w:rPr>
  </w:style>
  <w:style w:type="character" w:customStyle="1" w:styleId="70">
    <w:name w:val="标题 6 字符"/>
    <w:link w:val="7"/>
    <w:autoRedefine/>
    <w:qFormat/>
    <w:uiPriority w:val="0"/>
    <w:rPr>
      <w:rFonts w:eastAsia="Arial Unicode MS"/>
      <w:i/>
      <w:color w:val="000000"/>
      <w:spacing w:val="5"/>
      <w:kern w:val="20"/>
      <w:sz w:val="21"/>
    </w:rPr>
  </w:style>
  <w:style w:type="character" w:customStyle="1" w:styleId="71">
    <w:name w:val="标题 7 字符"/>
    <w:link w:val="8"/>
    <w:qFormat/>
    <w:uiPriority w:val="0"/>
    <w:rPr>
      <w:smallCaps/>
      <w:color w:val="000000"/>
      <w:kern w:val="20"/>
      <w:sz w:val="21"/>
    </w:rPr>
  </w:style>
  <w:style w:type="character" w:customStyle="1" w:styleId="72">
    <w:name w:val="标题 8 字符"/>
    <w:link w:val="9"/>
    <w:autoRedefine/>
    <w:qFormat/>
    <w:uiPriority w:val="0"/>
    <w:rPr>
      <w:i/>
      <w:color w:val="000000"/>
      <w:spacing w:val="5"/>
      <w:kern w:val="20"/>
      <w:sz w:val="21"/>
    </w:rPr>
  </w:style>
  <w:style w:type="character" w:customStyle="1" w:styleId="73">
    <w:name w:val="标题 9 字符"/>
    <w:link w:val="10"/>
    <w:qFormat/>
    <w:uiPriority w:val="0"/>
    <w:rPr>
      <w:color w:val="000000"/>
      <w:spacing w:val="-5"/>
      <w:kern w:val="20"/>
      <w:sz w:val="21"/>
    </w:rPr>
  </w:style>
  <w:style w:type="character" w:customStyle="1" w:styleId="74">
    <w:name w:val="正文缩进 字符1"/>
    <w:link w:val="13"/>
    <w:autoRedefine/>
    <w:qFormat/>
    <w:locked/>
    <w:uiPriority w:val="0"/>
    <w:rPr>
      <w:rFonts w:ascii="Calibri" w:hAnsi="Calibri"/>
      <w:kern w:val="2"/>
      <w:sz w:val="21"/>
      <w:szCs w:val="22"/>
    </w:rPr>
  </w:style>
  <w:style w:type="character" w:customStyle="1" w:styleId="75">
    <w:name w:val="文档结构图 字符"/>
    <w:link w:val="18"/>
    <w:autoRedefine/>
    <w:qFormat/>
    <w:uiPriority w:val="99"/>
    <w:rPr>
      <w:rFonts w:ascii="宋体"/>
      <w:kern w:val="2"/>
      <w:sz w:val="18"/>
      <w:szCs w:val="18"/>
    </w:rPr>
  </w:style>
  <w:style w:type="character" w:customStyle="1" w:styleId="76">
    <w:name w:val="批注文字 字符2"/>
    <w:link w:val="19"/>
    <w:autoRedefine/>
    <w:qFormat/>
    <w:locked/>
    <w:uiPriority w:val="0"/>
    <w:rPr>
      <w:rFonts w:ascii="Times New Roman" w:hAnsi="Times New Roman" w:eastAsia="宋体"/>
      <w:sz w:val="24"/>
    </w:rPr>
  </w:style>
  <w:style w:type="character" w:customStyle="1" w:styleId="77">
    <w:name w:val="正文文本 字符"/>
    <w:link w:val="15"/>
    <w:autoRedefine/>
    <w:qFormat/>
    <w:locked/>
    <w:uiPriority w:val="99"/>
    <w:rPr>
      <w:sz w:val="18"/>
    </w:rPr>
  </w:style>
  <w:style w:type="character" w:customStyle="1" w:styleId="78">
    <w:name w:val="纯文本 字符1"/>
    <w:link w:val="23"/>
    <w:autoRedefine/>
    <w:qFormat/>
    <w:locked/>
    <w:uiPriority w:val="0"/>
    <w:rPr>
      <w:rFonts w:ascii="宋体" w:hAnsi="Courier New"/>
    </w:rPr>
  </w:style>
  <w:style w:type="character" w:customStyle="1" w:styleId="79">
    <w:name w:val="日期 字符1"/>
    <w:link w:val="16"/>
    <w:autoRedefine/>
    <w:qFormat/>
    <w:locked/>
    <w:uiPriority w:val="0"/>
    <w:rPr>
      <w:rFonts w:ascii="Times New Roman" w:hAnsi="Times New Roman" w:eastAsia="宋体"/>
      <w:sz w:val="24"/>
    </w:rPr>
  </w:style>
  <w:style w:type="character" w:customStyle="1" w:styleId="80">
    <w:name w:val="正文文本缩进 2 字符"/>
    <w:link w:val="26"/>
    <w:autoRedefine/>
    <w:qFormat/>
    <w:uiPriority w:val="99"/>
    <w:rPr>
      <w:kern w:val="2"/>
      <w:sz w:val="21"/>
      <w:szCs w:val="24"/>
    </w:rPr>
  </w:style>
  <w:style w:type="character" w:customStyle="1" w:styleId="81">
    <w:name w:val="批注框文本 字符1"/>
    <w:link w:val="28"/>
    <w:autoRedefine/>
    <w:semiHidden/>
    <w:qFormat/>
    <w:locked/>
    <w:uiPriority w:val="0"/>
    <w:rPr>
      <w:rFonts w:ascii="Times New Roman" w:hAnsi="Times New Roman" w:eastAsia="宋体"/>
      <w:sz w:val="18"/>
    </w:rPr>
  </w:style>
  <w:style w:type="character" w:customStyle="1" w:styleId="82">
    <w:name w:val="页脚 字符1"/>
    <w:link w:val="29"/>
    <w:autoRedefine/>
    <w:qFormat/>
    <w:locked/>
    <w:uiPriority w:val="99"/>
    <w:rPr>
      <w:sz w:val="18"/>
    </w:rPr>
  </w:style>
  <w:style w:type="character" w:customStyle="1" w:styleId="83">
    <w:name w:val="页眉 字符"/>
    <w:link w:val="30"/>
    <w:autoRedefine/>
    <w:qFormat/>
    <w:locked/>
    <w:uiPriority w:val="0"/>
    <w:rPr>
      <w:sz w:val="18"/>
    </w:rPr>
  </w:style>
  <w:style w:type="character" w:customStyle="1" w:styleId="84">
    <w:name w:val="副标题 字符2"/>
    <w:link w:val="36"/>
    <w:autoRedefine/>
    <w:qFormat/>
    <w:uiPriority w:val="0"/>
    <w:rPr>
      <w:rFonts w:ascii="黑体" w:hAnsi="Cambria" w:eastAsia="黑体" w:cs="宋体"/>
      <w:kern w:val="28"/>
      <w:sz w:val="28"/>
      <w:szCs w:val="28"/>
    </w:rPr>
  </w:style>
  <w:style w:type="character" w:customStyle="1" w:styleId="85">
    <w:name w:val="列表 字符"/>
    <w:link w:val="37"/>
    <w:autoRedefine/>
    <w:qFormat/>
    <w:uiPriority w:val="0"/>
    <w:rPr>
      <w:rFonts w:ascii="Calibri" w:hAnsi="Calibri"/>
      <w:kern w:val="2"/>
      <w:sz w:val="21"/>
      <w:szCs w:val="22"/>
    </w:rPr>
  </w:style>
  <w:style w:type="character" w:customStyle="1" w:styleId="86">
    <w:name w:val="正文文本缩进 3 字符"/>
    <w:link w:val="39"/>
    <w:autoRedefine/>
    <w:qFormat/>
    <w:uiPriority w:val="0"/>
    <w:rPr>
      <w:rFonts w:ascii="新宋体" w:hAnsi="新宋体" w:eastAsia="新宋体"/>
      <w:sz w:val="24"/>
      <w:szCs w:val="24"/>
    </w:rPr>
  </w:style>
  <w:style w:type="character" w:customStyle="1" w:styleId="87">
    <w:name w:val="普通(网站) 字符"/>
    <w:link w:val="42"/>
    <w:autoRedefine/>
    <w:qFormat/>
    <w:locked/>
    <w:uiPriority w:val="0"/>
    <w:rPr>
      <w:rFonts w:ascii="宋体" w:hAnsi="宋体" w:eastAsia="宋体"/>
      <w:sz w:val="24"/>
    </w:rPr>
  </w:style>
  <w:style w:type="character" w:customStyle="1" w:styleId="88">
    <w:name w:val="标题 字符"/>
    <w:link w:val="43"/>
    <w:autoRedefine/>
    <w:qFormat/>
    <w:uiPriority w:val="0"/>
    <w:rPr>
      <w:rFonts w:ascii="Arial" w:hAnsi="Arial"/>
      <w:b/>
      <w:snapToGrid/>
      <w:color w:val="000000"/>
      <w:sz w:val="32"/>
    </w:rPr>
  </w:style>
  <w:style w:type="character" w:customStyle="1" w:styleId="89">
    <w:name w:val="批注主题 字符"/>
    <w:link w:val="44"/>
    <w:qFormat/>
    <w:locked/>
    <w:uiPriority w:val="0"/>
    <w:rPr>
      <w:rFonts w:ascii="Times New Roman" w:hAnsi="Times New Roman" w:eastAsia="宋体"/>
      <w:b/>
      <w:kern w:val="2"/>
      <w:sz w:val="24"/>
    </w:rPr>
  </w:style>
  <w:style w:type="character" w:customStyle="1" w:styleId="90">
    <w:name w:val="正文文本首行缩进 字符"/>
    <w:link w:val="14"/>
    <w:autoRedefine/>
    <w:qFormat/>
    <w:uiPriority w:val="99"/>
    <w:rPr>
      <w:sz w:val="24"/>
      <w:szCs w:val="22"/>
    </w:rPr>
  </w:style>
  <w:style w:type="character" w:customStyle="1" w:styleId="91">
    <w:name w:val="内部文字 字符"/>
    <w:link w:val="92"/>
    <w:autoRedefine/>
    <w:qFormat/>
    <w:uiPriority w:val="0"/>
    <w:rPr>
      <w:kern w:val="2"/>
      <w:sz w:val="24"/>
    </w:rPr>
  </w:style>
  <w:style w:type="paragraph" w:customStyle="1" w:styleId="92">
    <w:name w:val="内部文字"/>
    <w:basedOn w:val="1"/>
    <w:link w:val="91"/>
    <w:autoRedefine/>
    <w:qFormat/>
    <w:uiPriority w:val="0"/>
    <w:pPr>
      <w:adjustRightInd w:val="0"/>
      <w:snapToGrid w:val="0"/>
      <w:spacing w:line="360" w:lineRule="auto"/>
      <w:ind w:firstLine="200" w:firstLineChars="200"/>
    </w:pPr>
    <w:rPr>
      <w:sz w:val="24"/>
      <w:szCs w:val="20"/>
    </w:rPr>
  </w:style>
  <w:style w:type="character" w:customStyle="1" w:styleId="93">
    <w:name w:val="表格 Char"/>
    <w:link w:val="94"/>
    <w:autoRedefine/>
    <w:qFormat/>
    <w:locked/>
    <w:uiPriority w:val="0"/>
    <w:rPr>
      <w:rFonts w:ascii="宋体"/>
      <w:sz w:val="21"/>
    </w:rPr>
  </w:style>
  <w:style w:type="paragraph" w:customStyle="1" w:styleId="94">
    <w:name w:val="表格"/>
    <w:basedOn w:val="1"/>
    <w:next w:val="1"/>
    <w:link w:val="93"/>
    <w:autoRedefine/>
    <w:qFormat/>
    <w:uiPriority w:val="99"/>
    <w:pPr>
      <w:adjustRightInd w:val="0"/>
      <w:snapToGrid w:val="0"/>
      <w:spacing w:beforeLines="10" w:afterLines="10" w:line="259" w:lineRule="auto"/>
      <w:jc w:val="center"/>
    </w:pPr>
    <w:rPr>
      <w:rFonts w:ascii="宋体"/>
      <w:kern w:val="0"/>
      <w:szCs w:val="20"/>
    </w:rPr>
  </w:style>
  <w:style w:type="character" w:customStyle="1" w:styleId="95">
    <w:name w:val="正文文本 字符1"/>
    <w:autoRedefine/>
    <w:semiHidden/>
    <w:qFormat/>
    <w:uiPriority w:val="0"/>
    <w:rPr>
      <w:rFonts w:ascii="Times New Roman" w:hAnsi="Times New Roman" w:eastAsia="宋体"/>
      <w:sz w:val="24"/>
    </w:rPr>
  </w:style>
  <w:style w:type="character" w:customStyle="1" w:styleId="96">
    <w:name w:val="15"/>
    <w:autoRedefine/>
    <w:qFormat/>
    <w:uiPriority w:val="0"/>
    <w:rPr>
      <w:rFonts w:hint="default" w:ascii="Times New Roman" w:hAnsi="Times New Roman" w:cs="Times New Roman"/>
    </w:rPr>
  </w:style>
  <w:style w:type="character" w:customStyle="1" w:styleId="97">
    <w:name w:val="表内容 Char Char"/>
    <w:link w:val="98"/>
    <w:autoRedefine/>
    <w:qFormat/>
    <w:locked/>
    <w:uiPriority w:val="0"/>
    <w:rPr>
      <w:rFonts w:eastAsia="Times New Roman"/>
      <w:sz w:val="21"/>
      <w:szCs w:val="21"/>
    </w:rPr>
  </w:style>
  <w:style w:type="paragraph" w:customStyle="1" w:styleId="98">
    <w:name w:val="表内容"/>
    <w:basedOn w:val="1"/>
    <w:next w:val="1"/>
    <w:link w:val="97"/>
    <w:autoRedefine/>
    <w:qFormat/>
    <w:uiPriority w:val="0"/>
    <w:pPr>
      <w:adjustRightInd w:val="0"/>
      <w:snapToGrid w:val="0"/>
      <w:jc w:val="center"/>
    </w:pPr>
    <w:rPr>
      <w:rFonts w:eastAsia="Times New Roman"/>
      <w:kern w:val="0"/>
      <w:szCs w:val="21"/>
    </w:rPr>
  </w:style>
  <w:style w:type="character" w:customStyle="1" w:styleId="99">
    <w:name w:val="批注文字 字符1"/>
    <w:autoRedefine/>
    <w:semiHidden/>
    <w:qFormat/>
    <w:uiPriority w:val="0"/>
    <w:rPr>
      <w:rFonts w:ascii="Times New Roman" w:hAnsi="Times New Roman" w:eastAsia="宋体"/>
      <w:sz w:val="24"/>
    </w:rPr>
  </w:style>
  <w:style w:type="character" w:customStyle="1" w:styleId="100">
    <w:name w:val="正文 首行缩进:  2 字符 Char Char"/>
    <w:link w:val="101"/>
    <w:autoRedefine/>
    <w:qFormat/>
    <w:uiPriority w:val="0"/>
    <w:rPr>
      <w:rFonts w:cs="宋体"/>
      <w:sz w:val="24"/>
    </w:rPr>
  </w:style>
  <w:style w:type="paragraph" w:customStyle="1" w:styleId="101">
    <w:name w:val="正文 首行缩进:  2 字符"/>
    <w:basedOn w:val="1"/>
    <w:link w:val="100"/>
    <w:qFormat/>
    <w:uiPriority w:val="0"/>
    <w:pPr>
      <w:adjustRightInd w:val="0"/>
      <w:snapToGrid w:val="0"/>
      <w:spacing w:line="500" w:lineRule="exact"/>
      <w:ind w:firstLine="200" w:firstLineChars="200"/>
      <w:jc w:val="left"/>
    </w:pPr>
    <w:rPr>
      <w:kern w:val="0"/>
      <w:sz w:val="24"/>
      <w:szCs w:val="20"/>
    </w:rPr>
  </w:style>
  <w:style w:type="character" w:customStyle="1" w:styleId="102">
    <w:name w:val="日期 字符"/>
    <w:autoRedefine/>
    <w:semiHidden/>
    <w:qFormat/>
    <w:uiPriority w:val="99"/>
    <w:rPr>
      <w:rFonts w:ascii="Times New Roman" w:hAnsi="Times New Roman" w:eastAsia="宋体"/>
      <w:sz w:val="24"/>
    </w:rPr>
  </w:style>
  <w:style w:type="character" w:customStyle="1" w:styleId="103">
    <w:name w:val="内部表头 字符"/>
    <w:link w:val="104"/>
    <w:autoRedefine/>
    <w:qFormat/>
    <w:uiPriority w:val="0"/>
    <w:rPr>
      <w:rFonts w:eastAsia="黑体" w:cs="黑体"/>
      <w:b/>
      <w:kern w:val="2"/>
      <w:sz w:val="21"/>
      <w:szCs w:val="21"/>
    </w:rPr>
  </w:style>
  <w:style w:type="paragraph" w:customStyle="1" w:styleId="104">
    <w:name w:val="内部表头"/>
    <w:basedOn w:val="1"/>
    <w:link w:val="103"/>
    <w:autoRedefine/>
    <w:qFormat/>
    <w:uiPriority w:val="0"/>
    <w:pPr>
      <w:adjustRightInd w:val="0"/>
      <w:snapToGrid w:val="0"/>
      <w:spacing w:line="360" w:lineRule="auto"/>
      <w:jc w:val="center"/>
    </w:pPr>
    <w:rPr>
      <w:rFonts w:eastAsia="黑体" w:cs="黑体"/>
      <w:b/>
      <w:szCs w:val="21"/>
    </w:rPr>
  </w:style>
  <w:style w:type="character" w:customStyle="1" w:styleId="105">
    <w:name w:val="页脚 字符"/>
    <w:autoRedefine/>
    <w:qFormat/>
    <w:uiPriority w:val="99"/>
  </w:style>
  <w:style w:type="character" w:customStyle="1" w:styleId="106">
    <w:name w:val="副标题 Char1"/>
    <w:autoRedefine/>
    <w:qFormat/>
    <w:uiPriority w:val="0"/>
    <w:rPr>
      <w:rFonts w:ascii="Cambria" w:hAnsi="Cambria" w:cs="Times New Roman"/>
      <w:b/>
      <w:bCs/>
      <w:kern w:val="28"/>
      <w:sz w:val="32"/>
      <w:szCs w:val="32"/>
    </w:rPr>
  </w:style>
  <w:style w:type="character" w:customStyle="1" w:styleId="107">
    <w:name w:val="列表段落 字符"/>
    <w:link w:val="108"/>
    <w:autoRedefine/>
    <w:qFormat/>
    <w:uiPriority w:val="1"/>
    <w:rPr>
      <w:kern w:val="2"/>
      <w:sz w:val="21"/>
    </w:rPr>
  </w:style>
  <w:style w:type="paragraph" w:styleId="108">
    <w:name w:val="List Paragraph"/>
    <w:basedOn w:val="1"/>
    <w:link w:val="107"/>
    <w:autoRedefine/>
    <w:qFormat/>
    <w:uiPriority w:val="1"/>
    <w:pPr>
      <w:ind w:firstLine="420" w:firstLineChars="200"/>
    </w:pPr>
    <w:rPr>
      <w:szCs w:val="20"/>
    </w:rPr>
  </w:style>
  <w:style w:type="character" w:customStyle="1" w:styleId="109">
    <w:name w:val="表头 Char"/>
    <w:link w:val="110"/>
    <w:autoRedefine/>
    <w:qFormat/>
    <w:uiPriority w:val="0"/>
    <w:rPr>
      <w:rFonts w:ascii="黑体" w:hAnsi="黑体" w:eastAsia="黑体"/>
      <w:kern w:val="2"/>
      <w:sz w:val="24"/>
      <w:szCs w:val="24"/>
    </w:rPr>
  </w:style>
  <w:style w:type="paragraph" w:customStyle="1" w:styleId="110">
    <w:name w:val="表头"/>
    <w:basedOn w:val="1"/>
    <w:link w:val="109"/>
    <w:autoRedefine/>
    <w:qFormat/>
    <w:uiPriority w:val="0"/>
    <w:pPr>
      <w:widowControl/>
      <w:adjustRightInd w:val="0"/>
      <w:snapToGrid w:val="0"/>
      <w:spacing w:line="360" w:lineRule="auto"/>
      <w:jc w:val="center"/>
    </w:pPr>
    <w:rPr>
      <w:rFonts w:ascii="黑体" w:hAnsi="黑体" w:eastAsia="黑体"/>
      <w:sz w:val="24"/>
    </w:rPr>
  </w:style>
  <w:style w:type="character" w:customStyle="1" w:styleId="111">
    <w:name w:val="纯文本 Char1"/>
    <w:link w:val="112"/>
    <w:autoRedefine/>
    <w:qFormat/>
    <w:uiPriority w:val="0"/>
    <w:rPr>
      <w:rFonts w:ascii="宋体" w:hAnsi="Courier New" w:cs="Courier New"/>
      <w:kern w:val="2"/>
      <w:sz w:val="21"/>
      <w:szCs w:val="21"/>
    </w:rPr>
  </w:style>
  <w:style w:type="paragraph" w:customStyle="1" w:styleId="112">
    <w:name w:val="纯文本1"/>
    <w:basedOn w:val="1"/>
    <w:link w:val="111"/>
    <w:autoRedefine/>
    <w:qFormat/>
    <w:uiPriority w:val="0"/>
    <w:pPr>
      <w:spacing w:line="360" w:lineRule="auto"/>
    </w:pPr>
    <w:rPr>
      <w:rFonts w:ascii="宋体" w:hAnsi="Courier New" w:cs="Courier New"/>
      <w:szCs w:val="21"/>
    </w:rPr>
  </w:style>
  <w:style w:type="character" w:customStyle="1" w:styleId="113">
    <w:name w:val="正文修改 Char"/>
    <w:link w:val="114"/>
    <w:autoRedefine/>
    <w:qFormat/>
    <w:uiPriority w:val="0"/>
    <w:rPr>
      <w:rFonts w:cs="宋体"/>
      <w:sz w:val="24"/>
    </w:rPr>
  </w:style>
  <w:style w:type="paragraph" w:customStyle="1" w:styleId="114">
    <w:name w:val="正文修改"/>
    <w:basedOn w:val="1"/>
    <w:link w:val="113"/>
    <w:autoRedefine/>
    <w:qFormat/>
    <w:uiPriority w:val="0"/>
    <w:pPr>
      <w:spacing w:line="360" w:lineRule="auto"/>
      <w:ind w:firstLine="480" w:firstLineChars="200"/>
    </w:pPr>
    <w:rPr>
      <w:kern w:val="0"/>
      <w:sz w:val="24"/>
      <w:szCs w:val="20"/>
    </w:rPr>
  </w:style>
  <w:style w:type="character" w:customStyle="1" w:styleId="115">
    <w:name w:val="无间隔 字符"/>
    <w:link w:val="116"/>
    <w:autoRedefine/>
    <w:qFormat/>
    <w:uiPriority w:val="1"/>
    <w:rPr>
      <w:rFonts w:ascii="Calibri" w:hAnsi="Calibri"/>
      <w:sz w:val="22"/>
      <w:szCs w:val="22"/>
      <w:lang w:val="en-US" w:eastAsia="zh-CN" w:bidi="ar-SA"/>
    </w:rPr>
  </w:style>
  <w:style w:type="paragraph" w:styleId="116">
    <w:name w:val="No Spacing"/>
    <w:link w:val="115"/>
    <w:autoRedefine/>
    <w:qFormat/>
    <w:uiPriority w:val="1"/>
    <w:rPr>
      <w:rFonts w:ascii="Calibri" w:hAnsi="Calibri" w:eastAsia="宋体" w:cs="Times New Roman"/>
      <w:sz w:val="22"/>
      <w:szCs w:val="22"/>
      <w:lang w:val="en-US" w:eastAsia="zh-CN" w:bidi="ar-SA"/>
    </w:rPr>
  </w:style>
  <w:style w:type="paragraph" w:customStyle="1" w:styleId="117">
    <w:name w:val="三级"/>
    <w:basedOn w:val="1"/>
    <w:autoRedefine/>
    <w:qFormat/>
    <w:uiPriority w:val="0"/>
    <w:pPr>
      <w:adjustRightInd w:val="0"/>
      <w:snapToGrid w:val="0"/>
      <w:jc w:val="left"/>
      <w:outlineLvl w:val="2"/>
    </w:pPr>
    <w:rPr>
      <w:b/>
      <w:kern w:val="0"/>
    </w:rPr>
  </w:style>
  <w:style w:type="paragraph" w:customStyle="1" w:styleId="118">
    <w:name w:val="li_正文"/>
    <w:basedOn w:val="1"/>
    <w:autoRedefine/>
    <w:qFormat/>
    <w:uiPriority w:val="0"/>
    <w:pPr>
      <w:widowControl/>
      <w:adjustRightInd w:val="0"/>
      <w:snapToGrid w:val="0"/>
      <w:spacing w:after="200"/>
      <w:ind w:firstLine="200" w:firstLineChars="200"/>
      <w:jc w:val="left"/>
    </w:pPr>
    <w:rPr>
      <w:rFonts w:ascii="Calibri" w:hAnsi="Calibri"/>
      <w:kern w:val="0"/>
      <w:sz w:val="28"/>
      <w:szCs w:val="28"/>
    </w:rPr>
  </w:style>
  <w:style w:type="paragraph" w:customStyle="1" w:styleId="119">
    <w:name w:val="Table Paragraph"/>
    <w:basedOn w:val="1"/>
    <w:autoRedefine/>
    <w:qFormat/>
    <w:uiPriority w:val="0"/>
    <w:pPr>
      <w:widowControl/>
      <w:jc w:val="left"/>
    </w:pPr>
    <w:rPr>
      <w:rFonts w:ascii="Calibri" w:hAnsi="Calibri"/>
      <w:kern w:val="0"/>
      <w:sz w:val="22"/>
      <w:szCs w:val="22"/>
    </w:rPr>
  </w:style>
  <w:style w:type="paragraph" w:customStyle="1" w:styleId="120">
    <w:name w:val="Normal_8"/>
    <w:autoRedefine/>
    <w:qFormat/>
    <w:uiPriority w:val="0"/>
    <w:pPr>
      <w:spacing w:before="120" w:after="240"/>
      <w:jc w:val="both"/>
    </w:pPr>
    <w:rPr>
      <w:rFonts w:ascii="Times New Roman" w:hAnsi="Times New Roman" w:eastAsia="Times New Roman" w:cs="Times New Roman"/>
      <w:sz w:val="22"/>
      <w:szCs w:val="22"/>
      <w:lang w:val="ru-RU" w:eastAsia="en-US" w:bidi="ar-SA"/>
    </w:rPr>
  </w:style>
  <w:style w:type="paragraph" w:customStyle="1" w:styleId="121">
    <w:name w:val="正文缩进1"/>
    <w:autoRedefine/>
    <w:qFormat/>
    <w:uiPriority w:val="0"/>
    <w:pPr>
      <w:snapToGrid w:val="0"/>
      <w:spacing w:line="440" w:lineRule="exact"/>
      <w:ind w:firstLine="480"/>
      <w:jc w:val="both"/>
    </w:pPr>
    <w:rPr>
      <w:rFonts w:ascii="宋体" w:hAnsi="Times New Roman" w:eastAsia="宋体" w:cs="Times New Roman"/>
      <w:spacing w:val="6"/>
      <w:kern w:val="24"/>
      <w:sz w:val="24"/>
      <w:szCs w:val="22"/>
      <w:lang w:val="en-US" w:eastAsia="zh-CN" w:bidi="ar-SA"/>
    </w:rPr>
  </w:style>
  <w:style w:type="paragraph" w:customStyle="1" w:styleId="122">
    <w:name w:val="Default"/>
    <w:basedOn w:val="112"/>
    <w:link w:val="127"/>
    <w:autoRedefine/>
    <w:qFormat/>
    <w:uiPriority w:val="99"/>
    <w:pPr>
      <w:autoSpaceDE w:val="0"/>
      <w:autoSpaceDN w:val="0"/>
      <w:adjustRightInd w:val="0"/>
    </w:pPr>
    <w:rPr>
      <w:rFonts w:ascii="Arial" w:hAnsi="Arial" w:cs="Times New Roman"/>
      <w:color w:val="000000"/>
      <w:sz w:val="24"/>
      <w:szCs w:val="24"/>
    </w:rPr>
  </w:style>
  <w:style w:type="paragraph" w:customStyle="1" w:styleId="123">
    <w:name w:val="样式35"/>
    <w:basedOn w:val="1"/>
    <w:next w:val="1"/>
    <w:autoRedefine/>
    <w:qFormat/>
    <w:uiPriority w:val="0"/>
    <w:pPr>
      <w:spacing w:line="312" w:lineRule="auto"/>
      <w:ind w:firstLine="567"/>
    </w:pPr>
    <w:rPr>
      <w:rFonts w:ascii="宋体"/>
      <w:sz w:val="28"/>
    </w:rPr>
  </w:style>
  <w:style w:type="paragraph" w:styleId="124">
    <w:name w:val="Intense Quote"/>
    <w:next w:val="1"/>
    <w:autoRedefine/>
    <w:qFormat/>
    <w:uiPriority w:val="0"/>
    <w:pPr>
      <w:wordWrap w:val="0"/>
      <w:spacing w:before="360" w:after="360"/>
      <w:ind w:left="950" w:right="950"/>
      <w:jc w:val="center"/>
    </w:pPr>
    <w:rPr>
      <w:rFonts w:ascii="Times New Roman" w:hAnsi="Times New Roman" w:eastAsia="Times New Roman" w:cs="Times New Roman"/>
      <w:i/>
      <w:sz w:val="21"/>
      <w:lang w:val="en-US" w:eastAsia="zh-CN" w:bidi="ar-SA"/>
    </w:rPr>
  </w:style>
  <w:style w:type="paragraph" w:customStyle="1" w:styleId="125">
    <w:name w:val="标题 段落4级"/>
    <w:basedOn w:val="126"/>
    <w:autoRedefine/>
    <w:qFormat/>
    <w:uiPriority w:val="0"/>
    <w:pPr>
      <w:outlineLvl w:val="3"/>
    </w:pPr>
    <w:rPr>
      <w:rFonts w:cs="Calibri"/>
      <w:b/>
      <w:kern w:val="2"/>
    </w:rPr>
  </w:style>
  <w:style w:type="paragraph" w:customStyle="1" w:styleId="126">
    <w:name w:val="正文 文本"/>
    <w:autoRedefine/>
    <w:qFormat/>
    <w:uiPriority w:val="0"/>
    <w:pPr>
      <w:widowControl w:val="0"/>
      <w:spacing w:line="500" w:lineRule="exact"/>
      <w:ind w:firstLine="200" w:firstLineChars="200"/>
      <w:jc w:val="both"/>
    </w:pPr>
    <w:rPr>
      <w:rFonts w:ascii="Times New Roman" w:hAnsi="Times New Roman" w:eastAsia="仿宋_GB2312" w:cs="Times New Roman"/>
      <w:sz w:val="28"/>
      <w:szCs w:val="24"/>
      <w:lang w:val="en-US" w:eastAsia="zh-CN" w:bidi="ar-SA"/>
    </w:rPr>
  </w:style>
  <w:style w:type="character" w:customStyle="1" w:styleId="127">
    <w:name w:val="Default Char"/>
    <w:link w:val="122"/>
    <w:autoRedefine/>
    <w:qFormat/>
    <w:uiPriority w:val="0"/>
    <w:rPr>
      <w:rFonts w:ascii="Arial" w:hAnsi="Arial"/>
      <w:color w:val="000000"/>
      <w:kern w:val="2"/>
      <w:sz w:val="24"/>
      <w:szCs w:val="24"/>
      <w:lang w:bidi="ar-SA"/>
    </w:rPr>
  </w:style>
  <w:style w:type="paragraph" w:customStyle="1" w:styleId="128">
    <w:name w:val="Header Base"/>
    <w:basedOn w:val="15"/>
    <w:autoRedefine/>
    <w:qFormat/>
    <w:uiPriority w:val="0"/>
    <w:pPr>
      <w:keepLines/>
      <w:tabs>
        <w:tab w:val="center" w:pos="4320"/>
        <w:tab w:val="right" w:pos="8640"/>
      </w:tabs>
      <w:snapToGrid/>
      <w:spacing w:before="0" w:after="0" w:line="180" w:lineRule="atLeast"/>
      <w:ind w:right="0"/>
    </w:pPr>
    <w:rPr>
      <w:rFonts w:ascii="Arial" w:hAnsi="Arial"/>
      <w:spacing w:val="-5"/>
      <w:sz w:val="28"/>
    </w:rPr>
  </w:style>
  <w:style w:type="paragraph" w:customStyle="1" w:styleId="129">
    <w:name w:val="000表内"/>
    <w:basedOn w:val="1"/>
    <w:link w:val="130"/>
    <w:autoRedefine/>
    <w:qFormat/>
    <w:uiPriority w:val="0"/>
    <w:pPr>
      <w:spacing w:before="100" w:beforeAutospacing="1" w:line="280" w:lineRule="exact"/>
      <w:jc w:val="center"/>
    </w:pPr>
    <w:rPr>
      <w:sz w:val="18"/>
      <w:szCs w:val="18"/>
    </w:rPr>
  </w:style>
  <w:style w:type="character" w:customStyle="1" w:styleId="130">
    <w:name w:val="000表内 Char"/>
    <w:link w:val="129"/>
    <w:qFormat/>
    <w:uiPriority w:val="0"/>
    <w:rPr>
      <w:kern w:val="2"/>
      <w:sz w:val="18"/>
      <w:szCs w:val="18"/>
    </w:rPr>
  </w:style>
  <w:style w:type="paragraph" w:customStyle="1" w:styleId="131">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13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33">
    <w:name w:val="正文内容"/>
    <w:basedOn w:val="1"/>
    <w:autoRedefine/>
    <w:qFormat/>
    <w:uiPriority w:val="0"/>
    <w:pPr>
      <w:spacing w:line="500" w:lineRule="exact"/>
      <w:ind w:firstLine="200" w:firstLineChars="200"/>
    </w:pPr>
    <w:rPr>
      <w:kern w:val="0"/>
      <w:sz w:val="24"/>
    </w:rPr>
  </w:style>
  <w:style w:type="paragraph" w:customStyle="1" w:styleId="134">
    <w:name w:val="样式"/>
    <w:autoRedefine/>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35">
    <w:name w:val="p0"/>
    <w:basedOn w:val="1"/>
    <w:autoRedefine/>
    <w:qFormat/>
    <w:uiPriority w:val="0"/>
    <w:pPr>
      <w:widowControl/>
      <w:spacing w:before="100" w:beforeAutospacing="1" w:after="100" w:afterAutospacing="1"/>
      <w:jc w:val="left"/>
    </w:pPr>
    <w:rPr>
      <w:rFonts w:ascii="宋体" w:hAnsi="宋体" w:cs="宋体"/>
      <w:kern w:val="0"/>
      <w:sz w:val="24"/>
    </w:rPr>
  </w:style>
  <w:style w:type="character" w:customStyle="1" w:styleId="136">
    <w:name w:val="正文lcc Char"/>
    <w:link w:val="137"/>
    <w:autoRedefine/>
    <w:qFormat/>
    <w:uiPriority w:val="0"/>
    <w:rPr>
      <w:color w:val="000000"/>
      <w:kern w:val="2"/>
      <w:sz w:val="24"/>
    </w:rPr>
  </w:style>
  <w:style w:type="paragraph" w:customStyle="1" w:styleId="137">
    <w:name w:val="正文lcc"/>
    <w:basedOn w:val="1"/>
    <w:link w:val="136"/>
    <w:autoRedefine/>
    <w:qFormat/>
    <w:uiPriority w:val="0"/>
    <w:pPr>
      <w:snapToGrid w:val="0"/>
      <w:spacing w:line="360" w:lineRule="auto"/>
      <w:ind w:firstLine="480" w:firstLineChars="200"/>
    </w:pPr>
    <w:rPr>
      <w:color w:val="000000"/>
      <w:sz w:val="24"/>
      <w:szCs w:val="20"/>
    </w:rPr>
  </w:style>
  <w:style w:type="character" w:customStyle="1" w:styleId="138">
    <w:name w:val="表内lcc Char"/>
    <w:link w:val="139"/>
    <w:autoRedefine/>
    <w:qFormat/>
    <w:uiPriority w:val="0"/>
    <w:rPr>
      <w:iCs/>
      <w:color w:val="000000"/>
      <w:kern w:val="2"/>
      <w:sz w:val="21"/>
      <w:szCs w:val="21"/>
    </w:rPr>
  </w:style>
  <w:style w:type="paragraph" w:customStyle="1" w:styleId="139">
    <w:name w:val="表内lcc"/>
    <w:basedOn w:val="1"/>
    <w:link w:val="138"/>
    <w:autoRedefine/>
    <w:qFormat/>
    <w:uiPriority w:val="0"/>
    <w:pPr>
      <w:jc w:val="center"/>
    </w:pPr>
    <w:rPr>
      <w:iCs/>
      <w:color w:val="000000"/>
      <w:szCs w:val="21"/>
    </w:rPr>
  </w:style>
  <w:style w:type="character" w:customStyle="1" w:styleId="140">
    <w:name w:val="表头2-lcc Char"/>
    <w:link w:val="141"/>
    <w:autoRedefine/>
    <w:qFormat/>
    <w:uiPriority w:val="0"/>
    <w:rPr>
      <w:b/>
      <w:sz w:val="21"/>
      <w:szCs w:val="21"/>
    </w:rPr>
  </w:style>
  <w:style w:type="paragraph" w:customStyle="1" w:styleId="141">
    <w:name w:val="表头2-lcc"/>
    <w:basedOn w:val="1"/>
    <w:link w:val="140"/>
    <w:autoRedefine/>
    <w:qFormat/>
    <w:uiPriority w:val="0"/>
    <w:pPr>
      <w:adjustRightInd w:val="0"/>
      <w:jc w:val="center"/>
      <w:textAlignment w:val="baseline"/>
    </w:pPr>
    <w:rPr>
      <w:b/>
      <w:kern w:val="0"/>
      <w:szCs w:val="21"/>
    </w:rPr>
  </w:style>
  <w:style w:type="paragraph" w:customStyle="1" w:styleId="142">
    <w:name w:val="表文-lcc"/>
    <w:basedOn w:val="1"/>
    <w:qFormat/>
    <w:uiPriority w:val="0"/>
    <w:pPr>
      <w:jc w:val="center"/>
    </w:pPr>
    <w:rPr>
      <w:szCs w:val="21"/>
    </w:rPr>
  </w:style>
  <w:style w:type="character" w:customStyle="1" w:styleId="143">
    <w:name w:val="正文加粗lcc Char"/>
    <w:link w:val="144"/>
    <w:autoRedefine/>
    <w:qFormat/>
    <w:uiPriority w:val="0"/>
    <w:rPr>
      <w:rFonts w:cs="TimesNewRomanPS-BoldMT"/>
      <w:b/>
      <w:color w:val="000000"/>
      <w:kern w:val="2"/>
      <w:sz w:val="24"/>
      <w:szCs w:val="22"/>
    </w:rPr>
  </w:style>
  <w:style w:type="paragraph" w:customStyle="1" w:styleId="144">
    <w:name w:val="正文加粗lcc"/>
    <w:basedOn w:val="1"/>
    <w:link w:val="143"/>
    <w:qFormat/>
    <w:uiPriority w:val="0"/>
    <w:pPr>
      <w:spacing w:line="360" w:lineRule="auto"/>
      <w:ind w:firstLine="200" w:firstLineChars="200"/>
    </w:pPr>
    <w:rPr>
      <w:b/>
      <w:color w:val="000000"/>
      <w:sz w:val="24"/>
      <w:szCs w:val="22"/>
    </w:rPr>
  </w:style>
  <w:style w:type="paragraph" w:customStyle="1" w:styleId="145">
    <w:name w:val="报告书正文段落"/>
    <w:basedOn w:val="1"/>
    <w:autoRedefine/>
    <w:qFormat/>
    <w:uiPriority w:val="0"/>
    <w:pPr>
      <w:spacing w:line="520" w:lineRule="exact"/>
      <w:ind w:firstLine="200" w:firstLineChars="200"/>
      <w:jc w:val="left"/>
    </w:pPr>
    <w:rPr>
      <w:kern w:val="0"/>
      <w:sz w:val="24"/>
      <w:szCs w:val="20"/>
      <w:lang w:val="zh-CN"/>
    </w:rPr>
  </w:style>
  <w:style w:type="character" w:customStyle="1" w:styleId="146">
    <w:name w:val="font41"/>
    <w:basedOn w:val="49"/>
    <w:qFormat/>
    <w:uiPriority w:val="0"/>
    <w:rPr>
      <w:rFonts w:hint="default" w:ascii="Times New Roman" w:hAnsi="Times New Roman" w:eastAsia="黑体" w:cs="Times New Roman"/>
      <w:b/>
      <w:bCs/>
      <w:snapToGrid w:val="0"/>
      <w:color w:val="000000"/>
      <w:sz w:val="21"/>
      <w:szCs w:val="21"/>
      <w:u w:val="none"/>
    </w:rPr>
  </w:style>
  <w:style w:type="character" w:customStyle="1" w:styleId="147">
    <w:name w:val="表内容 Char"/>
    <w:autoRedefine/>
    <w:qFormat/>
    <w:uiPriority w:val="0"/>
    <w:rPr>
      <w:color w:val="000000"/>
      <w:kern w:val="2"/>
      <w:sz w:val="21"/>
      <w:szCs w:val="22"/>
    </w:rPr>
  </w:style>
  <w:style w:type="character" w:customStyle="1" w:styleId="148">
    <w:name w:val="标题3李程程、 Char"/>
    <w:link w:val="149"/>
    <w:autoRedefine/>
    <w:qFormat/>
    <w:uiPriority w:val="0"/>
    <w:rPr>
      <w:rFonts w:ascii="宋体"/>
      <w:b/>
      <w:color w:val="000000"/>
      <w:kern w:val="2"/>
      <w:sz w:val="24"/>
      <w:szCs w:val="24"/>
    </w:rPr>
  </w:style>
  <w:style w:type="paragraph" w:customStyle="1" w:styleId="149">
    <w:name w:val="标题3李程程、"/>
    <w:basedOn w:val="122"/>
    <w:link w:val="148"/>
    <w:autoRedefine/>
    <w:qFormat/>
    <w:uiPriority w:val="0"/>
    <w:pPr>
      <w:textAlignment w:val="baseline"/>
    </w:pPr>
    <w:rPr>
      <w:rFonts w:ascii="宋体" w:hAnsi="Times New Roman"/>
    </w:rPr>
  </w:style>
  <w:style w:type="character" w:customStyle="1" w:styleId="150">
    <w:name w:val="聪标题4 Char"/>
    <w:link w:val="151"/>
    <w:autoRedefine/>
    <w:qFormat/>
    <w:uiPriority w:val="0"/>
    <w:rPr>
      <w:rFonts w:ascii="黑体" w:hAnsi="宋体" w:eastAsia="黑体"/>
      <w:kern w:val="2"/>
      <w:sz w:val="24"/>
      <w:szCs w:val="24"/>
    </w:rPr>
  </w:style>
  <w:style w:type="paragraph" w:customStyle="1" w:styleId="151">
    <w:name w:val="聪标题4"/>
    <w:basedOn w:val="1"/>
    <w:link w:val="150"/>
    <w:autoRedefine/>
    <w:qFormat/>
    <w:uiPriority w:val="0"/>
    <w:pPr>
      <w:widowControl/>
      <w:tabs>
        <w:tab w:val="left" w:pos="1134"/>
        <w:tab w:val="left" w:pos="1710"/>
        <w:tab w:val="left" w:pos="2268"/>
        <w:tab w:val="left" w:pos="2835"/>
        <w:tab w:val="left" w:pos="3402"/>
        <w:tab w:val="left" w:pos="3969"/>
        <w:tab w:val="left" w:pos="4536"/>
        <w:tab w:val="left" w:pos="5130"/>
        <w:tab w:val="left" w:pos="5700"/>
        <w:tab w:val="left" w:pos="6270"/>
        <w:tab w:val="left" w:pos="6840"/>
        <w:tab w:val="left" w:pos="7410"/>
        <w:tab w:val="left" w:pos="7980"/>
        <w:tab w:val="left" w:pos="8550"/>
        <w:tab w:val="left" w:pos="9072"/>
        <w:tab w:val="left" w:pos="9639"/>
        <w:tab w:val="left" w:pos="10206"/>
        <w:tab w:val="left" w:pos="10773"/>
        <w:tab w:val="left" w:pos="11340"/>
      </w:tabs>
      <w:autoSpaceDE w:val="0"/>
      <w:autoSpaceDN w:val="0"/>
      <w:spacing w:line="360" w:lineRule="auto"/>
      <w:outlineLvl w:val="3"/>
    </w:pPr>
    <w:rPr>
      <w:rFonts w:ascii="黑体" w:hAnsi="宋体" w:eastAsia="黑体"/>
      <w:sz w:val="24"/>
    </w:rPr>
  </w:style>
  <w:style w:type="character" w:customStyle="1" w:styleId="152">
    <w:name w:val="聪正文 Char"/>
    <w:link w:val="153"/>
    <w:autoRedefine/>
    <w:qFormat/>
    <w:uiPriority w:val="0"/>
    <w:rPr>
      <w:rFonts w:ascii="宋体" w:hAnsi="宋体"/>
      <w:kern w:val="2"/>
      <w:sz w:val="24"/>
      <w:szCs w:val="24"/>
    </w:rPr>
  </w:style>
  <w:style w:type="paragraph" w:customStyle="1" w:styleId="153">
    <w:name w:val="聪正文"/>
    <w:basedOn w:val="1"/>
    <w:link w:val="152"/>
    <w:autoRedefine/>
    <w:qFormat/>
    <w:uiPriority w:val="0"/>
    <w:pPr>
      <w:widowControl/>
      <w:spacing w:line="360" w:lineRule="auto"/>
      <w:ind w:firstLine="200" w:firstLineChars="200"/>
    </w:pPr>
    <w:rPr>
      <w:rFonts w:ascii="宋体" w:hAnsi="宋体"/>
      <w:sz w:val="24"/>
    </w:rPr>
  </w:style>
  <w:style w:type="character" w:customStyle="1" w:styleId="154">
    <w:name w:val="聪表标题 Char"/>
    <w:link w:val="155"/>
    <w:qFormat/>
    <w:uiPriority w:val="0"/>
    <w:rPr>
      <w:rFonts w:ascii="黑体" w:hAnsi="黑体" w:eastAsia="黑体"/>
      <w:kern w:val="2"/>
      <w:sz w:val="24"/>
      <w:szCs w:val="24"/>
    </w:rPr>
  </w:style>
  <w:style w:type="paragraph" w:customStyle="1" w:styleId="155">
    <w:name w:val="聪表标题"/>
    <w:basedOn w:val="1"/>
    <w:link w:val="154"/>
    <w:qFormat/>
    <w:uiPriority w:val="0"/>
    <w:pPr>
      <w:widowControl/>
      <w:spacing w:line="360" w:lineRule="auto"/>
      <w:jc w:val="center"/>
    </w:pPr>
    <w:rPr>
      <w:rFonts w:ascii="黑体" w:hAnsi="黑体" w:eastAsia="黑体"/>
      <w:sz w:val="24"/>
    </w:rPr>
  </w:style>
  <w:style w:type="character" w:customStyle="1" w:styleId="156">
    <w:name w:val="聪表格内 Char"/>
    <w:link w:val="157"/>
    <w:qFormat/>
    <w:uiPriority w:val="0"/>
    <w:rPr>
      <w:rFonts w:ascii="宋体"/>
      <w:kern w:val="2"/>
      <w:sz w:val="21"/>
      <w:szCs w:val="24"/>
      <w:lang w:val="zh-CN"/>
    </w:rPr>
  </w:style>
  <w:style w:type="paragraph" w:customStyle="1" w:styleId="157">
    <w:name w:val="聪表格内"/>
    <w:basedOn w:val="1"/>
    <w:link w:val="156"/>
    <w:qFormat/>
    <w:uiPriority w:val="0"/>
    <w:pPr>
      <w:widowControl/>
      <w:spacing w:line="360" w:lineRule="exact"/>
      <w:jc w:val="center"/>
    </w:pPr>
    <w:rPr>
      <w:rFonts w:ascii="宋体"/>
      <w:lang w:val="zh-CN"/>
    </w:rPr>
  </w:style>
  <w:style w:type="character" w:customStyle="1" w:styleId="158">
    <w:name w:val="批注文字 字符"/>
    <w:autoRedefine/>
    <w:qFormat/>
    <w:uiPriority w:val="0"/>
    <w:rPr>
      <w:kern w:val="2"/>
      <w:sz w:val="21"/>
      <w:szCs w:val="24"/>
    </w:rPr>
  </w:style>
  <w:style w:type="character" w:customStyle="1" w:styleId="159">
    <w:name w:val="聪标题3 Char"/>
    <w:link w:val="160"/>
    <w:qFormat/>
    <w:uiPriority w:val="0"/>
    <w:rPr>
      <w:rFonts w:ascii="黑体" w:hAnsi="黑体" w:eastAsia="黑体"/>
      <w:kern w:val="2"/>
      <w:sz w:val="28"/>
      <w:szCs w:val="24"/>
    </w:rPr>
  </w:style>
  <w:style w:type="paragraph" w:customStyle="1" w:styleId="160">
    <w:name w:val="聪标题3"/>
    <w:basedOn w:val="1"/>
    <w:link w:val="159"/>
    <w:qFormat/>
    <w:uiPriority w:val="0"/>
    <w:pPr>
      <w:spacing w:line="360" w:lineRule="auto"/>
    </w:pPr>
    <w:rPr>
      <w:rFonts w:ascii="黑体" w:hAnsi="黑体" w:eastAsia="黑体"/>
      <w:sz w:val="28"/>
    </w:rPr>
  </w:style>
  <w:style w:type="character" w:customStyle="1" w:styleId="161">
    <w:name w:val="副标题 字符1"/>
    <w:qFormat/>
    <w:uiPriority w:val="99"/>
    <w:rPr>
      <w:rFonts w:ascii="黑体" w:hAnsi="Cambria" w:eastAsia="黑体" w:cs="宋体"/>
      <w:kern w:val="28"/>
      <w:sz w:val="28"/>
      <w:szCs w:val="28"/>
    </w:rPr>
  </w:style>
  <w:style w:type="character" w:customStyle="1" w:styleId="162">
    <w:name w:val="正文缩进 字符"/>
    <w:autoRedefine/>
    <w:qFormat/>
    <w:locked/>
    <w:uiPriority w:val="0"/>
  </w:style>
  <w:style w:type="character" w:customStyle="1" w:styleId="163">
    <w:name w:val="纯文本 字符"/>
    <w:autoRedefine/>
    <w:qFormat/>
    <w:locked/>
    <w:uiPriority w:val="0"/>
    <w:rPr>
      <w:rFonts w:ascii="宋体" w:hAnsi="Courier New" w:cs="Times New Roman"/>
    </w:rPr>
  </w:style>
  <w:style w:type="character" w:customStyle="1" w:styleId="164">
    <w:name w:val="批注框文本 字符"/>
    <w:qFormat/>
    <w:uiPriority w:val="0"/>
    <w:rPr>
      <w:rFonts w:ascii="Times New Roman" w:hAnsi="Times New Roman" w:eastAsia="宋体" w:cs="Times New Roman"/>
      <w:sz w:val="18"/>
      <w:szCs w:val="18"/>
    </w:rPr>
  </w:style>
  <w:style w:type="character" w:customStyle="1" w:styleId="165">
    <w:name w:val="报告书正文 Char"/>
    <w:link w:val="166"/>
    <w:qFormat/>
    <w:uiPriority w:val="0"/>
    <w:rPr>
      <w:rFonts w:ascii="宋体" w:hAnsi="宋体"/>
      <w:kern w:val="2"/>
      <w:sz w:val="24"/>
      <w:szCs w:val="24"/>
    </w:rPr>
  </w:style>
  <w:style w:type="paragraph" w:customStyle="1" w:styleId="166">
    <w:name w:val="报告书正文"/>
    <w:basedOn w:val="1"/>
    <w:link w:val="165"/>
    <w:qFormat/>
    <w:uiPriority w:val="0"/>
    <w:pPr>
      <w:widowControl/>
      <w:adjustRightInd w:val="0"/>
      <w:snapToGrid w:val="0"/>
      <w:spacing w:line="360" w:lineRule="auto"/>
      <w:ind w:firstLine="480" w:firstLineChars="200"/>
      <w:jc w:val="left"/>
    </w:pPr>
    <w:rPr>
      <w:rFonts w:ascii="宋体" w:hAnsi="宋体"/>
      <w:sz w:val="24"/>
    </w:rPr>
  </w:style>
  <w:style w:type="paragraph" w:customStyle="1" w:styleId="167">
    <w:name w:val=".66l.66l"/>
    <w:basedOn w:val="1"/>
    <w:autoRedefine/>
    <w:qFormat/>
    <w:uiPriority w:val="0"/>
    <w:pPr>
      <w:adjustRightInd w:val="0"/>
      <w:spacing w:line="312" w:lineRule="atLeast"/>
      <w:ind w:firstLine="570"/>
      <w:textAlignment w:val="baseline"/>
    </w:pPr>
    <w:rPr>
      <w:rFonts w:ascii="宋体"/>
      <w:kern w:val="0"/>
      <w:sz w:val="28"/>
      <w:szCs w:val="20"/>
    </w:rPr>
  </w:style>
  <w:style w:type="character" w:customStyle="1" w:styleId="168">
    <w:name w:val="副标题 字符"/>
    <w:qFormat/>
    <w:uiPriority w:val="0"/>
    <w:rPr>
      <w:rFonts w:ascii="黑体" w:hAnsi="Cambria" w:eastAsia="黑体" w:cs="宋体"/>
      <w:kern w:val="28"/>
      <w:sz w:val="28"/>
      <w:szCs w:val="28"/>
    </w:rPr>
  </w:style>
  <w:style w:type="character" w:customStyle="1" w:styleId="169">
    <w:name w:val="正文首行缩进 2 字符"/>
    <w:autoRedefine/>
    <w:qFormat/>
    <w:uiPriority w:val="0"/>
    <w:rPr>
      <w:rFonts w:ascii="Times New Roman" w:hAnsi="Times New Roman" w:eastAsia="宋体"/>
      <w:kern w:val="2"/>
      <w:sz w:val="21"/>
      <w:szCs w:val="24"/>
    </w:rPr>
  </w:style>
  <w:style w:type="paragraph" w:customStyle="1" w:styleId="170">
    <w:name w:val="报告表格"/>
    <w:basedOn w:val="1"/>
    <w:qFormat/>
    <w:uiPriority w:val="0"/>
    <w:pPr>
      <w:autoSpaceDE w:val="0"/>
      <w:autoSpaceDN w:val="0"/>
      <w:adjustRightInd w:val="0"/>
      <w:jc w:val="center"/>
      <w:textAlignment w:val="bottom"/>
    </w:pPr>
    <w:rPr>
      <w:kern w:val="0"/>
      <w:szCs w:val="21"/>
    </w:rPr>
  </w:style>
  <w:style w:type="paragraph" w:customStyle="1" w:styleId="171">
    <w:name w:val="！正文"/>
    <w:basedOn w:val="1"/>
    <w:autoRedefine/>
    <w:qFormat/>
    <w:uiPriority w:val="0"/>
    <w:pPr>
      <w:widowControl/>
      <w:spacing w:line="360" w:lineRule="auto"/>
      <w:ind w:firstLine="200" w:firstLineChars="200"/>
      <w:jc w:val="left"/>
    </w:pPr>
    <w:rPr>
      <w:kern w:val="0"/>
      <w:sz w:val="24"/>
      <w:szCs w:val="20"/>
    </w:rPr>
  </w:style>
  <w:style w:type="paragraph" w:customStyle="1" w:styleId="172">
    <w:name w:val="0正文1"/>
    <w:basedOn w:val="1"/>
    <w:autoRedefine/>
    <w:qFormat/>
    <w:uiPriority w:val="0"/>
    <w:pPr>
      <w:widowControl/>
      <w:spacing w:line="360" w:lineRule="auto"/>
      <w:ind w:firstLine="200" w:firstLineChars="200"/>
      <w:jc w:val="left"/>
    </w:pPr>
    <w:rPr>
      <w:rFonts w:cs="宋体"/>
      <w:kern w:val="0"/>
      <w:sz w:val="24"/>
    </w:rPr>
  </w:style>
  <w:style w:type="table" w:customStyle="1" w:styleId="173">
    <w:name w:val="0表格"/>
    <w:basedOn w:val="46"/>
    <w:qFormat/>
    <w:uiPriority w:val="99"/>
    <w:pPr>
      <w:spacing w:line="245" w:lineRule="auto"/>
      <w:jc w:val="center"/>
    </w:pPr>
    <w:tblPr>
      <w:jc w:val="center"/>
      <w:tblBorders>
        <w:top w:val="single" w:color="auto" w:sz="4" w:space="0"/>
        <w:bottom w:val="single" w:color="auto" w:sz="4" w:space="0"/>
        <w:insideH w:val="single" w:color="auto" w:sz="4" w:space="0"/>
        <w:insideV w:val="single" w:color="auto" w:sz="4" w:space="0"/>
      </w:tblBorders>
      <w:tblCellMar>
        <w:left w:w="0" w:type="dxa"/>
        <w:right w:w="0" w:type="dxa"/>
      </w:tblCellMar>
    </w:tblPr>
    <w:trPr>
      <w:jc w:val="center"/>
    </w:trPr>
    <w:tcPr>
      <w:vAlign w:val="center"/>
    </w:tcPr>
    <w:tblStylePr w:type="firstRow">
      <w:tcPr>
        <w:shd w:val="clear" w:color="auto" w:fill="D9D9D9"/>
      </w:tcPr>
    </w:tblStylePr>
  </w:style>
  <w:style w:type="paragraph" w:customStyle="1" w:styleId="174">
    <w:name w:val="0表格内容"/>
    <w:next w:val="1"/>
    <w:link w:val="175"/>
    <w:autoRedefine/>
    <w:qFormat/>
    <w:uiPriority w:val="0"/>
    <w:pPr>
      <w:spacing w:line="245" w:lineRule="auto"/>
      <w:jc w:val="center"/>
    </w:pPr>
    <w:rPr>
      <w:rFonts w:ascii="Times New Roman" w:hAnsi="Times New Roman" w:eastAsia="宋体" w:cs="宋体"/>
      <w:sz w:val="21"/>
      <w:szCs w:val="24"/>
      <w:lang w:val="en-US" w:eastAsia="zh-CN" w:bidi="ar-SA"/>
    </w:rPr>
  </w:style>
  <w:style w:type="character" w:customStyle="1" w:styleId="175">
    <w:name w:val="0表格内容 字符"/>
    <w:link w:val="174"/>
    <w:autoRedefine/>
    <w:qFormat/>
    <w:uiPriority w:val="0"/>
    <w:rPr>
      <w:rFonts w:cs="宋体"/>
      <w:sz w:val="21"/>
      <w:szCs w:val="24"/>
    </w:rPr>
  </w:style>
  <w:style w:type="paragraph" w:customStyle="1" w:styleId="176">
    <w:name w:val="A正文"/>
    <w:basedOn w:val="1"/>
    <w:autoRedefine/>
    <w:qFormat/>
    <w:uiPriority w:val="0"/>
    <w:pPr>
      <w:spacing w:line="360" w:lineRule="auto"/>
      <w:ind w:firstLine="200" w:firstLineChars="200"/>
    </w:pPr>
    <w:rPr>
      <w:sz w:val="24"/>
      <w:szCs w:val="22"/>
    </w:rPr>
  </w:style>
  <w:style w:type="paragraph" w:customStyle="1" w:styleId="177">
    <w:name w:val="A表头"/>
    <w:basedOn w:val="176"/>
    <w:autoRedefine/>
    <w:qFormat/>
    <w:uiPriority w:val="0"/>
    <w:pPr>
      <w:widowControl/>
      <w:ind w:firstLine="0" w:firstLineChars="0"/>
      <w:jc w:val="center"/>
    </w:pPr>
    <w:rPr>
      <w:kern w:val="0"/>
      <w:szCs w:val="24"/>
    </w:rPr>
  </w:style>
  <w:style w:type="character" w:customStyle="1" w:styleId="178">
    <w:name w:val="批注引用1"/>
    <w:autoRedefine/>
    <w:qFormat/>
    <w:uiPriority w:val="0"/>
    <w:rPr>
      <w:sz w:val="21"/>
      <w:szCs w:val="21"/>
    </w:rPr>
  </w:style>
  <w:style w:type="character" w:customStyle="1" w:styleId="179">
    <w:name w:val="文档结构图 Char"/>
    <w:link w:val="180"/>
    <w:autoRedefine/>
    <w:qFormat/>
    <w:uiPriority w:val="0"/>
    <w:rPr>
      <w:rFonts w:ascii="宋体" w:hAnsi="Tahoma"/>
      <w:sz w:val="18"/>
      <w:szCs w:val="18"/>
    </w:rPr>
  </w:style>
  <w:style w:type="paragraph" w:customStyle="1" w:styleId="180">
    <w:name w:val="文档结构图1"/>
    <w:basedOn w:val="1"/>
    <w:link w:val="179"/>
    <w:autoRedefine/>
    <w:qFormat/>
    <w:uiPriority w:val="0"/>
    <w:pPr>
      <w:widowControl/>
      <w:adjustRightInd w:val="0"/>
      <w:snapToGrid w:val="0"/>
      <w:spacing w:line="360" w:lineRule="auto"/>
      <w:jc w:val="left"/>
    </w:pPr>
    <w:rPr>
      <w:rFonts w:ascii="宋体" w:hAnsi="Tahoma"/>
      <w:kern w:val="0"/>
      <w:sz w:val="18"/>
      <w:szCs w:val="18"/>
    </w:rPr>
  </w:style>
  <w:style w:type="character" w:customStyle="1" w:styleId="181">
    <w:name w:val="正文文本缩进 2 Char"/>
    <w:link w:val="182"/>
    <w:autoRedefine/>
    <w:qFormat/>
    <w:uiPriority w:val="0"/>
    <w:rPr>
      <w:rFonts w:eastAsia="仿宋_GB2312"/>
      <w:sz w:val="28"/>
    </w:rPr>
  </w:style>
  <w:style w:type="paragraph" w:customStyle="1" w:styleId="182">
    <w:name w:val="正文文本缩进 21"/>
    <w:basedOn w:val="1"/>
    <w:link w:val="181"/>
    <w:autoRedefine/>
    <w:qFormat/>
    <w:uiPriority w:val="0"/>
    <w:pPr>
      <w:adjustRightInd w:val="0"/>
      <w:spacing w:line="312" w:lineRule="atLeast"/>
      <w:ind w:firstLine="570"/>
      <w:jc w:val="distribute"/>
      <w:textAlignment w:val="baseline"/>
    </w:pPr>
    <w:rPr>
      <w:rFonts w:eastAsia="仿宋_GB2312"/>
      <w:kern w:val="0"/>
      <w:sz w:val="28"/>
      <w:szCs w:val="20"/>
    </w:rPr>
  </w:style>
  <w:style w:type="character" w:customStyle="1" w:styleId="183">
    <w:name w:val="日期 Char"/>
    <w:link w:val="184"/>
    <w:autoRedefine/>
    <w:qFormat/>
    <w:uiPriority w:val="0"/>
    <w:rPr>
      <w:rFonts w:ascii="Tahoma" w:hAnsi="Tahoma"/>
    </w:rPr>
  </w:style>
  <w:style w:type="paragraph" w:customStyle="1" w:styleId="184">
    <w:name w:val="日期1"/>
    <w:basedOn w:val="1"/>
    <w:next w:val="1"/>
    <w:link w:val="183"/>
    <w:autoRedefine/>
    <w:qFormat/>
    <w:uiPriority w:val="0"/>
    <w:pPr>
      <w:widowControl/>
      <w:adjustRightInd w:val="0"/>
      <w:snapToGrid w:val="0"/>
      <w:spacing w:line="360" w:lineRule="auto"/>
      <w:ind w:left="100" w:leftChars="2500"/>
      <w:jc w:val="left"/>
    </w:pPr>
    <w:rPr>
      <w:rFonts w:ascii="Tahoma" w:hAnsi="Tahoma"/>
      <w:kern w:val="0"/>
      <w:sz w:val="20"/>
      <w:szCs w:val="20"/>
    </w:rPr>
  </w:style>
  <w:style w:type="character" w:customStyle="1" w:styleId="185">
    <w:name w:val="批注主题 Char"/>
    <w:link w:val="186"/>
    <w:autoRedefine/>
    <w:qFormat/>
    <w:uiPriority w:val="0"/>
    <w:rPr>
      <w:rFonts w:ascii="Tahoma" w:hAnsi="Tahoma"/>
      <w:b/>
      <w:bCs/>
    </w:rPr>
  </w:style>
  <w:style w:type="paragraph" w:customStyle="1" w:styleId="186">
    <w:name w:val="批注主题1"/>
    <w:basedOn w:val="19"/>
    <w:next w:val="19"/>
    <w:link w:val="185"/>
    <w:autoRedefine/>
    <w:qFormat/>
    <w:uiPriority w:val="0"/>
    <w:pPr>
      <w:widowControl/>
      <w:adjustRightInd w:val="0"/>
      <w:snapToGrid w:val="0"/>
      <w:spacing w:line="360" w:lineRule="auto"/>
    </w:pPr>
    <w:rPr>
      <w:rFonts w:ascii="Tahoma" w:hAnsi="Tahoma"/>
      <w:b/>
      <w:bCs/>
      <w:sz w:val="20"/>
    </w:rPr>
  </w:style>
  <w:style w:type="character" w:customStyle="1" w:styleId="187">
    <w:name w:val="正文文本缩进 Char"/>
    <w:link w:val="59"/>
    <w:qFormat/>
    <w:uiPriority w:val="0"/>
    <w:rPr>
      <w:rFonts w:ascii="仿宋_GB2312" w:eastAsia="仿宋_GB2312"/>
      <w:sz w:val="28"/>
    </w:rPr>
  </w:style>
  <w:style w:type="character" w:customStyle="1" w:styleId="188">
    <w:name w:val="页码1"/>
    <w:autoRedefine/>
    <w:qFormat/>
    <w:uiPriority w:val="0"/>
  </w:style>
  <w:style w:type="paragraph" w:customStyle="1" w:styleId="189">
    <w:name w:val="普通(网站)1"/>
    <w:basedOn w:val="1"/>
    <w:autoRedefine/>
    <w:qFormat/>
    <w:uiPriority w:val="0"/>
    <w:pPr>
      <w:widowControl/>
      <w:spacing w:before="100" w:beforeAutospacing="1" w:after="100" w:afterAutospacing="1" w:line="360" w:lineRule="auto"/>
      <w:jc w:val="left"/>
    </w:pPr>
    <w:rPr>
      <w:rFonts w:ascii="宋体" w:hAnsi="宋体" w:cs="宋体"/>
      <w:kern w:val="0"/>
      <w:sz w:val="24"/>
    </w:rPr>
  </w:style>
  <w:style w:type="paragraph" w:customStyle="1" w:styleId="190">
    <w:name w:val="列出段落1"/>
    <w:basedOn w:val="1"/>
    <w:autoRedefine/>
    <w:qFormat/>
    <w:uiPriority w:val="99"/>
    <w:pPr>
      <w:spacing w:line="360" w:lineRule="auto"/>
      <w:ind w:firstLine="420" w:firstLineChars="200"/>
    </w:pPr>
    <w:rPr>
      <w:rFonts w:ascii="Calibri" w:hAnsi="Calibri"/>
      <w:szCs w:val="22"/>
    </w:rPr>
  </w:style>
  <w:style w:type="paragraph" w:customStyle="1" w:styleId="191">
    <w:name w:val="普通(网站)11"/>
    <w:basedOn w:val="1"/>
    <w:autoRedefine/>
    <w:qFormat/>
    <w:uiPriority w:val="0"/>
    <w:pPr>
      <w:widowControl/>
      <w:spacing w:before="100" w:beforeAutospacing="1" w:after="100" w:afterAutospacing="1" w:line="360" w:lineRule="auto"/>
      <w:jc w:val="left"/>
    </w:pPr>
    <w:rPr>
      <w:rFonts w:hint="eastAsia" w:ascii="宋体" w:hAnsi="宋体"/>
      <w:kern w:val="0"/>
      <w:sz w:val="24"/>
      <w:szCs w:val="22"/>
    </w:rPr>
  </w:style>
  <w:style w:type="paragraph" w:customStyle="1" w:styleId="192">
    <w:name w:val="列出段落2"/>
    <w:basedOn w:val="1"/>
    <w:qFormat/>
    <w:uiPriority w:val="99"/>
    <w:pPr>
      <w:spacing w:line="360" w:lineRule="auto"/>
      <w:ind w:firstLine="420" w:firstLineChars="200"/>
    </w:pPr>
    <w:rPr>
      <w:rFonts w:ascii="Calibri" w:hAnsi="Calibri"/>
      <w:szCs w:val="20"/>
    </w:rPr>
  </w:style>
  <w:style w:type="table" w:customStyle="1" w:styleId="193">
    <w:name w:val="网格型1"/>
    <w:basedOn w:val="46"/>
    <w:autoRedefine/>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4">
    <w:name w:val="网格型2"/>
    <w:basedOn w:val="46"/>
    <w:autoRedefine/>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5">
    <w:name w:val="网格型3"/>
    <w:basedOn w:val="46"/>
    <w:autoRedefine/>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96">
    <w:name w:val="font01"/>
    <w:autoRedefine/>
    <w:qFormat/>
    <w:uiPriority w:val="0"/>
    <w:rPr>
      <w:rFonts w:hint="default" w:ascii="Arial" w:hAnsi="Arial" w:cs="Arial"/>
      <w:color w:val="000000"/>
      <w:sz w:val="36"/>
      <w:szCs w:val="36"/>
      <w:u w:val="none"/>
    </w:rPr>
  </w:style>
  <w:style w:type="character" w:customStyle="1" w:styleId="197">
    <w:name w:val="font11"/>
    <w:autoRedefine/>
    <w:qFormat/>
    <w:uiPriority w:val="0"/>
    <w:rPr>
      <w:rFonts w:hint="eastAsia" w:ascii="宋体" w:hAnsi="宋体" w:eastAsia="宋体" w:cs="宋体"/>
      <w:color w:val="000000"/>
      <w:sz w:val="22"/>
      <w:szCs w:val="22"/>
      <w:u w:val="none"/>
    </w:rPr>
  </w:style>
  <w:style w:type="character" w:customStyle="1" w:styleId="198">
    <w:name w:val="纯文本 Char2"/>
    <w:autoRedefine/>
    <w:semiHidden/>
    <w:qFormat/>
    <w:uiPriority w:val="99"/>
    <w:rPr>
      <w:rFonts w:ascii="宋体" w:hAnsi="Courier New" w:cs="Courier New"/>
      <w:sz w:val="21"/>
      <w:szCs w:val="21"/>
    </w:rPr>
  </w:style>
  <w:style w:type="character" w:customStyle="1" w:styleId="199">
    <w:name w:val="表 Char"/>
    <w:link w:val="200"/>
    <w:qFormat/>
    <w:uiPriority w:val="0"/>
    <w:rPr>
      <w:spacing w:val="2"/>
      <w:kern w:val="2"/>
      <w:sz w:val="24"/>
    </w:rPr>
  </w:style>
  <w:style w:type="paragraph" w:customStyle="1" w:styleId="200">
    <w:name w:val="表"/>
    <w:basedOn w:val="1"/>
    <w:link w:val="199"/>
    <w:autoRedefine/>
    <w:qFormat/>
    <w:uiPriority w:val="0"/>
    <w:pPr>
      <w:snapToGrid w:val="0"/>
      <w:jc w:val="center"/>
    </w:pPr>
    <w:rPr>
      <w:spacing w:val="2"/>
      <w:sz w:val="24"/>
      <w:szCs w:val="20"/>
    </w:rPr>
  </w:style>
  <w:style w:type="paragraph" w:customStyle="1" w:styleId="201">
    <w:name w:val="表格文"/>
    <w:basedOn w:val="1"/>
    <w:qFormat/>
    <w:uiPriority w:val="0"/>
    <w:pPr>
      <w:widowControl/>
      <w:jc w:val="left"/>
    </w:pPr>
    <w:rPr>
      <w:rFonts w:ascii="仿宋_GB2312" w:hAnsi="Batang" w:eastAsia="仿宋_GB2312" w:cs="宋体"/>
      <w:color w:val="000000"/>
      <w:kern w:val="0"/>
      <w:szCs w:val="21"/>
    </w:rPr>
  </w:style>
  <w:style w:type="character" w:customStyle="1" w:styleId="202">
    <w:name w:val="表格填充1 Char Char"/>
    <w:link w:val="203"/>
    <w:autoRedefine/>
    <w:qFormat/>
    <w:uiPriority w:val="0"/>
    <w:rPr>
      <w:snapToGrid/>
      <w:kern w:val="2"/>
      <w:sz w:val="28"/>
    </w:rPr>
  </w:style>
  <w:style w:type="paragraph" w:customStyle="1" w:styleId="203">
    <w:name w:val="表格填充1"/>
    <w:basedOn w:val="23"/>
    <w:link w:val="202"/>
    <w:qFormat/>
    <w:uiPriority w:val="0"/>
    <w:pPr>
      <w:snapToGrid w:val="0"/>
    </w:pPr>
    <w:rPr>
      <w:rFonts w:ascii="Times New Roman" w:hAnsi="Times New Roman"/>
      <w:snapToGrid w:val="0"/>
      <w:kern w:val="2"/>
      <w:sz w:val="28"/>
    </w:rPr>
  </w:style>
  <w:style w:type="paragraph" w:customStyle="1" w:styleId="204">
    <w:name w:val="简单回函地址"/>
    <w:basedOn w:val="1"/>
    <w:autoRedefine/>
    <w:qFormat/>
    <w:uiPriority w:val="0"/>
    <w:rPr>
      <w:szCs w:val="20"/>
    </w:rPr>
  </w:style>
  <w:style w:type="character" w:customStyle="1" w:styleId="205">
    <w:name w:val="正文缩进 Char"/>
    <w:qFormat/>
    <w:uiPriority w:val="0"/>
    <w:rPr>
      <w:rFonts w:eastAsia="宋体"/>
      <w:kern w:val="2"/>
      <w:sz w:val="28"/>
      <w:lang w:val="en-US" w:eastAsia="zh-CN" w:bidi="ar-SA"/>
    </w:rPr>
  </w:style>
  <w:style w:type="character" w:customStyle="1" w:styleId="206">
    <w:name w:val="批注文字 Char"/>
    <w:autoRedefine/>
    <w:semiHidden/>
    <w:qFormat/>
    <w:locked/>
    <w:uiPriority w:val="0"/>
    <w:rPr>
      <w:rFonts w:eastAsia="宋体"/>
      <w:kern w:val="2"/>
      <w:sz w:val="21"/>
      <w:szCs w:val="24"/>
      <w:lang w:val="en-US" w:eastAsia="zh-CN" w:bidi="ar-SA"/>
    </w:rPr>
  </w:style>
  <w:style w:type="paragraph" w:customStyle="1" w:styleId="207">
    <w:name w:val="空行"/>
    <w:basedOn w:val="1"/>
    <w:next w:val="14"/>
    <w:qFormat/>
    <w:uiPriority w:val="0"/>
    <w:pPr>
      <w:topLinePunct/>
      <w:adjustRightInd w:val="0"/>
      <w:snapToGrid w:val="0"/>
      <w:jc w:val="center"/>
    </w:pPr>
    <w:rPr>
      <w:kern w:val="0"/>
      <w:sz w:val="28"/>
    </w:rPr>
  </w:style>
  <w:style w:type="paragraph" w:customStyle="1" w:styleId="208">
    <w:name w:val="表内容0"/>
    <w:basedOn w:val="1"/>
    <w:autoRedefine/>
    <w:unhideWhenUsed/>
    <w:qFormat/>
    <w:uiPriority w:val="0"/>
    <w:pPr>
      <w:topLinePunct/>
      <w:adjustRightInd w:val="0"/>
      <w:snapToGrid w:val="0"/>
      <w:spacing w:line="240" w:lineRule="atLeast"/>
      <w:jc w:val="center"/>
    </w:pPr>
    <w:rPr>
      <w:rFonts w:hint="eastAsia"/>
      <w:caps/>
      <w:kern w:val="16"/>
      <w:szCs w:val="20"/>
    </w:rPr>
  </w:style>
  <w:style w:type="paragraph" w:customStyle="1" w:styleId="209">
    <w:name w:val="列表段落1"/>
    <w:basedOn w:val="1"/>
    <w:autoRedefine/>
    <w:qFormat/>
    <w:uiPriority w:val="34"/>
    <w:pPr>
      <w:ind w:firstLine="420" w:firstLineChars="200"/>
    </w:pPr>
    <w:rPr>
      <w:szCs w:val="20"/>
    </w:rPr>
  </w:style>
  <w:style w:type="paragraph" w:customStyle="1" w:styleId="210">
    <w:name w:val="正文0"/>
    <w:basedOn w:val="1"/>
    <w:qFormat/>
    <w:uiPriority w:val="0"/>
    <w:pPr>
      <w:ind w:firstLine="200" w:firstLineChars="200"/>
    </w:pPr>
    <w:rPr>
      <w:sz w:val="24"/>
    </w:rPr>
  </w:style>
  <w:style w:type="character" w:customStyle="1" w:styleId="211">
    <w:name w:val="样式1 Char"/>
    <w:link w:val="212"/>
    <w:autoRedefine/>
    <w:qFormat/>
    <w:uiPriority w:val="0"/>
    <w:rPr>
      <w:kern w:val="2"/>
      <w:sz w:val="24"/>
    </w:rPr>
  </w:style>
  <w:style w:type="paragraph" w:customStyle="1" w:styleId="212">
    <w:name w:val="样式1"/>
    <w:basedOn w:val="1"/>
    <w:link w:val="211"/>
    <w:qFormat/>
    <w:uiPriority w:val="0"/>
    <w:pPr>
      <w:spacing w:before="60" w:line="460" w:lineRule="exact"/>
      <w:ind w:firstLine="454"/>
    </w:pPr>
    <w:rPr>
      <w:sz w:val="24"/>
      <w:szCs w:val="20"/>
    </w:rPr>
  </w:style>
  <w:style w:type="paragraph" w:customStyle="1" w:styleId="213">
    <w:name w:val="陈光的正文"/>
    <w:basedOn w:val="1"/>
    <w:autoRedefine/>
    <w:qFormat/>
    <w:uiPriority w:val="0"/>
    <w:pPr>
      <w:adjustRightInd w:val="0"/>
      <w:snapToGrid w:val="0"/>
      <w:spacing w:beforeLines="10" w:afterLines="10" w:line="360" w:lineRule="auto"/>
      <w:ind w:firstLine="560" w:firstLineChars="200"/>
    </w:pPr>
    <w:rPr>
      <w:sz w:val="28"/>
      <w:szCs w:val="20"/>
    </w:rPr>
  </w:style>
  <w:style w:type="table" w:customStyle="1" w:styleId="214">
    <w:name w:val="TableGrid"/>
    <w:qFormat/>
    <w:uiPriority w:val="0"/>
    <w:rPr>
      <w:rFonts w:ascii="Calibri" w:hAnsi="Calibri"/>
      <w:kern w:val="2"/>
      <w:sz w:val="21"/>
      <w:szCs w:val="22"/>
    </w:rPr>
    <w:tblPr>
      <w:tblCellMar>
        <w:top w:w="0" w:type="dxa"/>
        <w:left w:w="0" w:type="dxa"/>
        <w:bottom w:w="0" w:type="dxa"/>
        <w:right w:w="0" w:type="dxa"/>
      </w:tblCellMar>
    </w:tblPr>
  </w:style>
  <w:style w:type="paragraph" w:customStyle="1" w:styleId="215">
    <w:name w:val="_Style 1"/>
    <w:autoRedefine/>
    <w:qFormat/>
    <w:uiPriority w:val="1"/>
    <w:pPr>
      <w:widowControl w:val="0"/>
      <w:jc w:val="both"/>
    </w:pPr>
    <w:rPr>
      <w:rFonts w:ascii="Times New Roman" w:hAnsi="Times New Roman" w:eastAsia="宋体" w:cs="Times New Roman"/>
      <w:kern w:val="2"/>
      <w:sz w:val="21"/>
      <w:szCs w:val="22"/>
      <w:lang w:val="en-US" w:eastAsia="zh-CN" w:bidi="ar-SA"/>
    </w:rPr>
  </w:style>
  <w:style w:type="table" w:customStyle="1" w:styleId="216">
    <w:name w:val="表格0"/>
    <w:basedOn w:val="46"/>
    <w:autoRedefine/>
    <w:qFormat/>
    <w:uiPriority w:val="99"/>
    <w:pPr>
      <w:spacing w:line="245" w:lineRule="auto"/>
      <w:jc w:val="center"/>
    </w:pPr>
    <w:tblPr>
      <w:tblBorders>
        <w:top w:val="single" w:color="auto" w:sz="4" w:space="0"/>
        <w:bottom w:val="single" w:color="auto" w:sz="4" w:space="0"/>
        <w:insideH w:val="single" w:color="auto" w:sz="4" w:space="0"/>
        <w:insideV w:val="single" w:color="auto" w:sz="4" w:space="0"/>
      </w:tblBorders>
      <w:tblCellMar>
        <w:left w:w="28" w:type="dxa"/>
        <w:right w:w="28" w:type="dxa"/>
      </w:tblCellMar>
    </w:tblPr>
    <w:tcPr>
      <w:vAlign w:val="center"/>
    </w:tcPr>
    <w:tblStylePr w:type="firstRow">
      <w:tcPr>
        <w:tcBorders>
          <w:top w:val="single" w:color="auto" w:sz="4" w:space="0"/>
          <w:left w:val="nil"/>
          <w:bottom w:val="single" w:color="auto" w:sz="4" w:space="0"/>
          <w:right w:val="nil"/>
          <w:insideH w:val="single" w:sz="4" w:space="0"/>
          <w:insideV w:val="single" w:sz="4" w:space="0"/>
          <w:tl2br w:val="nil"/>
          <w:tr2bl w:val="nil"/>
        </w:tcBorders>
        <w:shd w:val="clear" w:color="auto" w:fill="D9D9D9"/>
      </w:tcPr>
    </w:tblStylePr>
  </w:style>
  <w:style w:type="paragraph" w:customStyle="1" w:styleId="217">
    <w:name w:val="1正文"/>
    <w:basedOn w:val="1"/>
    <w:qFormat/>
    <w:uiPriority w:val="0"/>
    <w:pPr>
      <w:widowControl/>
      <w:spacing w:line="360" w:lineRule="auto"/>
      <w:ind w:firstLine="200" w:firstLineChars="200"/>
      <w:jc w:val="left"/>
    </w:pPr>
    <w:rPr>
      <w:kern w:val="0"/>
      <w:sz w:val="24"/>
      <w:lang w:eastAsia="en-US"/>
    </w:rPr>
  </w:style>
  <w:style w:type="paragraph" w:customStyle="1" w:styleId="218">
    <w:name w:val="A居中"/>
    <w:basedOn w:val="1"/>
    <w:autoRedefine/>
    <w:qFormat/>
    <w:uiPriority w:val="0"/>
    <w:pPr>
      <w:spacing w:line="360" w:lineRule="auto"/>
      <w:jc w:val="center"/>
    </w:pPr>
    <w:rPr>
      <w:sz w:val="24"/>
      <w:szCs w:val="22"/>
    </w:rPr>
  </w:style>
  <w:style w:type="paragraph" w:customStyle="1" w:styleId="219">
    <w:name w:val="A表格内容"/>
    <w:basedOn w:val="1"/>
    <w:qFormat/>
    <w:uiPriority w:val="0"/>
    <w:pPr>
      <w:adjustRightInd w:val="0"/>
      <w:spacing w:line="245" w:lineRule="auto"/>
      <w:jc w:val="center"/>
      <w:textAlignment w:val="baseline"/>
    </w:pPr>
    <w:rPr>
      <w:szCs w:val="21"/>
    </w:rPr>
  </w:style>
  <w:style w:type="paragraph" w:customStyle="1" w:styleId="220">
    <w:name w:val="A表格内容字体"/>
    <w:basedOn w:val="1"/>
    <w:link w:val="221"/>
    <w:qFormat/>
    <w:uiPriority w:val="0"/>
    <w:pPr>
      <w:jc w:val="center"/>
    </w:pPr>
    <w:rPr>
      <w:color w:val="000000"/>
      <w:kern w:val="0"/>
      <w:szCs w:val="21"/>
    </w:rPr>
  </w:style>
  <w:style w:type="character" w:customStyle="1" w:styleId="221">
    <w:name w:val="A表格内容字体 字符"/>
    <w:link w:val="220"/>
    <w:autoRedefine/>
    <w:qFormat/>
    <w:uiPriority w:val="0"/>
    <w:rPr>
      <w:color w:val="000000"/>
      <w:sz w:val="21"/>
      <w:szCs w:val="21"/>
    </w:rPr>
  </w:style>
  <w:style w:type="table" w:customStyle="1" w:styleId="222">
    <w:name w:val="Table Normal"/>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3">
    <w:name w:val="Table Normal1"/>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4">
    <w:name w:val="Table Normal2"/>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5">
    <w:name w:val="Table Normal3"/>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6">
    <w:name w:val="Table Normal4"/>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7">
    <w:name w:val="Table Normal5"/>
    <w:autoRedefine/>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8">
    <w:name w:val="Table Normal6"/>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229">
    <w:name w:val="Table Normal7"/>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230">
    <w:name w:val="01正文"/>
    <w:autoRedefine/>
    <w:qFormat/>
    <w:uiPriority w:val="0"/>
    <w:pPr>
      <w:spacing w:line="360" w:lineRule="auto"/>
      <w:ind w:firstLine="482"/>
    </w:pPr>
    <w:rPr>
      <w:rFonts w:ascii="Times New Roman" w:hAnsi="Times New Roman" w:eastAsia="新宋体" w:cs="Times New Roman"/>
      <w:sz w:val="24"/>
      <w:szCs w:val="24"/>
      <w:lang w:val="en-US" w:eastAsia="en-US" w:bidi="ar-SA"/>
    </w:rPr>
  </w:style>
  <w:style w:type="table" w:customStyle="1" w:styleId="231">
    <w:name w:val="网格型c2"/>
    <w:basedOn w:val="46"/>
    <w:qFormat/>
    <w:uiPriority w:val="59"/>
    <w:pPr>
      <w:widowControl w:val="0"/>
      <w:jc w:val="both"/>
    </w:pPr>
    <w:rPr>
      <w:rFonts w:ascii="Calibri" w:hAnsi="Calibri"/>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
    <w:name w:val="网格型c4"/>
    <w:basedOn w:val="46"/>
    <w:qFormat/>
    <w:uiPriority w:val="39"/>
    <w:pPr>
      <w:widowControl w:val="0"/>
      <w:jc w:val="both"/>
    </w:pPr>
    <w:rPr>
      <w:rFonts w:ascii="Calibri" w:hAnsi="Calibri"/>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33">
    <w:name w:val="1表格内容 字符"/>
    <w:link w:val="234"/>
    <w:autoRedefine/>
    <w:qFormat/>
    <w:uiPriority w:val="0"/>
    <w:rPr>
      <w:sz w:val="21"/>
      <w:szCs w:val="21"/>
    </w:rPr>
  </w:style>
  <w:style w:type="paragraph" w:customStyle="1" w:styleId="234">
    <w:name w:val="1表格内容"/>
    <w:basedOn w:val="1"/>
    <w:link w:val="233"/>
    <w:autoRedefine/>
    <w:qFormat/>
    <w:uiPriority w:val="0"/>
    <w:pPr>
      <w:widowControl/>
      <w:adjustRightInd w:val="0"/>
      <w:snapToGrid w:val="0"/>
      <w:spacing w:line="288" w:lineRule="auto"/>
      <w:jc w:val="center"/>
    </w:pPr>
    <w:rPr>
      <w:kern w:val="0"/>
      <w:szCs w:val="21"/>
    </w:rPr>
  </w:style>
  <w:style w:type="paragraph" w:customStyle="1" w:styleId="235">
    <w:name w:val="表内容1"/>
    <w:basedOn w:val="1"/>
    <w:next w:val="1"/>
    <w:autoRedefine/>
    <w:qFormat/>
    <w:uiPriority w:val="0"/>
    <w:pPr>
      <w:jc w:val="center"/>
    </w:pPr>
    <w:rPr>
      <w:kern w:val="0"/>
      <w:szCs w:val="21"/>
    </w:rPr>
  </w:style>
  <w:style w:type="table" w:customStyle="1" w:styleId="236">
    <w:name w:val="0表格1"/>
    <w:basedOn w:val="46"/>
    <w:autoRedefine/>
    <w:qFormat/>
    <w:uiPriority w:val="99"/>
    <w:pPr>
      <w:jc w:val="center"/>
    </w:pPr>
    <w:rPr>
      <w:rFonts w:cs="宋体"/>
      <w:sz w:val="24"/>
      <w:szCs w:val="21"/>
    </w:rPr>
    <w:tblPr>
      <w:tblBorders>
        <w:top w:val="single" w:color="auto" w:sz="2" w:space="0"/>
        <w:bottom w:val="single" w:color="auto" w:sz="2" w:space="0"/>
        <w:insideH w:val="single" w:color="auto" w:sz="2" w:space="0"/>
        <w:insideV w:val="single" w:color="auto" w:sz="2" w:space="0"/>
      </w:tblBorders>
      <w:tblCellMar>
        <w:left w:w="28" w:type="dxa"/>
        <w:right w:w="28" w:type="dxa"/>
      </w:tblCellMar>
    </w:tblPr>
    <w:tcPr>
      <w:vAlign w:val="center"/>
    </w:tcPr>
    <w:tblStylePr w:type="firstRow">
      <w:pPr>
        <w:wordWrap/>
        <w:spacing w:line="245" w:lineRule="auto"/>
      </w:pPr>
      <w:tcPr>
        <w:tcBorders>
          <w:top w:val="single" w:color="auto" w:sz="2" w:space="0"/>
          <w:left w:val="nil"/>
          <w:bottom w:val="single" w:color="auto" w:sz="2" w:space="0"/>
          <w:right w:val="nil"/>
          <w:insideH w:val="single" w:sz="2" w:space="0"/>
          <w:insideV w:val="single" w:sz="2" w:space="0"/>
          <w:tl2br w:val="nil"/>
          <w:tr2bl w:val="nil"/>
        </w:tcBorders>
        <w:shd w:val="clear" w:color="auto" w:fill="D9D9D9"/>
      </w:tcPr>
    </w:tblStylePr>
  </w:style>
  <w:style w:type="paragraph" w:customStyle="1" w:styleId="237">
    <w:name w:val="0正文"/>
    <w:basedOn w:val="13"/>
    <w:autoRedefine/>
    <w:qFormat/>
    <w:uiPriority w:val="0"/>
    <w:pPr>
      <w:adjustRightInd w:val="0"/>
      <w:snapToGrid w:val="0"/>
      <w:spacing w:line="360" w:lineRule="auto"/>
      <w:ind w:firstLine="200" w:firstLineChars="200"/>
    </w:pPr>
    <w:rPr>
      <w:rFonts w:ascii="Times New Roman" w:hAnsi="PMingLiU"/>
      <w:sz w:val="24"/>
      <w:lang w:eastAsia="en-US"/>
    </w:rPr>
  </w:style>
  <w:style w:type="paragraph" w:customStyle="1" w:styleId="238">
    <w:name w:val="正文 + 黑体"/>
    <w:basedOn w:val="1"/>
    <w:qFormat/>
    <w:uiPriority w:val="0"/>
    <w:pPr>
      <w:spacing w:line="500" w:lineRule="exact"/>
      <w:jc w:val="center"/>
    </w:pPr>
    <w:rPr>
      <w:rFonts w:ascii="宋体" w:hAnsi="宋体"/>
      <w:szCs w:val="21"/>
    </w:rPr>
  </w:style>
  <w:style w:type="paragraph" w:customStyle="1" w:styleId="239">
    <w:name w:val="表格内文字"/>
    <w:basedOn w:val="1"/>
    <w:qFormat/>
    <w:uiPriority w:val="0"/>
    <w:pPr>
      <w:widowControl/>
      <w:jc w:val="left"/>
    </w:pPr>
    <w:rPr>
      <w:rFonts w:ascii="宋体" w:hAnsi="宋体"/>
      <w:kern w:val="0"/>
      <w:sz w:val="24"/>
    </w:rPr>
  </w:style>
  <w:style w:type="character" w:customStyle="1" w:styleId="240">
    <w:name w:val="Font Style218"/>
    <w:autoRedefine/>
    <w:qFormat/>
    <w:uiPriority w:val="0"/>
    <w:rPr>
      <w:rFonts w:ascii="Times New Roman" w:hAnsi="Times New Roman" w:cs="Times New Roman"/>
      <w:sz w:val="14"/>
      <w:szCs w:val="14"/>
    </w:rPr>
  </w:style>
  <w:style w:type="character" w:customStyle="1" w:styleId="241">
    <w:name w:val="Font Style222"/>
    <w:autoRedefine/>
    <w:qFormat/>
    <w:uiPriority w:val="0"/>
    <w:rPr>
      <w:rFonts w:ascii="Times New Roman" w:hAnsi="Times New Roman" w:cs="Times New Roman"/>
      <w:sz w:val="20"/>
      <w:szCs w:val="20"/>
    </w:rPr>
  </w:style>
  <w:style w:type="character" w:customStyle="1" w:styleId="242">
    <w:name w:val="fontstyle21"/>
    <w:autoRedefine/>
    <w:qFormat/>
    <w:uiPriority w:val="0"/>
    <w:rPr>
      <w:rFonts w:hint="eastAsia" w:ascii="宋体" w:hAnsi="宋体" w:eastAsia="宋体" w:cs="宋体"/>
      <w:color w:val="000000"/>
      <w:sz w:val="24"/>
      <w:szCs w:val="24"/>
    </w:rPr>
  </w:style>
  <w:style w:type="character" w:customStyle="1" w:styleId="243">
    <w:name w:val="apple-converted-space"/>
    <w:autoRedefine/>
    <w:qFormat/>
    <w:uiPriority w:val="0"/>
  </w:style>
  <w:style w:type="character" w:customStyle="1" w:styleId="244">
    <w:name w:val="Font Style183"/>
    <w:autoRedefine/>
    <w:qFormat/>
    <w:uiPriority w:val="0"/>
    <w:rPr>
      <w:rFonts w:ascii="宋体" w:hAnsi="Tahoma" w:eastAsia="宋体" w:cs="宋体"/>
      <w:sz w:val="22"/>
      <w:szCs w:val="22"/>
    </w:rPr>
  </w:style>
  <w:style w:type="character" w:customStyle="1" w:styleId="245">
    <w:name w:val="正文 首行缩进:  2 字符 Char"/>
    <w:autoRedefine/>
    <w:qFormat/>
    <w:uiPriority w:val="0"/>
    <w:rPr>
      <w:rFonts w:cs="宋体"/>
      <w:kern w:val="2"/>
      <w:sz w:val="24"/>
    </w:rPr>
  </w:style>
  <w:style w:type="character" w:customStyle="1" w:styleId="246">
    <w:name w:val="普通文字 Char Char"/>
    <w:autoRedefine/>
    <w:qFormat/>
    <w:uiPriority w:val="0"/>
    <w:rPr>
      <w:rFonts w:ascii="宋体" w:hAnsi="Courier New" w:eastAsia="宋体" w:cs="Courier New"/>
      <w:kern w:val="2"/>
      <w:sz w:val="21"/>
      <w:szCs w:val="21"/>
      <w:lang w:val="en-US" w:eastAsia="zh-CN" w:bidi="ar-SA"/>
    </w:rPr>
  </w:style>
  <w:style w:type="character" w:customStyle="1" w:styleId="247">
    <w:name w:val="fontstyle01"/>
    <w:qFormat/>
    <w:uiPriority w:val="0"/>
    <w:rPr>
      <w:rFonts w:hint="eastAsia" w:ascii="宋体" w:hAnsi="宋体" w:eastAsia="宋体" w:cs="宋体"/>
      <w:color w:val="000000"/>
      <w:sz w:val="24"/>
      <w:szCs w:val="24"/>
    </w:rPr>
  </w:style>
  <w:style w:type="character" w:customStyle="1" w:styleId="248">
    <w:name w:val="Font Style225"/>
    <w:autoRedefine/>
    <w:qFormat/>
    <w:uiPriority w:val="0"/>
    <w:rPr>
      <w:rFonts w:ascii="宋体" w:hAnsi="Tahoma" w:eastAsia="宋体" w:cs="宋体"/>
      <w:spacing w:val="-10"/>
      <w:sz w:val="14"/>
      <w:szCs w:val="14"/>
    </w:rPr>
  </w:style>
  <w:style w:type="character" w:customStyle="1" w:styleId="249">
    <w:name w:val="font21"/>
    <w:autoRedefine/>
    <w:qFormat/>
    <w:uiPriority w:val="0"/>
    <w:rPr>
      <w:rFonts w:hint="default" w:ascii="Times New Roman" w:hAnsi="Times New Roman" w:eastAsia="Times New Roman" w:cs="Times New Roman"/>
      <w:b/>
      <w:color w:val="000000"/>
      <w:kern w:val="0"/>
      <w:sz w:val="20"/>
      <w:szCs w:val="20"/>
      <w:u w:val="none"/>
      <w:lang w:eastAsia="en-US"/>
    </w:rPr>
  </w:style>
  <w:style w:type="character" w:customStyle="1" w:styleId="250">
    <w:name w:val="Font Style221"/>
    <w:autoRedefine/>
    <w:qFormat/>
    <w:uiPriority w:val="0"/>
    <w:rPr>
      <w:rFonts w:ascii="宋体" w:hAnsi="Tahoma" w:eastAsia="宋体" w:cs="宋体"/>
      <w:sz w:val="22"/>
      <w:szCs w:val="22"/>
    </w:rPr>
  </w:style>
  <w:style w:type="paragraph" w:customStyle="1" w:styleId="251">
    <w:name w:val="表格标题"/>
    <w:basedOn w:val="1"/>
    <w:autoRedefine/>
    <w:qFormat/>
    <w:uiPriority w:val="0"/>
    <w:pPr>
      <w:spacing w:before="120"/>
      <w:jc w:val="center"/>
    </w:pPr>
    <w:rPr>
      <w:rFonts w:eastAsia="仿宋_GB2312"/>
      <w:sz w:val="24"/>
      <w:szCs w:val="20"/>
    </w:rPr>
  </w:style>
  <w:style w:type="paragraph" w:customStyle="1" w:styleId="252">
    <w:name w:val="正文缩近"/>
    <w:basedOn w:val="1"/>
    <w:qFormat/>
    <w:uiPriority w:val="0"/>
    <w:pPr>
      <w:spacing w:line="360" w:lineRule="auto"/>
      <w:ind w:firstLine="560" w:firstLineChars="200"/>
    </w:pPr>
    <w:rPr>
      <w:sz w:val="28"/>
      <w:szCs w:val="28"/>
    </w:rPr>
  </w:style>
  <w:style w:type="paragraph" w:customStyle="1" w:styleId="253">
    <w:name w:val="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254">
    <w:name w:val="正文表标题"/>
    <w:next w:val="1"/>
    <w:qFormat/>
    <w:uiPriority w:val="0"/>
    <w:pPr>
      <w:tabs>
        <w:tab w:val="left" w:pos="360"/>
      </w:tabs>
      <w:spacing w:beforeLines="50" w:afterLines="50"/>
      <w:ind w:hanging="360"/>
      <w:jc w:val="center"/>
    </w:pPr>
    <w:rPr>
      <w:rFonts w:ascii="黑体" w:hAnsi="Times New Roman" w:eastAsia="黑体" w:cs="Times New Roman"/>
      <w:sz w:val="21"/>
      <w:szCs w:val="22"/>
      <w:lang w:val="en-US" w:eastAsia="zh-CN" w:bidi="ar-SA"/>
    </w:rPr>
  </w:style>
  <w:style w:type="paragraph" w:customStyle="1" w:styleId="255">
    <w:name w:val="表格内容"/>
    <w:basedOn w:val="13"/>
    <w:autoRedefine/>
    <w:qFormat/>
    <w:uiPriority w:val="0"/>
    <w:pPr>
      <w:adjustRightInd w:val="0"/>
      <w:jc w:val="center"/>
      <w:textAlignment w:val="baseline"/>
    </w:pPr>
    <w:rPr>
      <w:szCs w:val="21"/>
    </w:rPr>
  </w:style>
  <w:style w:type="paragraph" w:customStyle="1" w:styleId="256">
    <w:name w:val="_Style 5"/>
    <w:basedOn w:val="18"/>
    <w:qFormat/>
    <w:uiPriority w:val="0"/>
    <w:rPr>
      <w:rFonts w:ascii="Tahoma" w:hAnsi="Tahoma"/>
      <w:sz w:val="24"/>
    </w:rPr>
  </w:style>
  <w:style w:type="paragraph" w:customStyle="1" w:styleId="257">
    <w:name w:val="样式 正文文本 + 左侧:  2 字符 首行缩进:  2 字符"/>
    <w:basedOn w:val="15"/>
    <w:autoRedefine/>
    <w:qFormat/>
    <w:uiPriority w:val="0"/>
    <w:pPr>
      <w:widowControl w:val="0"/>
      <w:snapToGrid/>
      <w:spacing w:before="0" w:after="120" w:line="240" w:lineRule="auto"/>
      <w:ind w:left="480" w:right="0" w:firstLine="480"/>
      <w:jc w:val="left"/>
    </w:pPr>
    <w:rPr>
      <w:rFonts w:cs="宋体"/>
      <w:kern w:val="2"/>
      <w:sz w:val="21"/>
      <w:szCs w:val="24"/>
    </w:rPr>
  </w:style>
  <w:style w:type="paragraph" w:customStyle="1" w:styleId="258">
    <w:name w:val="表标题"/>
    <w:basedOn w:val="14"/>
    <w:qFormat/>
    <w:uiPriority w:val="0"/>
    <w:pPr>
      <w:widowControl w:val="0"/>
      <w:spacing w:before="60" w:after="60" w:line="500" w:lineRule="exact"/>
      <w:ind w:firstLine="0" w:firstLineChars="0"/>
      <w:jc w:val="center"/>
    </w:pPr>
    <w:rPr>
      <w:b/>
      <w:bCs/>
      <w:kern w:val="2"/>
      <w:szCs w:val="18"/>
    </w:rPr>
  </w:style>
  <w:style w:type="paragraph" w:customStyle="1" w:styleId="259">
    <w:name w:val="_Style 57"/>
    <w:basedOn w:val="1"/>
    <w:next w:val="14"/>
    <w:qFormat/>
    <w:uiPriority w:val="99"/>
    <w:pPr>
      <w:ind w:firstLine="420" w:firstLineChars="100"/>
    </w:pPr>
  </w:style>
  <w:style w:type="paragraph" w:customStyle="1" w:styleId="260">
    <w:name w:val="Style18"/>
    <w:basedOn w:val="1"/>
    <w:qFormat/>
    <w:uiPriority w:val="0"/>
    <w:pPr>
      <w:adjustRightInd w:val="0"/>
      <w:spacing w:line="467" w:lineRule="exact"/>
      <w:ind w:firstLine="480"/>
    </w:pPr>
    <w:rPr>
      <w:rFonts w:hAnsi="Calibri"/>
      <w:kern w:val="0"/>
    </w:rPr>
  </w:style>
  <w:style w:type="paragraph" w:customStyle="1" w:styleId="261">
    <w:name w:val="_Style 2"/>
    <w:basedOn w:val="1"/>
    <w:autoRedefine/>
    <w:qFormat/>
    <w:uiPriority w:val="99"/>
    <w:pPr>
      <w:ind w:firstLine="420" w:firstLineChars="200"/>
    </w:pPr>
  </w:style>
  <w:style w:type="paragraph" w:customStyle="1" w:styleId="262">
    <w:name w:val="zxz5"/>
    <w:next w:val="1"/>
    <w:autoRedefine/>
    <w:qFormat/>
    <w:uiPriority w:val="0"/>
    <w:pPr>
      <w:tabs>
        <w:tab w:val="left" w:pos="0"/>
      </w:tabs>
      <w:jc w:val="center"/>
    </w:pPr>
    <w:rPr>
      <w:rFonts w:ascii="Times New Roman" w:hAnsi="Times New Roman" w:eastAsia="宋体" w:cs="Times New Roman"/>
      <w:lang w:val="en-US" w:eastAsia="zh-CN" w:bidi="ar-SA"/>
    </w:rPr>
  </w:style>
  <w:style w:type="paragraph" w:customStyle="1" w:styleId="263">
    <w:name w:val="论文正文"/>
    <w:basedOn w:val="13"/>
    <w:autoRedefine/>
    <w:qFormat/>
    <w:uiPriority w:val="0"/>
    <w:pPr>
      <w:ind w:firstLine="480" w:firstLineChars="200"/>
    </w:pPr>
    <w:rPr>
      <w:rFonts w:ascii="宋体" w:hAnsi="宋体"/>
      <w:sz w:val="28"/>
      <w:szCs w:val="24"/>
    </w:rPr>
  </w:style>
  <w:style w:type="paragraph" w:customStyle="1" w:styleId="264">
    <w:name w:val="正文001"/>
    <w:basedOn w:val="1"/>
    <w:autoRedefine/>
    <w:qFormat/>
    <w:uiPriority w:val="0"/>
    <w:pPr>
      <w:spacing w:before="60" w:line="460" w:lineRule="exact"/>
      <w:ind w:firstLine="482"/>
    </w:pPr>
    <w:rPr>
      <w:rFonts w:ascii="Arial" w:hAnsi="Arial"/>
      <w:sz w:val="24"/>
    </w:rPr>
  </w:style>
  <w:style w:type="paragraph" w:customStyle="1" w:styleId="265">
    <w:name w:val="正文2"/>
    <w:qFormat/>
    <w:uiPriority w:val="0"/>
    <w:pPr>
      <w:widowControl w:val="0"/>
      <w:suppressAutoHyphens/>
      <w:spacing w:line="520" w:lineRule="atLeast"/>
      <w:ind w:firstLine="680"/>
      <w:jc w:val="both"/>
    </w:pPr>
    <w:rPr>
      <w:rFonts w:ascii="Times New Roman" w:hAnsi="Times New Roman" w:eastAsia="宋体" w:cs="Times New Roman"/>
      <w:spacing w:val="18"/>
      <w:sz w:val="32"/>
      <w:lang w:val="en-US" w:eastAsia="zh-CN" w:bidi="ar-SA"/>
    </w:rPr>
  </w:style>
  <w:style w:type="paragraph" w:customStyle="1" w:styleId="266">
    <w:name w:val="表格/图表标题"/>
    <w:basedOn w:val="1"/>
    <w:next w:val="1"/>
    <w:autoRedefine/>
    <w:qFormat/>
    <w:uiPriority w:val="0"/>
    <w:pPr>
      <w:spacing w:beforeLines="50"/>
      <w:jc w:val="center"/>
    </w:pPr>
    <w:rPr>
      <w:b/>
      <w:bCs/>
      <w:kern w:val="0"/>
    </w:rPr>
  </w:style>
  <w:style w:type="paragraph" w:customStyle="1" w:styleId="267">
    <w:name w:val="Table Text"/>
    <w:basedOn w:val="1"/>
    <w:semiHidden/>
    <w:qFormat/>
    <w:uiPriority w:val="0"/>
    <w:rPr>
      <w:rFonts w:ascii="宋体" w:hAnsi="宋体" w:cs="宋体"/>
      <w:szCs w:val="21"/>
      <w:lang w:eastAsia="en-US"/>
    </w:rPr>
  </w:style>
  <w:style w:type="paragraph" w:customStyle="1" w:styleId="268">
    <w:name w:val="样式 正文 行距: 固定值 25 磅"/>
    <w:basedOn w:val="1"/>
    <w:qFormat/>
    <w:uiPriority w:val="0"/>
    <w:pPr>
      <w:adjustRightInd w:val="0"/>
      <w:spacing w:line="500" w:lineRule="exact"/>
      <w:ind w:firstLine="200" w:firstLineChars="200"/>
    </w:pPr>
    <w:rPr>
      <w:kern w:val="0"/>
      <w:sz w:val="24"/>
    </w:rPr>
  </w:style>
  <w:style w:type="character" w:customStyle="1" w:styleId="269">
    <w:name w:val="font61"/>
    <w:basedOn w:val="49"/>
    <w:qFormat/>
    <w:uiPriority w:val="0"/>
    <w:rPr>
      <w:rFonts w:ascii="宋体" w:hAnsi="宋体" w:eastAsia="宋体" w:cs="宋体"/>
      <w:b/>
      <w:bCs/>
      <w:color w:val="000000"/>
      <w:sz w:val="22"/>
      <w:szCs w:val="22"/>
      <w:u w:val="none"/>
    </w:rPr>
  </w:style>
  <w:style w:type="character" w:customStyle="1" w:styleId="270">
    <w:name w:val="font71"/>
    <w:basedOn w:val="49"/>
    <w:qFormat/>
    <w:uiPriority w:val="0"/>
    <w:rPr>
      <w:rFonts w:ascii="宋体" w:hAnsi="宋体" w:eastAsia="宋体" w:cs="宋体"/>
      <w:color w:val="000000"/>
      <w:sz w:val="22"/>
      <w:szCs w:val="22"/>
      <w:u w:val="none"/>
    </w:rPr>
  </w:style>
  <w:style w:type="character" w:customStyle="1" w:styleId="271">
    <w:name w:val="font81"/>
    <w:basedOn w:val="49"/>
    <w:qFormat/>
    <w:uiPriority w:val="0"/>
    <w:rPr>
      <w:rFonts w:ascii="宋体" w:hAnsi="宋体" w:eastAsia="宋体" w:cs="宋体"/>
      <w:color w:val="000000"/>
      <w:sz w:val="14"/>
      <w:szCs w:val="14"/>
      <w:u w:val="none"/>
    </w:rPr>
  </w:style>
  <w:style w:type="character" w:customStyle="1" w:styleId="272">
    <w:name w:val="font91"/>
    <w:basedOn w:val="49"/>
    <w:qFormat/>
    <w:uiPriority w:val="0"/>
    <w:rPr>
      <w:rFonts w:hint="default" w:ascii="Arial" w:hAnsi="Arial" w:cs="Arial"/>
      <w:color w:val="000000"/>
      <w:sz w:val="12"/>
      <w:szCs w:val="12"/>
      <w:u w:val="none"/>
    </w:rPr>
  </w:style>
  <w:style w:type="character" w:customStyle="1" w:styleId="273">
    <w:name w:val="font112"/>
    <w:basedOn w:val="49"/>
    <w:qFormat/>
    <w:uiPriority w:val="0"/>
    <w:rPr>
      <w:rFonts w:ascii="宋体" w:hAnsi="宋体" w:eastAsia="宋体" w:cs="宋体"/>
      <w:color w:val="000476"/>
      <w:sz w:val="14"/>
      <w:szCs w:val="14"/>
      <w:u w:val="none"/>
    </w:rPr>
  </w:style>
  <w:style w:type="character" w:customStyle="1" w:styleId="274">
    <w:name w:val="font141"/>
    <w:basedOn w:val="49"/>
    <w:qFormat/>
    <w:uiPriority w:val="0"/>
    <w:rPr>
      <w:rFonts w:ascii="宋体" w:hAnsi="宋体" w:eastAsia="宋体" w:cs="宋体"/>
      <w:color w:val="000877"/>
      <w:sz w:val="14"/>
      <w:szCs w:val="14"/>
      <w:u w:val="none"/>
    </w:rPr>
  </w:style>
  <w:style w:type="paragraph" w:customStyle="1" w:styleId="275">
    <w:name w:val="Heading #2|1"/>
    <w:basedOn w:val="1"/>
    <w:qFormat/>
    <w:uiPriority w:val="0"/>
    <w:pPr>
      <w:outlineLvl w:val="1"/>
    </w:pPr>
    <w:rPr>
      <w:rFonts w:ascii="宋体" w:hAnsi="宋体" w:cs="宋体"/>
      <w:sz w:val="30"/>
      <w:szCs w:val="30"/>
      <w:lang w:val="zh-TW" w:eastAsia="zh-TW" w:bidi="zh-TW"/>
    </w:rPr>
  </w:style>
  <w:style w:type="paragraph" w:customStyle="1" w:styleId="276">
    <w:name w:val="Body text|3"/>
    <w:basedOn w:val="1"/>
    <w:qFormat/>
    <w:uiPriority w:val="0"/>
    <w:pPr>
      <w:spacing w:after="170"/>
    </w:pPr>
    <w:rPr>
      <w:rFonts w:ascii="宋体" w:hAnsi="宋体" w:cs="宋体"/>
      <w:sz w:val="28"/>
      <w:szCs w:val="28"/>
      <w:lang w:val="zh-TW" w:eastAsia="zh-TW" w:bidi="zh-TW"/>
    </w:rPr>
  </w:style>
  <w:style w:type="paragraph" w:customStyle="1" w:styleId="277">
    <w:name w:val="表格文字"/>
    <w:basedOn w:val="1"/>
    <w:qFormat/>
    <w:uiPriority w:val="0"/>
    <w:pPr>
      <w:jc w:val="center"/>
    </w:pPr>
    <w:rPr>
      <w:rFonts w:ascii="宋体"/>
      <w:sz w:val="24"/>
      <w:szCs w:val="20"/>
    </w:rPr>
  </w:style>
  <w:style w:type="character" w:customStyle="1" w:styleId="278">
    <w:name w:val="font12"/>
    <w:basedOn w:val="49"/>
    <w:qFormat/>
    <w:uiPriority w:val="0"/>
    <w:rPr>
      <w:rFonts w:hint="eastAsia" w:ascii="宋体" w:hAnsi="宋体" w:eastAsia="宋体" w:cs="宋体"/>
      <w:color w:val="000000"/>
      <w:sz w:val="21"/>
      <w:szCs w:val="21"/>
      <w:u w:val="none"/>
    </w:rPr>
  </w:style>
  <w:style w:type="character" w:customStyle="1" w:styleId="279">
    <w:name w:val="font51"/>
    <w:basedOn w:val="49"/>
    <w:qFormat/>
    <w:uiPriority w:val="0"/>
    <w:rPr>
      <w:rFonts w:hint="default" w:ascii="Times New Roman" w:hAnsi="Times New Roman" w:cs="Times New Roman"/>
      <w:color w:val="FF0000"/>
      <w:sz w:val="21"/>
      <w:szCs w:val="21"/>
      <w:u w:val="none"/>
    </w:rPr>
  </w:style>
  <w:style w:type="paragraph" w:customStyle="1" w:styleId="280">
    <w:name w:val="1表头"/>
    <w:basedOn w:val="1"/>
    <w:next w:val="1"/>
    <w:qFormat/>
    <w:uiPriority w:val="0"/>
    <w:pPr>
      <w:spacing w:before="30" w:beforeLines="30" w:after="20" w:afterLines="20"/>
      <w:jc w:val="center"/>
    </w:pPr>
    <w:rPr>
      <w:rFonts w:eastAsia="仿宋"/>
      <w:szCs w:val="21"/>
    </w:rPr>
  </w:style>
  <w:style w:type="paragraph" w:customStyle="1" w:styleId="281">
    <w:name w:val="表格文字（小）"/>
    <w:basedOn w:val="1"/>
    <w:qFormat/>
    <w:uiPriority w:val="0"/>
    <w:pPr>
      <w:spacing w:line="240" w:lineRule="atLeast"/>
      <w:jc w:val="center"/>
    </w:pPr>
  </w:style>
  <w:style w:type="paragraph" w:customStyle="1" w:styleId="282">
    <w:name w:val="表头1"/>
    <w:basedOn w:val="110"/>
    <w:qFormat/>
    <w:uiPriority w:val="0"/>
    <w:pPr>
      <w:tabs>
        <w:tab w:val="left" w:pos="1134"/>
        <w:tab w:val="right" w:pos="7371"/>
      </w:tabs>
      <w:overflowPunct w:val="0"/>
      <w:textAlignment w:val="baseline"/>
    </w:pPr>
    <w:rPr>
      <w:rFonts w:hAnsi="Times New Roman"/>
      <w:bCs/>
      <w:color w:val="000000"/>
    </w:rPr>
  </w:style>
  <w:style w:type="paragraph" w:customStyle="1" w:styleId="283">
    <w:name w:val="1111表格样式"/>
    <w:basedOn w:val="1"/>
    <w:autoRedefine/>
    <w:qFormat/>
    <w:uiPriority w:val="0"/>
    <w:pPr>
      <w:overflowPunct w:val="0"/>
      <w:jc w:val="center"/>
    </w:pPr>
    <w:rPr>
      <w:szCs w:val="21"/>
      <w:lang w:val="zh-CN" w:bidi="zh-CN"/>
    </w:rPr>
  </w:style>
  <w:style w:type="paragraph" w:customStyle="1" w:styleId="284">
    <w:name w:val="修订1"/>
    <w:hidden/>
    <w:unhideWhenUsed/>
    <w:qFormat/>
    <w:uiPriority w:val="99"/>
    <w:rPr>
      <w:rFonts w:ascii="Times New Roman" w:hAnsi="Times New Roman" w:eastAsia="宋体" w:cs="Times New Roman"/>
      <w:kern w:val="2"/>
      <w:sz w:val="21"/>
      <w:szCs w:val="24"/>
      <w:lang w:val="en-US" w:eastAsia="zh-CN" w:bidi="ar-SA"/>
    </w:rPr>
  </w:style>
  <w:style w:type="paragraph" w:customStyle="1" w:styleId="285">
    <w:name w:val="font0"/>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286">
    <w:name w:val="样式 正文 首行缩进:  2 字符 + (中文) 楷体_GB2312"/>
    <w:basedOn w:val="101"/>
    <w:qFormat/>
    <w:uiPriority w:val="0"/>
    <w:pPr>
      <w:jc w:val="both"/>
    </w:pPr>
    <w:rPr>
      <w:rFonts w:eastAsia="楷体_GB2312"/>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9" Type="http://schemas.openxmlformats.org/officeDocument/2006/relationships/fontTable" Target="fontTable.xml"/><Relationship Id="rId68" Type="http://schemas.openxmlformats.org/officeDocument/2006/relationships/customXml" Target="../customXml/item3.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35.jpeg"/><Relationship Id="rId63" Type="http://schemas.openxmlformats.org/officeDocument/2006/relationships/image" Target="media/image34.png"/><Relationship Id="rId62" Type="http://schemas.openxmlformats.org/officeDocument/2006/relationships/image" Target="media/image33.jpeg"/><Relationship Id="rId61" Type="http://schemas.openxmlformats.org/officeDocument/2006/relationships/image" Target="media/image32.png"/><Relationship Id="rId60" Type="http://schemas.openxmlformats.org/officeDocument/2006/relationships/image" Target="media/image31.png"/><Relationship Id="rId6" Type="http://schemas.openxmlformats.org/officeDocument/2006/relationships/footer" Target="footer2.xml"/><Relationship Id="rId59" Type="http://schemas.openxmlformats.org/officeDocument/2006/relationships/image" Target="media/image30.png"/><Relationship Id="rId58" Type="http://schemas.openxmlformats.org/officeDocument/2006/relationships/image" Target="media/image29.png"/><Relationship Id="rId57" Type="http://schemas.openxmlformats.org/officeDocument/2006/relationships/image" Target="media/image28.emf"/><Relationship Id="rId56" Type="http://schemas.openxmlformats.org/officeDocument/2006/relationships/image" Target="media/image27.png"/><Relationship Id="rId55" Type="http://schemas.openxmlformats.org/officeDocument/2006/relationships/image" Target="media/image26.png"/><Relationship Id="rId54" Type="http://schemas.openxmlformats.org/officeDocument/2006/relationships/image" Target="media/image25.png"/><Relationship Id="rId53" Type="http://schemas.openxmlformats.org/officeDocument/2006/relationships/image" Target="media/image24.png"/><Relationship Id="rId52" Type="http://schemas.openxmlformats.org/officeDocument/2006/relationships/image" Target="media/image23.png"/><Relationship Id="rId51" Type="http://schemas.openxmlformats.org/officeDocument/2006/relationships/image" Target="media/image22.jpeg"/><Relationship Id="rId50" Type="http://schemas.openxmlformats.org/officeDocument/2006/relationships/image" Target="media/image21.png"/><Relationship Id="rId5" Type="http://schemas.openxmlformats.org/officeDocument/2006/relationships/footer" Target="footer1.xml"/><Relationship Id="rId49" Type="http://schemas.openxmlformats.org/officeDocument/2006/relationships/image" Target="media/image20.jpeg"/><Relationship Id="rId48" Type="http://schemas.openxmlformats.org/officeDocument/2006/relationships/image" Target="media/image19.jpeg"/><Relationship Id="rId47" Type="http://schemas.openxmlformats.org/officeDocument/2006/relationships/image" Target="media/image18.png"/><Relationship Id="rId46" Type="http://schemas.openxmlformats.org/officeDocument/2006/relationships/image" Target="media/image17.png"/><Relationship Id="rId45" Type="http://schemas.openxmlformats.org/officeDocument/2006/relationships/image" Target="media/image16.wmf"/><Relationship Id="rId44" Type="http://schemas.openxmlformats.org/officeDocument/2006/relationships/oleObject" Target="embeddings/oleObject14.bin"/><Relationship Id="rId43" Type="http://schemas.openxmlformats.org/officeDocument/2006/relationships/image" Target="media/image15.wmf"/><Relationship Id="rId42" Type="http://schemas.openxmlformats.org/officeDocument/2006/relationships/oleObject" Target="embeddings/oleObject13.bin"/><Relationship Id="rId41" Type="http://schemas.openxmlformats.org/officeDocument/2006/relationships/image" Target="media/image14.wmf"/><Relationship Id="rId40" Type="http://schemas.openxmlformats.org/officeDocument/2006/relationships/oleObject" Target="embeddings/oleObject12.bin"/><Relationship Id="rId4" Type="http://schemas.openxmlformats.org/officeDocument/2006/relationships/header" Target="header2.xml"/><Relationship Id="rId39" Type="http://schemas.openxmlformats.org/officeDocument/2006/relationships/image" Target="media/image13.wmf"/><Relationship Id="rId38" Type="http://schemas.openxmlformats.org/officeDocument/2006/relationships/oleObject" Target="embeddings/oleObject11.bin"/><Relationship Id="rId37" Type="http://schemas.openxmlformats.org/officeDocument/2006/relationships/image" Target="media/image12.wmf"/><Relationship Id="rId36" Type="http://schemas.openxmlformats.org/officeDocument/2006/relationships/oleObject" Target="embeddings/oleObject10.bin"/><Relationship Id="rId35" Type="http://schemas.openxmlformats.org/officeDocument/2006/relationships/image" Target="media/image11.wmf"/><Relationship Id="rId34" Type="http://schemas.openxmlformats.org/officeDocument/2006/relationships/oleObject" Target="embeddings/oleObject9.bin"/><Relationship Id="rId33" Type="http://schemas.openxmlformats.org/officeDocument/2006/relationships/image" Target="media/image10.wmf"/><Relationship Id="rId32" Type="http://schemas.openxmlformats.org/officeDocument/2006/relationships/oleObject" Target="embeddings/oleObject8.bin"/><Relationship Id="rId31" Type="http://schemas.openxmlformats.org/officeDocument/2006/relationships/image" Target="media/image9.wmf"/><Relationship Id="rId30" Type="http://schemas.openxmlformats.org/officeDocument/2006/relationships/oleObject" Target="embeddings/oleObject7.bin"/><Relationship Id="rId3" Type="http://schemas.openxmlformats.org/officeDocument/2006/relationships/header" Target="header1.xml"/><Relationship Id="rId29" Type="http://schemas.openxmlformats.org/officeDocument/2006/relationships/image" Target="media/image8.emf"/><Relationship Id="rId28" Type="http://schemas.openxmlformats.org/officeDocument/2006/relationships/oleObject" Target="embeddings/oleObject6.bin"/><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emf"/><Relationship Id="rId24" Type="http://schemas.openxmlformats.org/officeDocument/2006/relationships/oleObject" Target="embeddings/oleObject5.bin"/><Relationship Id="rId23" Type="http://schemas.openxmlformats.org/officeDocument/2006/relationships/image" Target="media/image4.emf"/><Relationship Id="rId22" Type="http://schemas.openxmlformats.org/officeDocument/2006/relationships/oleObject" Target="embeddings/oleObject4.bin"/><Relationship Id="rId21" Type="http://schemas.openxmlformats.org/officeDocument/2006/relationships/image" Target="media/image3.e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2.emf"/><Relationship Id="rId18" Type="http://schemas.openxmlformats.org/officeDocument/2006/relationships/oleObject" Target="embeddings/oleObject2.bin"/><Relationship Id="rId17" Type="http://schemas.openxmlformats.org/officeDocument/2006/relationships/image" Target="media/image1.emf"/><Relationship Id="rId16" Type="http://schemas.openxmlformats.org/officeDocument/2006/relationships/oleObject" Target="embeddings/oleObject1.bin"/><Relationship Id="rId15" Type="http://schemas.openxmlformats.org/officeDocument/2006/relationships/theme" Target="theme/theme1.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1"/>
        </a:solidFill>
        <a:ln>
          <a:noFill/>
        </a:ln>
      </a:spPr>
      <a:bodyPr/>
      <a:lstStyle/>
      <a:style>
        <a:lnRef idx="2">
          <a:schemeClr val="accent1">
            <a:lumMod val="75000"/>
          </a:schemeClr>
        </a:lnRef>
        <a:fillRef idx="1">
          <a:schemeClr val="accent1"/>
        </a:fillRef>
        <a:effectRef idx="0">
          <a:srgbClr val="FFFFFF"/>
        </a:effectRef>
        <a:fontRef idx="minor">
          <a:schemeClr val="lt1"/>
        </a:fontRef>
      </a:style>
    </a:spDef>
    <a:txDef>
      <a:spPr>
        <a:solidFill>
          <a:schemeClr val="lt1"/>
        </a:solidFill>
        <a:ln w="6350">
          <a:solidFill>
            <a:prstClr val="black"/>
          </a:solidFill>
        </a:ln>
      </a:spPr>
      <a:bodyPr rot="0" vertOverflow="overflow" horzOverflow="overflow"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cf269d46-5d0d-4162-8a5d-7e426fb374ff</errorID>
      <errorWord> </errorWord>
      <group>L1_AI</group>
      <groupName>深度校对</groupName>
      <ability>L2_AI_Punc</ability>
      <abilityName>标点纠错</abilityName>
      <candidateList>
        <item/>
      </candidateList>
      <explain>此处空格冗余，建议删除。</explain>
      <paraID>3F5EB601</paraID>
      <start>1</start>
      <end>2</end>
      <status>ignored</status>
      <modifiedWord/>
      <trackRevisions>false</trackRevisions>
    </reviewItem>
    <reviewItem>
      <errorID>d6839b08-878a-4037-86de-107f3c9b9fee</errorID>
      <errorWord> 分 </errorWord>
      <group>L1_AI</group>
      <groupName>深度校对</groupName>
      <ability>L2_AI_Grammar</ability>
      <abilityName>语法纠错</abilityName>
      <candidateList>
        <item>′</item>
      </candidateList>
      <explain/>
      <paraID>3F5EB601</paraID>
      <start>9</start>
      <end>12</end>
      <status>ignored</status>
      <modifiedWord/>
      <trackRevisions>false</trackRevisions>
    </reviewItem>
    <reviewItem>
      <errorID>3087f7ad-1821-4f8c-a994-f7885d1ca0d5</errorID>
      <errorWord>秒</errorWord>
      <group>L1_AI</group>
      <groupName>深度校对</groupName>
      <ability>L2_AI_Word</ability>
      <abilityName>字词纠错</abilityName>
      <candidateList>
        <item>″</item>
      </candidateList>
      <explain/>
      <paraID>3F5EB601</paraID>
      <start>18</start>
      <end>19</end>
      <status>ignored</status>
      <modifiedWord/>
      <trackRevisions>false</trackRevisions>
    </reviewItem>
    <reviewItem>
      <errorID>7f006306-3b26-4b4f-a4f6-00c2f2f57b72</errorID>
      <errorWord> </errorWord>
      <group>L1_AI</group>
      <groupName>深度校对</groupName>
      <ability>L2_AI_Punc</ability>
      <abilityName>标点纠错</abilityName>
      <candidateList>
        <item/>
      </candidateList>
      <explain>此处空格冗余，建议删除。</explain>
      <paraID>3F5EB601</paraID>
      <start>20</start>
      <end>21</end>
      <status>ignored</status>
      <modifiedWord/>
      <trackRevisions>false</trackRevisions>
    </reviewItem>
    <reviewItem>
      <errorID>b23a7b14-2881-4143-87af-253950a1537c</errorID>
      <errorWord> 分 </errorWord>
      <group>L1_AI</group>
      <groupName>深度校对</groupName>
      <ability>L2_AI_Grammar</ability>
      <abilityName>语法纠错</abilityName>
      <candidateList>
        <item>′</item>
      </candidateList>
      <explain/>
      <paraID>3F5EB601</paraID>
      <start>28</start>
      <end>31</end>
      <status>ignored</status>
      <modifiedWord/>
      <trackRevisions>false</trackRevisions>
    </reviewItem>
    <reviewItem>
      <errorID>f8c566ad-bc49-4f31-ac02-09ab5bc4eb53</errorID>
      <errorWord> 秒</errorWord>
      <group>L1_AI</group>
      <groupName>深度校对</groupName>
      <ability>L2_AI_Word</ability>
      <abilityName>字词纠错</abilityName>
      <candidateList>
        <item>″</item>
      </candidateList>
      <explain/>
      <paraID>3F5EB601</paraID>
      <start>37</start>
      <end>39</end>
      <status>ignored</status>
      <modifiedWord/>
      <trackRevisions>false</trackRevisions>
    </reviewItem>
    <reviewItem>
      <errorID>ad08a589-ce6b-450a-b1ed-d17460655675</errorID>
      <errorWord>，应</errorWord>
      <group>L1_Word</group>
      <groupName>字词问题</groupName>
      <ability>L2_Typo</ability>
      <abilityName>字词错误</abilityName>
      <candidateList>
        <item>，</item>
      </candidateList>
      <explain/>
      <paraID>795C4F3E</paraID>
      <start>61</start>
      <end>63</end>
      <status>ignored</status>
      <modifiedWord/>
      <trackRevisions>false</trackRevisions>
    </reviewItem>
    <reviewItem>
      <errorID>59d33a4d-17a7-4235-9583-76ceddbe8177</errorID>
      <errorWord>加工业</errorWord>
      <group>L1_AI</group>
      <groupName>深度校对</groupName>
      <ability>L2_AI_Punc</ability>
      <abilityName>标点纠错</abilityName>
      <candidateList>
        <item>加工业。</item>
      </candidateList>
      <explain/>
      <paraID>37FEC11D</paraID>
      <start>14</start>
      <end>17</end>
      <status>ignored</status>
      <modifiedWord/>
      <trackRevisions>false</trackRevisions>
    </reviewItem>
    <reviewItem>
      <errorID>2d4def12-46bd-4ca8-8754-e5d5e74a140c</errorID>
      <errorWord>制造业</errorWord>
      <group>L1_AI</group>
      <groupName>深度校对</groupName>
      <ability>L2_AI_Punc</ability>
      <abilityName>标点纠错</abilityName>
      <candidateList>
        <item>制造业。</item>
      </candidateList>
      <explain/>
      <paraID>4BB47D43</paraID>
      <start>3</start>
      <end>6</end>
      <status>ignored</status>
      <modifiedWord/>
      <trackRevisions>false</trackRevisions>
    </reviewItem>
    <reviewItem>
      <errorID>3f396fba-1fd0-476f-a08f-06a04de2923f</errorID>
      <errorWord>故目前</errorWord>
      <group>L1_Word</group>
      <groupName>字词问题</groupName>
      <ability>L2_Typo</ability>
      <abilityName>字词错误</abilityName>
      <candidateList>
        <item>目前</item>
      </candidateList>
      <explain/>
      <paraID>1CF4DF19</paraID>
      <start>225</start>
      <end>228</end>
      <status>ignored</status>
      <modifiedWord/>
      <trackRevisions>false</trackRevisions>
    </reviewItem>
    <reviewItem>
      <errorID>ec4a46de-54ec-4653-a1cd-821fdc4b6955</errorID>
      <errorWord>，</errorWord>
      <group>L1_Word</group>
      <groupName>字词问题</groupName>
      <ability>L2_Typo</ability>
      <abilityName>字词错误</abilityName>
      <candidateList>
        <item>，在</item>
      </candidateList>
      <explain/>
      <paraID>7A41362F</paraID>
      <start>13</start>
      <end>14</end>
      <status>ignored</status>
      <modifiedWord/>
      <trackRevisions>false</trackRevisions>
    </reviewItem>
    <reviewItem>
      <errorID>b0e6bb7c-b7c6-4ed9-935f-53fb97ed26de</errorID>
      <errorWord>业</errorWord>
      <group>L1_Word</group>
      <groupName>字词问题</groupName>
      <ability>L2_Typo</ability>
      <abilityName>字词错误</abilityName>
      <candidateList>
        <item>业园</item>
      </candidateList>
      <explain/>
      <paraID>45BBF3BE</paraID>
      <start>33</start>
      <end>35</end>
      <status>modified</status>
      <modifiedWord>业园</modifiedWord>
      <trackRevisions>false</trackRevisions>
    </reviewItem>
    <reviewItem>
      <errorID>e3fefbfd-fb64-49c1-aef8-8223479a8a8d</errorID>
      <errorWord>《山东省深入打好蓝天保卫战行动计划》(2021—2025年)</errorWord>
      <group>L1_Knowledge</group>
      <groupName>知识性问题</groupName>
      <ability>L2_Knowledge</ability>
      <abilityName>其他知识</abilityName>
      <candidateList>
        <item>《山东省深入打好蓝天保卫战行动计划(2021—2025年)》</item>
      </candidateList>
      <explain>疑似政策文件、法律法规名称等书写不规范，请注意检查。</explain>
      <paraID>35240684</paraID>
      <start>0</start>
      <end>30</end>
      <status>ignored</status>
      <modifiedWord/>
      <trackRevisions>false</trackRevisions>
    </reviewItem>
    <reviewItem>
      <errorID>7afca308-614c-4c0b-987b-53861831d1d1</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7F244A63</paraID>
      <start>0</start>
      <end>3</end>
      <status>ignored</status>
      <modifiedWord/>
      <trackRevisions>false</trackRevisions>
    </reviewItem>
    <reviewItem>
      <errorID>762d0791-06c0-4f52-aef6-0f2be7b9c140</errorID>
      <errorWord>胶粘剂</errorWord>
      <group>L1_Word</group>
      <groupName>字词问题</groupName>
      <ability>L2_Typo</ability>
      <abilityName>字词错误</abilityName>
      <candidateList>
        <item>胶黏剂</item>
      </candidateList>
      <explain/>
      <paraID>7F244A63</paraID>
      <start>737</start>
      <end>740</end>
      <status>ignored</status>
      <modifiedWord/>
      <trackRevisions>false</trackRevisions>
    </reviewItem>
    <reviewItem>
      <errorID>c44d6ca7-1942-439b-88b0-2b992d1bc261</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326F2383</paraID>
      <start>0</start>
      <end>3</end>
      <status>modified</status>
      <modifiedWord>（一）</modifiedWord>
      <trackRevisions>false</trackRevisions>
    </reviewItem>
    <reviewItem>
      <errorID>6c13a09a-a3f3-4e0a-b70f-dc5be95094fd</errorID>
      <errorWord>(一)</errorWord>
      <group>L1_Format</group>
      <groupName>格式问题</groupName>
      <ability>L2_Ordinal</ability>
      <abilityName>序号格式</abilityName>
      <candidateList>
        <item>（一）</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5C562D5E</paraID>
      <start>0</start>
      <end>3</end>
      <status>modified</status>
      <modifiedWord>（一）</modifiedWord>
      <trackRevisions>false</trackRevisions>
    </reviewItem>
    <reviewItem>
      <errorID>63027b0a-d088-4761-aca6-4b9d5b36b8e1</errorID>
      <errorWord>(</errorWord>
      <group>L1_Punc</group>
      <groupName>标点问题</groupName>
      <ability>L2_Punc</ability>
      <abilityName>标点符号检查</abilityName>
      <candidateList/>
      <explain>同一形式括号套用。</explain>
      <paraID>4C3F78A7</paraID>
      <start>45</start>
      <end>46</end>
      <status>ignored</status>
      <modifiedWord/>
      <trackRevisions>false</trackRevisions>
    </reviewItem>
    <reviewItem>
      <errorID>16cb5cb9-2e7b-433a-a800-9da56c95b2b7</errorID>
      <errorWord>)</errorWord>
      <group>L1_Punc</group>
      <groupName>标点问题</groupName>
      <ability>L2_Punc</ability>
      <abilityName>标点符号检查</abilityName>
      <candidateList/>
      <explain>同一形式括号套用。</explain>
      <paraID>4C3F78A7</paraID>
      <start>47</start>
      <end>48</end>
      <status>ignored</status>
      <modifiedWord/>
      <trackRevisions>false</trackRevisions>
    </reviewItem>
    <reviewItem>
      <errorID>c1b0dc6f-8115-494b-b92d-b45d76ffa497</errorID>
      <errorWord>(</errorWord>
      <group>L1_Punc</group>
      <groupName>标点问题</groupName>
      <ability>L2_Punc</ability>
      <abilityName>标点符号检查</abilityName>
      <candidateList/>
      <explain>同一形式括号套用。</explain>
      <paraID>4C3F78A7</paraID>
      <start>56</start>
      <end>57</end>
      <status>ignored</status>
      <modifiedWord/>
      <trackRevisions>false</trackRevisions>
    </reviewItem>
    <reviewItem>
      <errorID>2b972e81-0f2a-43c3-ae36-2e4410cbcda8</errorID>
      <errorWord>)</errorWord>
      <group>L1_Punc</group>
      <groupName>标点问题</groupName>
      <ability>L2_Punc</ability>
      <abilityName>标点符号检查</abilityName>
      <candidateList/>
      <explain>同一形式括号套用。</explain>
      <paraID>4C3F78A7</paraID>
      <start>58</start>
      <end>59</end>
      <status>ignored</status>
      <modifiedWord/>
      <trackRevisions>false</trackRevisions>
    </reviewItem>
    <reviewItem>
      <errorID>8bdea1f5-2b76-4d05-a2a0-fd66f1b050c9</errorID>
      <errorWord>必须</errorWord>
      <group>L1_Word</group>
      <groupName>字词问题</groupName>
      <ability>L2_Typo</ability>
      <abilityName>字词错误</abilityName>
      <candidateList>
        <item>必需</item>
      </candidateList>
      <explain>〈动〉一定要有；不可少：日用～品｜煤铁等是发展工业所～的原料。</explain>
      <paraID> D6A0D17</paraID>
      <start>69</start>
      <end>71</end>
      <status>ignored</status>
      <modifiedWord/>
      <trackRevisions>false</trackRevisions>
    </reviewItem>
    <reviewItem>
      <errorID>207f813b-44e0-47a8-87ae-300b2c86c0ad</errorID>
      <errorWord>，</errorWord>
      <group>L1_Format</group>
      <groupName>格式问题</groupName>
      <ability>L2_HalfPunc</ability>
      <abilityName>全半角检查</abilityName>
      <candidateList>
        <item>, </item>
      </candidateList>
      <explain>文本全半角错误。</explain>
      <paraID> B80695D</paraID>
      <start>40</start>
      <end>41</end>
      <status>ignored</status>
      <modifiedWord/>
      <trackRevisions>false</trackRevisions>
    </reviewItem>
    <reviewItem>
      <errorID>1316372f-3c91-4682-8f34-8f4959cdb9af</errorID>
      <errorWord>；</errorWord>
      <group>L1_Format</group>
      <groupName>格式问题</groupName>
      <ability>L2_HalfPunc</ability>
      <abilityName>全半角检查</abilityName>
      <candidateList>
        <item>;</item>
      </candidateList>
      <explain>文本全半角错误。</explain>
      <paraID> B80695D</paraID>
      <start>45</start>
      <end>46</end>
      <status>ignored</status>
      <modifiedWord/>
      <trackRevisions>false</trackRevisions>
    </reviewItem>
    <reviewItem>
      <errorID>6167905d-7491-4745-a18c-40cf921f79af</errorID>
      <errorWord>，</errorWord>
      <group>L1_Format</group>
      <groupName>格式问题</groupName>
      <ability>L2_HalfPunc</ability>
      <abilityName>全半角检查</abilityName>
      <candidateList>
        <item>, </item>
      </candidateList>
      <explain>文本全半角错误。</explain>
      <paraID> B80695D</paraID>
      <start>54</start>
      <end>55</end>
      <status>ignored</status>
      <modifiedWord/>
      <trackRevisions>false</trackRevisions>
    </reviewItem>
    <reviewItem>
      <errorID>737aebba-2330-45bc-b4ee-ab7740816aa2</errorID>
      <errorWord>；</errorWord>
      <group>L1_Format</group>
      <groupName>格式问题</groupName>
      <ability>L2_HalfPunc</ability>
      <abilityName>全半角检查</abilityName>
      <candidateList>
        <item>; </item>
      </candidateList>
      <explain>文本全半角错误。</explain>
      <paraID> B80695D</paraID>
      <start>73</start>
      <end>74</end>
      <status>ignored</status>
      <modifiedWord/>
      <trackRevisions>false</trackRevisions>
    </reviewItem>
    <reviewItem>
      <errorID>226c694b-81d0-4704-8501-0ff15a3482a4</errorID>
      <errorWord>，</errorWord>
      <group>L1_Format</group>
      <groupName>格式问题</groupName>
      <ability>L2_HalfPunc</ability>
      <abilityName>全半角检查</abilityName>
      <candidateList>
        <item>, </item>
      </candidateList>
      <explain>文本全半角错误。</explain>
      <paraID> B80695D</paraID>
      <start>79</start>
      <end>80</end>
      <status>ignored</status>
      <modifiedWord/>
      <trackRevisions>false</trackRevisions>
    </reviewItem>
    <reviewItem>
      <errorID>49657f87-822b-4322-b698-63cf3b3c23fe</errorID>
      <errorWord>；</errorWord>
      <group>L1_Format</group>
      <groupName>格式问题</groupName>
      <ability>L2_HalfPunc</ability>
      <abilityName>全半角检查</abilityName>
      <candidateList>
        <item>;</item>
      </candidateList>
      <explain>文本全半角错误。</explain>
      <paraID> B80695D</paraID>
      <start>87</start>
      <end>88</end>
      <status>ignored</status>
      <modifiedWord/>
      <trackRevisions>false</trackRevisions>
    </reviewItem>
    <reviewItem>
      <errorID>6c432225-b679-4a23-bf0d-dc38677909a6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5CC51B5A</paraID>
      <start>79</start>
      <end>80</end>
      <status>ignored</status>
      <modifiedWord/>
      <trackRevisions>false</trackRevisions>
    </reviewItem>
    <reviewItem>
      <errorID>ebd4d897-598d-44f1-9a2a-780cec35a250</errorID>
      <errorWord>产生</errorWord>
      <group>L1_Word</group>
      <groupName>字词问题</groupName>
      <ability>L2_Typo</ability>
      <abilityName>字词错误</abilityName>
      <candidateList>
        <item>生产</item>
      </candidateList>
      <explain>〈动〉❶人们使用工具来创造各种生产资料和生活资料：工业～｜发展～｜～出更好的产品。❷生孩子。</explain>
      <paraID>768AC995</paraID>
      <start>39</start>
      <end>41</end>
      <status>ignored</status>
      <modifiedWord/>
      <trackRevisions>false</trackRevisions>
    </reviewItem>
    <reviewItem>
      <errorID>0c31eeff-028f-4b4d-83b0-8117067e59cd</errorID>
      <errorWord>法治观念</errorWord>
      <group>L1_Word</group>
      <groupName>字词问题</groupName>
      <ability>L2_Typo</ability>
      <abilityName>字词错误</abilityName>
      <candidateList>
        <item>法制观念</item>
      </candidateList>
      <explain>存在发音相同字词的误用。</explain>
      <paraID>192656A1</paraID>
      <start>51</start>
      <end>55</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B58B847-4A4C-42FE-A60F-D4C5523E5B5F}">
  <ds:schemaRefs/>
</ds:datastoreItem>
</file>

<file path=customXml/itemProps3.xml><?xml version="1.0" encoding="utf-8"?>
<ds:datastoreItem xmlns:ds="http://schemas.openxmlformats.org/officeDocument/2006/customXml" ds:itemID="{4612C5BA-017F-42C4-943F-13568F9968B4}">
  <ds:schemaRefs/>
</ds:datastoreItem>
</file>

<file path=docProps/app.xml><?xml version="1.0" encoding="utf-8"?>
<Properties xmlns="http://schemas.openxmlformats.org/officeDocument/2006/extended-properties" xmlns:vt="http://schemas.openxmlformats.org/officeDocument/2006/docPropsVTypes">
  <Template>wdzx97</Template>
  <Company>Microsoft</Company>
  <Pages>68</Pages>
  <Words>15243</Words>
  <Characters>16248</Characters>
  <Lines>328</Lines>
  <Paragraphs>92</Paragraphs>
  <TotalTime>3</TotalTime>
  <ScaleCrop>false</ScaleCrop>
  <LinksUpToDate>false</LinksUpToDate>
  <CharactersWithSpaces>16292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2024-07-03T02:43:00Z</dcterms:created>
  <dc:creator>尚云环境</dc:creator>
  <cp:lastModifiedBy>我是一只鱼</cp:lastModifiedBy>
  <cp:lastPrinted>2025-06-12T12:37:00Z</cp:lastPrinted>
  <dcterms:modified xsi:type="dcterms:W3CDTF">2026-03-20T01:15:17Z</dcterms:modified>
  <dc:title>建设项目环境影响报告表（污染影响类）</dc:title>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FA9D4B07097A466D9150642D2EDF37F8_13</vt:lpwstr>
  </property>
  <property fmtid="{D5CDD505-2E9C-101B-9397-08002B2CF9AE}" pid="4" name="KSOTemplateDocerSaveRecord">
    <vt:lpwstr>eyJoZGlkIjoiNWFjMDdkNzljZDdlMDMzZjI1YjQ0NzQ1MGE4NjY4MmYiLCJ1c2VySWQiOiI5NzU2MTUwNjkifQ==</vt:lpwstr>
  </property>
</Properties>
</file>