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sz w:val="44"/>
          <w:szCs w:val="44"/>
        </w:rPr>
      </w:pPr>
      <w:r>
        <w:rPr>
          <w:rFonts w:hint="eastAsia" w:ascii="黑体" w:hAnsi="黑体" w:eastAsia="黑体"/>
          <w:sz w:val="44"/>
          <w:szCs w:val="44"/>
        </w:rPr>
        <w:t>临淄生态环境分局</w:t>
      </w:r>
    </w:p>
    <w:p>
      <w:pPr>
        <w:spacing w:line="600" w:lineRule="exact"/>
        <w:jc w:val="center"/>
        <w:rPr>
          <w:rFonts w:ascii="黑体" w:hAnsi="黑体" w:eastAsia="黑体"/>
          <w:sz w:val="44"/>
          <w:szCs w:val="44"/>
        </w:rPr>
      </w:pPr>
      <w:r>
        <w:rPr>
          <w:rFonts w:hint="eastAsia" w:ascii="黑体" w:hAnsi="黑体" w:eastAsia="黑体"/>
          <w:sz w:val="44"/>
          <w:szCs w:val="44"/>
        </w:rPr>
        <w:t>2022年上半年工作总结及下半年工作打算</w:t>
      </w:r>
    </w:p>
    <w:p>
      <w:pPr>
        <w:pStyle w:val="14"/>
        <w:spacing w:line="600" w:lineRule="exact"/>
        <w:ind w:firstLine="640"/>
        <w:rPr>
          <w:szCs w:val="32"/>
        </w:rPr>
      </w:pPr>
    </w:p>
    <w:p>
      <w:pPr>
        <w:overflowPunct w:val="0"/>
        <w:autoSpaceDE w:val="0"/>
        <w:autoSpaceDN w:val="0"/>
        <w:spacing w:line="600" w:lineRule="exact"/>
        <w:ind w:firstLine="640" w:firstLineChars="200"/>
        <w:rPr>
          <w:rFonts w:ascii="仿宋_GB2312"/>
          <w:szCs w:val="32"/>
        </w:rPr>
      </w:pPr>
      <w:r>
        <w:rPr>
          <w:rFonts w:hint="eastAsia" w:ascii="仿宋_GB2312" w:hAnsi="仿宋_GB2312" w:cs="仿宋_GB2312"/>
          <w:szCs w:val="32"/>
        </w:rPr>
        <w:t>2022年以来，临淄生态环境分局深入贯彻落实区委、区政府和市生态环境局决策部署，紧紧围绕“生态赋能”“生态品质提升工程”，</w:t>
      </w:r>
      <w:r>
        <w:rPr>
          <w:rFonts w:hint="eastAsia" w:ascii="仿宋_GB2312"/>
          <w:szCs w:val="32"/>
        </w:rPr>
        <w:t>系统推进“空气清新、碧水提质、土废共治”一体化保护，锚定目标，奋力攻坚，全力推进生态环境质量不断改善，生态品质不断提升。</w:t>
      </w:r>
    </w:p>
    <w:p>
      <w:pPr>
        <w:overflowPunct w:val="0"/>
        <w:autoSpaceDE w:val="0"/>
        <w:autoSpaceDN w:val="0"/>
        <w:spacing w:line="600" w:lineRule="exact"/>
        <w:ind w:firstLine="640" w:firstLineChars="200"/>
        <w:rPr>
          <w:rFonts w:ascii="黑体" w:hAnsi="黑体" w:eastAsia="黑体" w:cs="黑体"/>
          <w:color w:val="000000"/>
          <w:kern w:val="0"/>
          <w:szCs w:val="32"/>
        </w:rPr>
      </w:pPr>
      <w:r>
        <w:rPr>
          <w:rFonts w:hint="eastAsia" w:ascii="黑体" w:hAnsi="黑体" w:eastAsia="黑体" w:cs="黑体"/>
          <w:color w:val="000000"/>
          <w:kern w:val="0"/>
          <w:szCs w:val="32"/>
        </w:rPr>
        <w:t>一、环境质量状况</w:t>
      </w:r>
    </w:p>
    <w:p>
      <w:pPr>
        <w:overflowPunct w:val="0"/>
        <w:autoSpaceDE w:val="0"/>
        <w:autoSpaceDN w:val="0"/>
        <w:spacing w:line="600" w:lineRule="exact"/>
        <w:ind w:firstLine="640" w:firstLineChars="200"/>
        <w:rPr>
          <w:rFonts w:ascii="仿宋_GB2312" w:hAnsi="Times New Roman" w:cs="Times New Roman"/>
          <w:color w:val="000000" w:themeColor="text1"/>
          <w:szCs w:val="32"/>
        </w:rPr>
      </w:pPr>
      <w:r>
        <w:rPr>
          <w:rFonts w:hint="eastAsia" w:ascii="仿宋_GB2312" w:hAnsi="Times New Roman" w:cs="Times New Roman"/>
          <w:szCs w:val="32"/>
        </w:rPr>
        <w:t>（一）大气环境质量状况方面：</w:t>
      </w:r>
      <w:r>
        <w:rPr>
          <w:rFonts w:hint="eastAsia" w:ascii="仿宋_GB2312" w:hAnsi="Times New Roman" w:cs="Times New Roman"/>
          <w:color w:val="000000" w:themeColor="text1"/>
          <w:szCs w:val="32"/>
        </w:rPr>
        <w:t>1-6月份</w:t>
      </w:r>
      <w:r>
        <w:rPr>
          <w:rFonts w:ascii="Times New Roman" w:hAnsi="Times New Roman" w:cs="Times New Roman"/>
          <w:color w:val="000000" w:themeColor="text1"/>
          <w:szCs w:val="32"/>
        </w:rPr>
        <w:t>，我区环境空气质量综合指数</w:t>
      </w:r>
      <w:r>
        <w:rPr>
          <w:rFonts w:hint="eastAsia" w:ascii="Times New Roman" w:hAnsi="Times New Roman" w:cs="Times New Roman"/>
          <w:color w:val="000000" w:themeColor="text1"/>
          <w:szCs w:val="32"/>
          <w:lang w:eastAsia="zh-CN"/>
        </w:rPr>
        <w:t>为</w:t>
      </w:r>
      <w:r>
        <w:rPr>
          <w:rFonts w:hint="eastAsia" w:ascii="Times New Roman" w:hAnsi="Times New Roman" w:cs="Times New Roman"/>
          <w:color w:val="000000" w:themeColor="text1"/>
          <w:szCs w:val="32"/>
        </w:rPr>
        <w:t>5.16</w:t>
      </w:r>
      <w:r>
        <w:rPr>
          <w:rFonts w:ascii="Times New Roman" w:hAnsi="Times New Roman" w:cs="Times New Roman"/>
          <w:color w:val="000000" w:themeColor="text1"/>
          <w:szCs w:val="32"/>
        </w:rPr>
        <w:t>，同比改善1</w:t>
      </w:r>
      <w:r>
        <w:rPr>
          <w:rFonts w:hint="eastAsia" w:ascii="Times New Roman" w:hAnsi="Times New Roman" w:cs="Times New Roman"/>
          <w:color w:val="000000" w:themeColor="text1"/>
          <w:szCs w:val="32"/>
        </w:rPr>
        <w:t>7.3</w:t>
      </w:r>
      <w:r>
        <w:rPr>
          <w:rFonts w:ascii="Times New Roman" w:hAnsi="Times New Roman" w:cs="Times New Roman"/>
          <w:color w:val="000000" w:themeColor="text1"/>
          <w:szCs w:val="32"/>
        </w:rPr>
        <w:t>%</w:t>
      </w:r>
      <w:r>
        <w:rPr>
          <w:rFonts w:hint="eastAsia" w:ascii="Times New Roman" w:hAnsi="Times New Roman" w:cs="Times New Roman"/>
          <w:color w:val="000000" w:themeColor="text1"/>
          <w:szCs w:val="32"/>
          <w:lang w:eastAsia="zh-CN"/>
        </w:rPr>
        <w:t>；</w:t>
      </w:r>
      <w:r>
        <w:rPr>
          <w:rFonts w:ascii="Times New Roman" w:hAnsi="Times New Roman" w:cs="Times New Roman"/>
          <w:color w:val="000000" w:themeColor="text1"/>
          <w:szCs w:val="32"/>
        </w:rPr>
        <w:t>优良天数1</w:t>
      </w:r>
      <w:r>
        <w:rPr>
          <w:rFonts w:hint="eastAsia" w:ascii="Times New Roman" w:hAnsi="Times New Roman" w:cs="Times New Roman"/>
          <w:color w:val="000000" w:themeColor="text1"/>
          <w:szCs w:val="32"/>
        </w:rPr>
        <w:t>11</w:t>
      </w:r>
      <w:r>
        <w:rPr>
          <w:rFonts w:ascii="Times New Roman" w:hAnsi="Times New Roman" w:cs="Times New Roman"/>
          <w:color w:val="000000" w:themeColor="text1"/>
          <w:szCs w:val="32"/>
        </w:rPr>
        <w:t>天，同比</w:t>
      </w:r>
      <w:r>
        <w:rPr>
          <w:rFonts w:hint="eastAsia" w:ascii="Times New Roman" w:hAnsi="Times New Roman" w:cs="Times New Roman"/>
          <w:color w:val="000000" w:themeColor="text1"/>
          <w:szCs w:val="32"/>
        </w:rPr>
        <w:t>增加5</w:t>
      </w:r>
      <w:r>
        <w:rPr>
          <w:rFonts w:ascii="Times New Roman" w:hAnsi="Times New Roman" w:cs="Times New Roman"/>
          <w:color w:val="000000" w:themeColor="text1"/>
          <w:szCs w:val="32"/>
        </w:rPr>
        <w:t>天</w:t>
      </w:r>
      <w:r>
        <w:rPr>
          <w:rFonts w:hint="eastAsia" w:ascii="Times New Roman" w:hAnsi="Times New Roman" w:cs="Times New Roman"/>
          <w:color w:val="000000" w:themeColor="text1"/>
          <w:szCs w:val="32"/>
          <w:lang w:eastAsia="zh-CN"/>
        </w:rPr>
        <w:t>；</w:t>
      </w:r>
      <w:r>
        <w:rPr>
          <w:rFonts w:ascii="Times New Roman" w:hAnsi="Times New Roman" w:cs="Times New Roman"/>
          <w:color w:val="000000" w:themeColor="text1"/>
          <w:szCs w:val="32"/>
        </w:rPr>
        <w:t>良好率</w:t>
      </w:r>
      <w:r>
        <w:rPr>
          <w:rFonts w:hint="eastAsia" w:ascii="Times New Roman" w:hAnsi="Times New Roman" w:cs="Times New Roman"/>
          <w:color w:val="000000" w:themeColor="text1"/>
          <w:szCs w:val="32"/>
        </w:rPr>
        <w:t>61.3</w:t>
      </w:r>
      <w:r>
        <w:rPr>
          <w:rFonts w:ascii="Times New Roman" w:hAnsi="Times New Roman" w:cs="Times New Roman"/>
          <w:color w:val="000000" w:themeColor="text1"/>
          <w:szCs w:val="32"/>
        </w:rPr>
        <w:t>%，同比</w:t>
      </w:r>
      <w:r>
        <w:rPr>
          <w:rFonts w:hint="eastAsia" w:ascii="Times New Roman" w:hAnsi="Times New Roman" w:cs="Times New Roman"/>
          <w:color w:val="000000" w:themeColor="text1"/>
          <w:szCs w:val="32"/>
        </w:rPr>
        <w:t>改善2.7</w:t>
      </w:r>
      <w:r>
        <w:rPr>
          <w:rFonts w:ascii="Times New Roman" w:hAnsi="Times New Roman" w:cs="Times New Roman"/>
          <w:color w:val="000000" w:themeColor="text1"/>
          <w:szCs w:val="32"/>
        </w:rPr>
        <w:t>%。六项主要污染物：SO</w:t>
      </w:r>
      <w:r>
        <w:rPr>
          <w:rFonts w:ascii="Times New Roman" w:hAnsi="Times New Roman" w:cs="Times New Roman"/>
          <w:color w:val="000000" w:themeColor="text1"/>
          <w:szCs w:val="32"/>
          <w:vertAlign w:val="subscript"/>
        </w:rPr>
        <w:t>2</w:t>
      </w:r>
      <w:r>
        <w:rPr>
          <w:rFonts w:ascii="Times New Roman" w:hAnsi="Times New Roman" w:cs="Times New Roman"/>
          <w:color w:val="000000" w:themeColor="text1"/>
          <w:szCs w:val="32"/>
        </w:rPr>
        <w:t>、NO</w:t>
      </w:r>
      <w:r>
        <w:rPr>
          <w:rFonts w:ascii="Times New Roman" w:hAnsi="Times New Roman" w:cs="Times New Roman"/>
          <w:color w:val="000000" w:themeColor="text1"/>
          <w:szCs w:val="32"/>
          <w:vertAlign w:val="subscript"/>
        </w:rPr>
        <w:t>2</w:t>
      </w:r>
      <w:r>
        <w:rPr>
          <w:rFonts w:ascii="Times New Roman" w:hAnsi="Times New Roman" w:cs="Times New Roman"/>
          <w:color w:val="000000" w:themeColor="text1"/>
          <w:szCs w:val="32"/>
        </w:rPr>
        <w:t>、PM</w:t>
      </w:r>
      <w:r>
        <w:rPr>
          <w:rFonts w:ascii="Times New Roman" w:hAnsi="Times New Roman" w:cs="Times New Roman"/>
          <w:color w:val="000000" w:themeColor="text1"/>
          <w:szCs w:val="32"/>
          <w:vertAlign w:val="subscript"/>
        </w:rPr>
        <w:t>10</w:t>
      </w:r>
      <w:r>
        <w:rPr>
          <w:rFonts w:ascii="Times New Roman" w:hAnsi="Times New Roman" w:cs="Times New Roman"/>
          <w:color w:val="000000" w:themeColor="text1"/>
          <w:szCs w:val="32"/>
        </w:rPr>
        <w:t>、PM</w:t>
      </w:r>
      <w:r>
        <w:rPr>
          <w:rFonts w:ascii="Times New Roman" w:hAnsi="Times New Roman" w:cs="Times New Roman"/>
          <w:color w:val="000000" w:themeColor="text1"/>
          <w:szCs w:val="32"/>
          <w:vertAlign w:val="subscript"/>
        </w:rPr>
        <w:t>2.5</w:t>
      </w:r>
      <w:r>
        <w:rPr>
          <w:rFonts w:ascii="Times New Roman" w:hAnsi="Times New Roman" w:cs="Times New Roman"/>
          <w:color w:val="000000" w:themeColor="text1"/>
          <w:szCs w:val="32"/>
        </w:rPr>
        <w:t>、CO、O</w:t>
      </w:r>
      <w:r>
        <w:rPr>
          <w:rFonts w:ascii="Times New Roman" w:hAnsi="Times New Roman" w:cs="Times New Roman"/>
          <w:color w:val="000000" w:themeColor="text1"/>
          <w:szCs w:val="32"/>
          <w:vertAlign w:val="subscript"/>
        </w:rPr>
        <w:t>3</w:t>
      </w:r>
      <w:r>
        <w:rPr>
          <w:rFonts w:ascii="Times New Roman" w:hAnsi="Times New Roman" w:cs="Times New Roman"/>
          <w:color w:val="000000" w:themeColor="text1"/>
          <w:szCs w:val="32"/>
        </w:rPr>
        <w:t>分别为14µg/m</w:t>
      </w:r>
      <w:r>
        <w:rPr>
          <w:rFonts w:ascii="Times New Roman" w:hAnsi="Times New Roman" w:cs="Times New Roman"/>
          <w:color w:val="000000" w:themeColor="text1"/>
          <w:szCs w:val="32"/>
          <w:vertAlign w:val="superscript"/>
        </w:rPr>
        <w:t>3</w:t>
      </w:r>
      <w:r>
        <w:rPr>
          <w:rFonts w:ascii="Times New Roman" w:hAnsi="Times New Roman" w:cs="Times New Roman"/>
          <w:color w:val="000000" w:themeColor="text1"/>
          <w:szCs w:val="32"/>
        </w:rPr>
        <w:t>、3</w:t>
      </w:r>
      <w:r>
        <w:rPr>
          <w:rFonts w:hint="eastAsia" w:ascii="Times New Roman" w:hAnsi="Times New Roman" w:cs="Times New Roman"/>
          <w:color w:val="000000" w:themeColor="text1"/>
          <w:szCs w:val="32"/>
        </w:rPr>
        <w:t>1</w:t>
      </w:r>
      <w:r>
        <w:rPr>
          <w:rFonts w:ascii="Times New Roman" w:hAnsi="Times New Roman" w:cs="Times New Roman"/>
          <w:color w:val="000000" w:themeColor="text1"/>
          <w:szCs w:val="32"/>
        </w:rPr>
        <w:t>µg/m</w:t>
      </w:r>
      <w:r>
        <w:rPr>
          <w:rFonts w:ascii="Times New Roman" w:hAnsi="Times New Roman" w:cs="Times New Roman"/>
          <w:color w:val="000000" w:themeColor="text1"/>
          <w:szCs w:val="32"/>
          <w:vertAlign w:val="superscript"/>
        </w:rPr>
        <w:t>3</w:t>
      </w:r>
      <w:r>
        <w:rPr>
          <w:rFonts w:ascii="Times New Roman" w:hAnsi="Times New Roman" w:cs="Times New Roman"/>
          <w:color w:val="000000" w:themeColor="text1"/>
          <w:szCs w:val="32"/>
        </w:rPr>
        <w:t>、</w:t>
      </w:r>
      <w:r>
        <w:rPr>
          <w:rFonts w:hint="eastAsia" w:ascii="Times New Roman" w:hAnsi="Times New Roman" w:cs="Times New Roman"/>
          <w:color w:val="000000" w:themeColor="text1"/>
          <w:szCs w:val="32"/>
        </w:rPr>
        <w:t>84</w:t>
      </w:r>
      <w:r>
        <w:rPr>
          <w:rFonts w:ascii="Times New Roman" w:hAnsi="Times New Roman" w:cs="Times New Roman"/>
          <w:color w:val="000000" w:themeColor="text1"/>
          <w:szCs w:val="32"/>
        </w:rPr>
        <w:t>µg/m</w:t>
      </w:r>
      <w:r>
        <w:rPr>
          <w:rFonts w:ascii="Times New Roman" w:hAnsi="Times New Roman" w:cs="Times New Roman"/>
          <w:color w:val="000000" w:themeColor="text1"/>
          <w:szCs w:val="32"/>
          <w:vertAlign w:val="superscript"/>
        </w:rPr>
        <w:t>3</w:t>
      </w:r>
      <w:r>
        <w:rPr>
          <w:rFonts w:ascii="Times New Roman" w:hAnsi="Times New Roman" w:cs="Times New Roman"/>
          <w:color w:val="000000" w:themeColor="text1"/>
          <w:szCs w:val="32"/>
        </w:rPr>
        <w:t>、</w:t>
      </w:r>
      <w:r>
        <w:rPr>
          <w:rFonts w:hint="eastAsia" w:ascii="Times New Roman" w:hAnsi="Times New Roman" w:cs="Times New Roman"/>
          <w:color w:val="000000" w:themeColor="text1"/>
          <w:szCs w:val="32"/>
        </w:rPr>
        <w:t>46</w:t>
      </w:r>
      <w:r>
        <w:rPr>
          <w:rFonts w:ascii="Times New Roman" w:hAnsi="Times New Roman" w:cs="Times New Roman"/>
          <w:color w:val="000000" w:themeColor="text1"/>
          <w:szCs w:val="32"/>
        </w:rPr>
        <w:t>µg/m</w:t>
      </w:r>
      <w:r>
        <w:rPr>
          <w:rFonts w:ascii="Times New Roman" w:hAnsi="Times New Roman" w:cs="Times New Roman"/>
          <w:color w:val="000000" w:themeColor="text1"/>
          <w:szCs w:val="32"/>
          <w:vertAlign w:val="superscript"/>
        </w:rPr>
        <w:t>3</w:t>
      </w:r>
      <w:r>
        <w:rPr>
          <w:rFonts w:ascii="Times New Roman" w:hAnsi="Times New Roman" w:cs="Times New Roman"/>
          <w:color w:val="000000" w:themeColor="text1"/>
          <w:szCs w:val="32"/>
        </w:rPr>
        <w:t>、1.</w:t>
      </w:r>
      <w:r>
        <w:rPr>
          <w:rFonts w:hint="eastAsia" w:ascii="Times New Roman" w:hAnsi="Times New Roman" w:cs="Times New Roman"/>
          <w:color w:val="000000" w:themeColor="text1"/>
          <w:szCs w:val="32"/>
        </w:rPr>
        <w:t>8</w:t>
      </w:r>
      <w:r>
        <w:rPr>
          <w:rFonts w:ascii="Times New Roman" w:hAnsi="Times New Roman" w:cs="Times New Roman"/>
          <w:color w:val="000000" w:themeColor="text1"/>
          <w:szCs w:val="32"/>
        </w:rPr>
        <w:t>mg/m3、</w:t>
      </w:r>
      <w:r>
        <w:rPr>
          <w:rFonts w:hint="eastAsia" w:ascii="Times New Roman" w:hAnsi="Times New Roman" w:cs="Times New Roman"/>
          <w:color w:val="000000" w:themeColor="text1"/>
          <w:szCs w:val="32"/>
        </w:rPr>
        <w:t>190</w:t>
      </w:r>
      <w:r>
        <w:rPr>
          <w:rFonts w:ascii="Times New Roman" w:hAnsi="Times New Roman" w:cs="Times New Roman"/>
          <w:color w:val="000000" w:themeColor="text1"/>
          <w:szCs w:val="32"/>
        </w:rPr>
        <w:t>µg/m3，同比改善</w:t>
      </w:r>
      <w:r>
        <w:rPr>
          <w:rFonts w:hint="eastAsia" w:ascii="Times New Roman" w:hAnsi="Times New Roman" w:cs="Times New Roman"/>
          <w:color w:val="000000" w:themeColor="text1"/>
          <w:szCs w:val="32"/>
        </w:rPr>
        <w:t>22.2</w:t>
      </w:r>
      <w:r>
        <w:rPr>
          <w:rFonts w:ascii="Times New Roman" w:hAnsi="Times New Roman" w:cs="Times New Roman"/>
          <w:color w:val="000000" w:themeColor="text1"/>
          <w:szCs w:val="32"/>
        </w:rPr>
        <w:t>%、</w:t>
      </w:r>
      <w:r>
        <w:rPr>
          <w:rFonts w:hint="eastAsia" w:ascii="Times New Roman" w:hAnsi="Times New Roman" w:cs="Times New Roman"/>
          <w:color w:val="000000" w:themeColor="text1"/>
          <w:szCs w:val="32"/>
        </w:rPr>
        <w:t>16.2</w:t>
      </w:r>
      <w:r>
        <w:rPr>
          <w:rFonts w:ascii="Times New Roman" w:hAnsi="Times New Roman" w:cs="Times New Roman"/>
          <w:color w:val="000000" w:themeColor="text1"/>
          <w:szCs w:val="32"/>
        </w:rPr>
        <w:t>%、</w:t>
      </w:r>
      <w:r>
        <w:rPr>
          <w:rFonts w:hint="eastAsia" w:ascii="Times New Roman" w:hAnsi="Times New Roman" w:cs="Times New Roman"/>
          <w:color w:val="000000" w:themeColor="text1"/>
          <w:szCs w:val="32"/>
        </w:rPr>
        <w:t>32.3</w:t>
      </w:r>
      <w:r>
        <w:rPr>
          <w:rFonts w:ascii="Times New Roman" w:hAnsi="Times New Roman" w:cs="Times New Roman"/>
          <w:color w:val="000000" w:themeColor="text1"/>
          <w:szCs w:val="32"/>
        </w:rPr>
        <w:t>%、</w:t>
      </w:r>
      <w:r>
        <w:rPr>
          <w:rFonts w:hint="eastAsia" w:ascii="Times New Roman" w:hAnsi="Times New Roman" w:cs="Times New Roman"/>
          <w:color w:val="000000" w:themeColor="text1"/>
          <w:szCs w:val="32"/>
        </w:rPr>
        <w:t>14.8</w:t>
      </w:r>
      <w:r>
        <w:rPr>
          <w:rFonts w:ascii="Times New Roman" w:hAnsi="Times New Roman" w:cs="Times New Roman"/>
          <w:color w:val="000000" w:themeColor="text1"/>
          <w:szCs w:val="32"/>
        </w:rPr>
        <w:t>%、</w:t>
      </w:r>
      <w:r>
        <w:rPr>
          <w:rFonts w:hint="eastAsia" w:ascii="Times New Roman" w:hAnsi="Times New Roman" w:cs="Times New Roman"/>
          <w:color w:val="000000" w:themeColor="text1"/>
          <w:szCs w:val="32"/>
        </w:rPr>
        <w:t>25</w:t>
      </w:r>
      <w:r>
        <w:rPr>
          <w:rFonts w:ascii="Times New Roman" w:hAnsi="Times New Roman" w:cs="Times New Roman"/>
          <w:color w:val="000000" w:themeColor="text1"/>
          <w:szCs w:val="32"/>
        </w:rPr>
        <w:t>%、-</w:t>
      </w:r>
      <w:r>
        <w:rPr>
          <w:rFonts w:hint="eastAsia" w:ascii="Times New Roman" w:hAnsi="Times New Roman" w:cs="Times New Roman"/>
          <w:color w:val="000000" w:themeColor="text1"/>
          <w:szCs w:val="32"/>
        </w:rPr>
        <w:t>8.0</w:t>
      </w:r>
      <w:r>
        <w:rPr>
          <w:rFonts w:ascii="Times New Roman" w:hAnsi="Times New Roman" w:cs="Times New Roman"/>
          <w:color w:val="000000" w:themeColor="text1"/>
          <w:szCs w:val="32"/>
        </w:rPr>
        <w:t>%</w:t>
      </w:r>
      <w:r>
        <w:rPr>
          <w:rFonts w:hint="eastAsia" w:ascii="Times New Roman" w:hAnsi="Times New Roman" w:cs="Times New Roman"/>
          <w:color w:val="000000" w:themeColor="text1"/>
          <w:szCs w:val="32"/>
        </w:rPr>
        <w:t>，</w:t>
      </w:r>
      <w:r>
        <w:rPr>
          <w:rFonts w:hint="eastAsia" w:ascii="仿宋_GB2312" w:hAnsi="Times New Roman" w:cs="Times New Roman"/>
          <w:color w:val="000000" w:themeColor="text1"/>
          <w:szCs w:val="32"/>
        </w:rPr>
        <w:t>改善率全市第一。</w:t>
      </w:r>
    </w:p>
    <w:p>
      <w:pPr>
        <w:overflowPunct w:val="0"/>
        <w:autoSpaceDE w:val="0"/>
        <w:autoSpaceDN w:val="0"/>
        <w:spacing w:line="600" w:lineRule="exact"/>
        <w:ind w:firstLine="640" w:firstLineChars="200"/>
        <w:rPr>
          <w:rFonts w:ascii="仿宋_GB2312" w:hAnsi="Times New Roman" w:cs="Times New Roman"/>
          <w:szCs w:val="32"/>
        </w:rPr>
      </w:pPr>
      <w:r>
        <w:rPr>
          <w:rFonts w:hint="eastAsia" w:ascii="仿宋_GB2312" w:hAnsi="Times New Roman" w:cs="Times New Roman"/>
          <w:szCs w:val="32"/>
        </w:rPr>
        <w:t>（二）水环境质量状况方面：1-6月份，我区乌河东沙河断面COD</w:t>
      </w:r>
      <w:r>
        <w:rPr>
          <w:rFonts w:hint="eastAsia" w:ascii="仿宋_GB2312" w:hAnsi="Times New Roman" w:cs="Times New Roman"/>
          <w:szCs w:val="32"/>
          <w:lang w:eastAsia="zh-CN"/>
        </w:rPr>
        <w:t>为</w:t>
      </w:r>
      <w:r>
        <w:rPr>
          <w:rFonts w:hint="eastAsia" w:ascii="仿宋_GB2312" w:hAnsi="Times New Roman" w:cs="Times New Roman"/>
          <w:szCs w:val="32"/>
        </w:rPr>
        <w:t>20.3 mg/L、氨氮</w:t>
      </w:r>
      <w:r>
        <w:rPr>
          <w:rFonts w:hint="eastAsia" w:ascii="仿宋_GB2312" w:hAnsi="Times New Roman" w:cs="Times New Roman"/>
          <w:szCs w:val="32"/>
          <w:lang w:eastAsia="zh-CN"/>
        </w:rPr>
        <w:t>为</w:t>
      </w:r>
      <w:r>
        <w:rPr>
          <w:rFonts w:hint="eastAsia" w:ascii="仿宋_GB2312" w:hAnsi="Times New Roman" w:cs="Times New Roman"/>
          <w:szCs w:val="32"/>
        </w:rPr>
        <w:t>0.67mg/L，同比分别改善33%、74.4%</w:t>
      </w:r>
      <w:r>
        <w:rPr>
          <w:rFonts w:hint="eastAsia" w:ascii="仿宋_GB2312" w:hAnsi="Times New Roman" w:cs="Times New Roman"/>
          <w:szCs w:val="32"/>
          <w:lang w:eastAsia="zh-CN"/>
        </w:rPr>
        <w:t>。</w:t>
      </w:r>
      <w:r>
        <w:rPr>
          <w:rFonts w:hint="eastAsia" w:ascii="仿宋_GB2312" w:hAnsi="Times New Roman" w:cs="Times New Roman"/>
          <w:szCs w:val="32"/>
        </w:rPr>
        <w:t>在149个县市区中排名145位，比去年同期提高4个位次。</w:t>
      </w:r>
    </w:p>
    <w:p>
      <w:pPr>
        <w:overflowPunct w:val="0"/>
        <w:autoSpaceDE w:val="0"/>
        <w:autoSpaceDN w:val="0"/>
        <w:spacing w:line="600" w:lineRule="exact"/>
        <w:ind w:firstLine="640" w:firstLineChars="200"/>
        <w:rPr>
          <w:rFonts w:ascii="黑体" w:hAnsi="黑体" w:eastAsia="黑体" w:cs="黑体"/>
          <w:kern w:val="0"/>
          <w:szCs w:val="32"/>
        </w:rPr>
      </w:pPr>
      <w:r>
        <w:rPr>
          <w:rFonts w:hint="eastAsia" w:ascii="黑体" w:hAnsi="黑体" w:eastAsia="黑体" w:cs="黑体"/>
          <w:kern w:val="0"/>
          <w:szCs w:val="32"/>
        </w:rPr>
        <w:t>二、重点工作开展情况</w:t>
      </w:r>
    </w:p>
    <w:p>
      <w:pPr>
        <w:spacing w:line="600" w:lineRule="exact"/>
        <w:ind w:firstLine="640" w:firstLineChars="200"/>
        <w:rPr>
          <w:rFonts w:ascii="楷体_GB2312" w:hAnsi="黑体" w:eastAsia="楷体_GB2312" w:cs="黑体"/>
          <w:szCs w:val="32"/>
        </w:rPr>
      </w:pPr>
      <w:r>
        <w:rPr>
          <w:rFonts w:hint="eastAsia" w:ascii="楷体_GB2312" w:hAnsi="黑体" w:eastAsia="楷体_GB2312"/>
          <w:szCs w:val="32"/>
        </w:rPr>
        <w:t>（一）精准发力，全面提升</w:t>
      </w:r>
      <w:r>
        <w:rPr>
          <w:rFonts w:hint="eastAsia" w:ascii="楷体_GB2312" w:hAnsi="黑体" w:eastAsia="楷体_GB2312" w:cs="黑体"/>
          <w:szCs w:val="32"/>
        </w:rPr>
        <w:t>大气环境质量</w:t>
      </w:r>
    </w:p>
    <w:p>
      <w:pPr>
        <w:spacing w:line="600" w:lineRule="exact"/>
        <w:ind w:firstLine="640" w:firstLineChars="200"/>
        <w:rPr>
          <w:rFonts w:ascii="Times New Roman" w:hAnsi="Times New Roman"/>
          <w:color w:val="000000" w:themeColor="text1"/>
          <w:szCs w:val="32"/>
        </w:rPr>
      </w:pPr>
      <w:r>
        <w:rPr>
          <w:rFonts w:hint="eastAsia" w:ascii="楷体_GB2312" w:hAnsi="楷体_GB2312" w:eastAsia="楷体_GB2312" w:cs="楷体_GB2312"/>
          <w:b w:val="0"/>
          <w:bCs/>
          <w:szCs w:val="32"/>
          <w:lang w:val="en-US" w:eastAsia="zh-CN"/>
        </w:rPr>
        <w:t>一是</w:t>
      </w:r>
      <w:r>
        <w:rPr>
          <w:rFonts w:hint="eastAsia" w:ascii="楷体_GB2312" w:hAnsi="楷体_GB2312" w:eastAsia="楷体_GB2312" w:cs="楷体_GB2312"/>
          <w:b w:val="0"/>
          <w:bCs/>
          <w:szCs w:val="32"/>
        </w:rPr>
        <w:t>“四个持续”抓</w:t>
      </w:r>
      <w:r>
        <w:rPr>
          <w:rFonts w:hint="eastAsia" w:ascii="楷体_GB2312" w:hAnsi="楷体_GB2312" w:eastAsia="楷体_GB2312" w:cs="楷体_GB2312"/>
          <w:b w:val="0"/>
          <w:bCs/>
          <w:szCs w:val="32"/>
          <w:lang w:val="en-US" w:eastAsia="zh-CN"/>
        </w:rPr>
        <w:t>精准管控</w:t>
      </w:r>
      <w:r>
        <w:rPr>
          <w:rFonts w:hint="eastAsia" w:ascii="仿宋_GB2312" w:hAnsi="仿宋_GB2312" w:eastAsia="仿宋_GB2312" w:cs="仿宋_GB2312"/>
          <w:b w:val="0"/>
          <w:bCs/>
          <w:szCs w:val="32"/>
        </w:rPr>
        <w:t>。</w:t>
      </w:r>
      <w:r>
        <w:rPr>
          <w:rFonts w:hint="eastAsia" w:ascii="仿宋_GB2312" w:hAnsi="Times New Roman" w:cs="Times New Roman"/>
          <w:b/>
          <w:color w:val="313131"/>
          <w:szCs w:val="32"/>
        </w:rPr>
        <w:t>持续加强CO管控</w:t>
      </w:r>
      <w:r>
        <w:rPr>
          <w:rFonts w:hint="eastAsia" w:ascii="仿宋_GB2312" w:hAnsi="Times New Roman" w:cs="Times New Roman"/>
          <w:b/>
          <w:szCs w:val="32"/>
        </w:rPr>
        <w:t>。</w:t>
      </w:r>
      <w:r>
        <w:rPr>
          <w:rFonts w:hint="eastAsia" w:ascii="仿宋_GB2312" w:hAnsi="Times New Roman" w:cs="Times New Roman"/>
          <w:color w:val="313131"/>
          <w:szCs w:val="32"/>
        </w:rPr>
        <w:t>制定了《工业企业一氧化碳综合整治方案》、《CO夜间监测方案》，</w:t>
      </w:r>
      <w:r>
        <w:rPr>
          <w:rFonts w:hint="eastAsia" w:ascii="仿宋_GB2312" w:hAnsi="Times New Roman" w:cs="Times New Roman"/>
          <w:color w:val="313131"/>
          <w:szCs w:val="32"/>
          <w:lang w:val="en-US" w:eastAsia="zh-CN"/>
        </w:rPr>
        <w:t>成立了5个工作组，由班子成员带队，加班加点</w:t>
      </w:r>
      <w:r>
        <w:rPr>
          <w:rFonts w:hint="eastAsia" w:ascii="仿宋_GB2312" w:hAnsi="Times New Roman" w:cs="Times New Roman"/>
          <w:szCs w:val="32"/>
        </w:rPr>
        <w:t>对</w:t>
      </w:r>
      <w:r>
        <w:rPr>
          <w:rFonts w:hint="eastAsia" w:ascii="仿宋_GB2312" w:hAnsi="Times New Roman" w:cs="Times New Roman"/>
          <w:color w:val="313131"/>
          <w:szCs w:val="32"/>
        </w:rPr>
        <w:t>22</w:t>
      </w:r>
      <w:r>
        <w:rPr>
          <w:rFonts w:hint="eastAsia" w:ascii="仿宋_GB2312" w:hAnsi="Times New Roman" w:cs="Times New Roman"/>
          <w:color w:val="313131"/>
          <w:szCs w:val="32"/>
          <w:lang w:val="en-US" w:eastAsia="zh-CN"/>
        </w:rPr>
        <w:t>个涉</w:t>
      </w:r>
      <w:r>
        <w:rPr>
          <w:rFonts w:hint="eastAsia" w:ascii="仿宋_GB2312" w:hAnsi="Times New Roman" w:cs="Times New Roman"/>
          <w:color w:val="313131"/>
          <w:szCs w:val="32"/>
        </w:rPr>
        <w:t>CO重点企业</w:t>
      </w:r>
      <w:r>
        <w:rPr>
          <w:rFonts w:hint="eastAsia" w:ascii="仿宋_GB2312" w:hAnsi="Times New Roman" w:cs="Times New Roman"/>
          <w:color w:val="313131"/>
          <w:szCs w:val="32"/>
          <w:lang w:val="en-US" w:eastAsia="zh-CN"/>
        </w:rPr>
        <w:t>及高值区域</w:t>
      </w:r>
      <w:r>
        <w:rPr>
          <w:rFonts w:hint="eastAsia" w:ascii="仿宋_GB2312" w:hAnsi="Times New Roman" w:cs="Times New Roman"/>
          <w:color w:val="313131"/>
          <w:szCs w:val="32"/>
        </w:rPr>
        <w:t>开展</w:t>
      </w:r>
      <w:r>
        <w:rPr>
          <w:rFonts w:hint="eastAsia" w:ascii="仿宋_GB2312" w:hAnsi="Times New Roman" w:cs="Times New Roman"/>
          <w:color w:val="313131"/>
          <w:szCs w:val="32"/>
          <w:lang w:val="en-US" w:eastAsia="zh-CN"/>
        </w:rPr>
        <w:t>协商减排和检查检测，实</w:t>
      </w:r>
      <w:r>
        <w:rPr>
          <w:rFonts w:hint="eastAsia" w:ascii="仿宋_GB2312" w:hAnsi="Times New Roman" w:cs="Times New Roman"/>
          <w:b w:val="0"/>
          <w:bCs w:val="0"/>
          <w:color w:val="313131"/>
          <w:szCs w:val="32"/>
          <w:lang w:val="en-US" w:eastAsia="zh-CN"/>
        </w:rPr>
        <w:t>施了6</w:t>
      </w:r>
      <w:r>
        <w:rPr>
          <w:rFonts w:hint="eastAsia" w:ascii="仿宋_GB2312" w:hAnsi="Times New Roman" w:cs="Times New Roman"/>
          <w:b w:val="0"/>
          <w:bCs w:val="0"/>
          <w:szCs w:val="32"/>
        </w:rPr>
        <w:t>台</w:t>
      </w:r>
      <w:r>
        <w:rPr>
          <w:rFonts w:hint="eastAsia" w:ascii="仿宋_GB2312" w:hAnsi="Times New Roman" w:cs="Times New Roman"/>
          <w:b w:val="0"/>
          <w:bCs w:val="0"/>
          <w:szCs w:val="32"/>
          <w:lang w:val="en-US" w:eastAsia="zh-CN"/>
        </w:rPr>
        <w:t>35</w:t>
      </w:r>
      <w:r>
        <w:rPr>
          <w:rFonts w:hint="eastAsia" w:ascii="仿宋_GB2312" w:hAnsi="Times New Roman" w:cs="Times New Roman"/>
          <w:b w:val="0"/>
          <w:bCs w:val="0"/>
          <w:szCs w:val="32"/>
        </w:rPr>
        <w:t>蒸吨以下锅炉</w:t>
      </w:r>
      <w:r>
        <w:rPr>
          <w:rFonts w:hint="eastAsia" w:ascii="仿宋_GB2312" w:hAnsi="Times New Roman" w:cs="Times New Roman"/>
          <w:b w:val="0"/>
          <w:bCs w:val="0"/>
          <w:szCs w:val="32"/>
          <w:lang w:val="en-US" w:eastAsia="zh-CN"/>
        </w:rPr>
        <w:t>关停</w:t>
      </w:r>
      <w:r>
        <w:rPr>
          <w:rFonts w:hint="eastAsia" w:ascii="仿宋_GB2312" w:hAnsi="Times New Roman" w:cs="Times New Roman"/>
          <w:b w:val="0"/>
          <w:bCs w:val="0"/>
          <w:szCs w:val="32"/>
        </w:rPr>
        <w:t>淘汰</w:t>
      </w:r>
      <w:r>
        <w:rPr>
          <w:rFonts w:hint="eastAsia" w:ascii="仿宋" w:hAnsi="仿宋" w:eastAsia="仿宋" w:cs="仿宋"/>
          <w:szCs w:val="32"/>
          <w:lang w:val="en-US" w:eastAsia="zh-CN"/>
        </w:rPr>
        <w:t>。</w:t>
      </w:r>
      <w:r>
        <w:rPr>
          <w:rFonts w:hint="eastAsia" w:ascii="仿宋_GB2312" w:hAnsi="仿宋_GB2312" w:eastAsia="仿宋_GB2312" w:cs="仿宋_GB2312"/>
          <w:b/>
          <w:bCs/>
          <w:color w:val="313131"/>
          <w:szCs w:val="32"/>
        </w:rPr>
        <w:t>持</w:t>
      </w:r>
      <w:r>
        <w:rPr>
          <w:rFonts w:hint="eastAsia" w:ascii="仿宋_GB2312" w:hAnsi="Times New Roman" w:cs="Times New Roman"/>
          <w:b/>
          <w:color w:val="313131"/>
          <w:szCs w:val="32"/>
        </w:rPr>
        <w:t>续抓好挥发性有机物治理。</w:t>
      </w:r>
      <w:r>
        <w:rPr>
          <w:rFonts w:hint="eastAsia" w:ascii="仿宋_GB2312" w:hAnsi="Times New Roman" w:cs="Times New Roman"/>
          <w:szCs w:val="32"/>
        </w:rPr>
        <w:t>制定了《2022年挥发性有机物点源治理专项行动方案》、《临淄区2022年臭氧应急管控方案》、《重点行业帮扶工作方案》等13项工作方案，完成了48家涉VOCs企业的十二项源排查，发现问题592个，整改398个</w:t>
      </w:r>
      <w:r>
        <w:rPr>
          <w:rFonts w:hint="eastAsia" w:ascii="仿宋_GB2312" w:hAnsi="Times New Roman" w:cs="Times New Roman"/>
          <w:szCs w:val="32"/>
          <w:highlight w:val="none"/>
        </w:rPr>
        <w:t>强化臭氧污染管控，开展了2轮次臭氧管控全员检查培训，实施“一线工作法”“全员上阵”，出动检查人员526人次，检查企业258家，发现问题596个，整改问题472个。</w:t>
      </w:r>
      <w:r>
        <w:rPr>
          <w:rFonts w:hint="eastAsia" w:ascii="仿宋_GB2312" w:hAnsi="Times New Roman" w:cs="Times New Roman"/>
          <w:b/>
          <w:color w:val="313131"/>
          <w:szCs w:val="32"/>
        </w:rPr>
        <w:t>持续加强PM</w:t>
      </w:r>
      <w:r>
        <w:rPr>
          <w:rFonts w:hint="eastAsia" w:ascii="仿宋_GB2312" w:hAnsi="Times New Roman" w:cs="Times New Roman"/>
          <w:b/>
          <w:color w:val="313131"/>
          <w:szCs w:val="32"/>
          <w:vertAlign w:val="subscript"/>
        </w:rPr>
        <w:t>10</w:t>
      </w:r>
      <w:r>
        <w:rPr>
          <w:rFonts w:hint="eastAsia" w:ascii="仿宋_GB2312" w:hAnsi="Times New Roman" w:cs="Times New Roman"/>
          <w:b/>
          <w:color w:val="313131"/>
          <w:szCs w:val="32"/>
        </w:rPr>
        <w:t>管控。</w:t>
      </w:r>
      <w:r>
        <w:rPr>
          <w:rFonts w:hint="eastAsia" w:ascii="仿宋_GB2312" w:hAnsi="Times New Roman" w:cs="Times New Roman"/>
          <w:b w:val="0"/>
          <w:bCs/>
          <w:color w:val="313131"/>
          <w:szCs w:val="32"/>
          <w:lang w:val="en-US" w:eastAsia="zh-CN"/>
        </w:rPr>
        <w:t>开展多轮次摸排，对摸排出的</w:t>
      </w:r>
      <w:r>
        <w:rPr>
          <w:rFonts w:hint="eastAsia" w:ascii="仿宋_GB2312" w:hAnsi="Times New Roman" w:cs="Times New Roman"/>
          <w:color w:val="313131"/>
          <w:szCs w:val="32"/>
        </w:rPr>
        <w:t>36个建筑工地、4个拆迁工地、4处道路维修工程、2家商砼企业、2处渣土堆</w:t>
      </w:r>
      <w:r>
        <w:rPr>
          <w:rFonts w:hint="eastAsia" w:ascii="仿宋_GB2312" w:hAnsi="Times New Roman" w:cs="Times New Roman"/>
          <w:color w:val="313131"/>
          <w:szCs w:val="32"/>
          <w:lang w:val="en-US" w:eastAsia="zh-CN"/>
        </w:rPr>
        <w:t>的</w:t>
      </w:r>
      <w:r>
        <w:rPr>
          <w:rFonts w:hint="eastAsia" w:ascii="仿宋_GB2312" w:hAnsi="Times New Roman" w:cs="Times New Roman"/>
          <w:color w:val="313131"/>
          <w:szCs w:val="32"/>
        </w:rPr>
        <w:t>实施联动管控</w:t>
      </w:r>
      <w:r>
        <w:rPr>
          <w:rFonts w:hint="eastAsia" w:ascii="仿宋_GB2312" w:hAnsi="Times New Roman" w:cs="Times New Roman"/>
          <w:color w:val="313131"/>
          <w:szCs w:val="32"/>
          <w:lang w:eastAsia="zh-CN"/>
        </w:rPr>
        <w:t>；</w:t>
      </w:r>
      <w:r>
        <w:rPr>
          <w:rFonts w:hint="eastAsia" w:ascii="仿宋_GB2312" w:hAnsi="Times New Roman" w:cs="Times New Roman"/>
          <w:color w:val="313131"/>
          <w:szCs w:val="32"/>
          <w:lang w:val="en-US" w:eastAsia="zh-CN"/>
        </w:rPr>
        <w:t>完成了145家涉尘企业现场检查，发现问题79个，全部完成整改，在全市工业企业扬尘月考核中一月份和五月份均列全市第一。</w:t>
      </w:r>
      <w:r>
        <w:rPr>
          <w:rFonts w:hint="eastAsia" w:ascii="仿宋_GB2312" w:hAnsi="Times New Roman" w:cs="Times New Roman"/>
          <w:b/>
          <w:color w:val="313131"/>
          <w:szCs w:val="32"/>
        </w:rPr>
        <w:t>持续加强移动源污染治理。</w:t>
      </w:r>
      <w:r>
        <w:rPr>
          <w:rFonts w:hint="eastAsia" w:ascii="仿宋_GB2312" w:hAnsi="Times New Roman" w:cs="Times New Roman"/>
          <w:szCs w:val="32"/>
        </w:rPr>
        <w:t>联合交警、交通等部门对机动车尾气排放状况进行监督抽测，抽测机动车764辆，查处114辆</w:t>
      </w:r>
      <w:r>
        <w:rPr>
          <w:rFonts w:hint="eastAsia" w:ascii="仿宋_GB2312" w:hAnsi="Times New Roman" w:cs="Times New Roman"/>
          <w:szCs w:val="32"/>
          <w:lang w:eastAsia="zh-CN"/>
        </w:rPr>
        <w:t>，</w:t>
      </w:r>
      <w:r>
        <w:rPr>
          <w:rFonts w:hint="eastAsia" w:ascii="仿宋_GB2312" w:hAnsi="Times New Roman" w:cs="Times New Roman"/>
          <w:szCs w:val="32"/>
        </w:rPr>
        <w:t>抽测非道路移动机械873台，备案599台，喷涂环保号码296台。</w:t>
      </w:r>
      <w:r>
        <w:rPr>
          <w:rFonts w:hint="eastAsia" w:ascii="仿宋_GB2312" w:hAnsi="Times New Roman" w:cs="Times New Roman"/>
          <w:szCs w:val="32"/>
          <w:lang w:val="en-US" w:eastAsia="zh-CN"/>
        </w:rPr>
        <w:t>在全市移动污染源治理提升行动中1、2、4月份全市考核第3（3月份因疫情未考核），5月份全市第一。</w:t>
      </w:r>
      <w:r>
        <w:rPr>
          <w:rFonts w:hint="eastAsia" w:ascii="Times New Roman" w:hAnsi="Times New Roman" w:cs="Times New Roman"/>
          <w:b/>
          <w:szCs w:val="32"/>
        </w:rPr>
        <w:t>二是及时复盘，总结经验。</w:t>
      </w:r>
      <w:r>
        <w:rPr>
          <w:rFonts w:hint="eastAsia" w:ascii="Times New Roman" w:hAnsi="Times New Roman"/>
          <w:color w:val="000000" w:themeColor="text1"/>
          <w:szCs w:val="32"/>
        </w:rPr>
        <w:t>重点时段环境空气质量保障工作后，及时对管控工作中的成功经验、存在问题进行总结复盘，巩固治理成果，完善应急处置措施，不断提升工作能力。</w:t>
      </w:r>
      <w:r>
        <w:rPr>
          <w:rFonts w:hint="eastAsia" w:ascii="Times New Roman" w:hAnsi="Times New Roman"/>
          <w:b/>
          <w:color w:val="000000" w:themeColor="text1"/>
          <w:szCs w:val="32"/>
        </w:rPr>
        <w:t>三是</w:t>
      </w:r>
      <w:r>
        <w:rPr>
          <w:rFonts w:hint="eastAsia" w:ascii="仿宋_GB2312" w:hAnsi="Times New Roman" w:cs="Times New Roman"/>
          <w:b/>
          <w:bCs/>
          <w:szCs w:val="32"/>
          <w:lang w:val="en-US" w:eastAsia="zh-CN"/>
        </w:rPr>
        <w:t>抓好工程建设，突出</w:t>
      </w:r>
      <w:r>
        <w:rPr>
          <w:rFonts w:hint="eastAsia" w:ascii="Times New Roman" w:hAnsi="Times New Roman"/>
          <w:b/>
          <w:color w:val="000000" w:themeColor="text1"/>
          <w:szCs w:val="32"/>
        </w:rPr>
        <w:t>精准治污、科技治污。</w:t>
      </w:r>
      <w:r>
        <w:rPr>
          <w:rFonts w:hint="eastAsia" w:ascii="仿宋_GB2312" w:hAnsi="Times New Roman" w:cs="Times New Roman"/>
          <w:szCs w:val="32"/>
        </w:rPr>
        <w:t>策划实施了总投资8.2亿元的38个重点涉气环保项目，完成13个并发挥治理效益</w:t>
      </w:r>
      <w:r>
        <w:rPr>
          <w:rFonts w:hint="eastAsia" w:ascii="仿宋_GB2312" w:hAnsi="Times New Roman" w:cs="Times New Roman"/>
          <w:szCs w:val="32"/>
          <w:lang w:eastAsia="zh-CN"/>
        </w:rPr>
        <w:t>；</w:t>
      </w:r>
      <w:r>
        <w:rPr>
          <w:rFonts w:hint="eastAsia" w:ascii="仿宋_GB2312" w:hAnsi="仿宋" w:cs="楷体_GB2312"/>
          <w:color w:val="313131"/>
          <w:szCs w:val="32"/>
        </w:rPr>
        <w:t>完成了166家涉气企业的216个点位的在线安装工作，</w:t>
      </w:r>
      <w:r>
        <w:rPr>
          <w:rFonts w:hint="eastAsia" w:ascii="仿宋_GB2312" w:hAnsi="Times New Roman" w:cs="Times New Roman"/>
          <w:szCs w:val="32"/>
        </w:rPr>
        <w:t>实现重点企业在线监测基本全覆盖</w:t>
      </w:r>
      <w:r>
        <w:rPr>
          <w:rFonts w:hint="eastAsia" w:ascii="仿宋_GB2312" w:hAnsi="Times New Roman" w:cs="Times New Roman"/>
          <w:szCs w:val="32"/>
          <w:lang w:eastAsia="zh-CN"/>
        </w:rPr>
        <w:t>；</w:t>
      </w:r>
      <w:r>
        <w:rPr>
          <w:rFonts w:hint="eastAsia" w:ascii="Times New Roman" w:hAnsi="Times New Roman"/>
          <w:color w:val="000000" w:themeColor="text1"/>
          <w:szCs w:val="32"/>
        </w:rPr>
        <w:t>建立了环境质量分析会议及高值闭环处置机制，采取限产减排、协商减排，确保环境质量管控工作高效运行。</w:t>
      </w:r>
    </w:p>
    <w:p>
      <w:pPr>
        <w:numPr>
          <w:ilvl w:val="0"/>
          <w:numId w:val="1"/>
        </w:numPr>
        <w:spacing w:line="600" w:lineRule="exact"/>
        <w:ind w:firstLine="640" w:firstLineChars="200"/>
        <w:rPr>
          <w:rFonts w:hint="eastAsia" w:ascii="楷体_GB2312" w:hAnsi="Times New Roman" w:eastAsia="楷体_GB2312"/>
          <w:bCs/>
          <w:szCs w:val="32"/>
        </w:rPr>
      </w:pPr>
      <w:r>
        <w:rPr>
          <w:rFonts w:hint="eastAsia" w:ascii="楷体_GB2312" w:hAnsi="Times New Roman" w:eastAsia="楷体_GB2312"/>
          <w:bCs/>
          <w:szCs w:val="32"/>
        </w:rPr>
        <w:t>多措并举，全力改善水环境质量</w:t>
      </w:r>
    </w:p>
    <w:p>
      <w:pPr>
        <w:spacing w:line="600" w:lineRule="exact"/>
        <w:ind w:firstLine="640" w:firstLineChars="200"/>
        <w:rPr>
          <w:rFonts w:ascii="Times New Roman" w:hAnsi="Times New Roman" w:cs="Times New Roman"/>
          <w:color w:val="000000" w:themeColor="text1"/>
          <w:szCs w:val="32"/>
        </w:rPr>
      </w:pPr>
      <w:r>
        <w:rPr>
          <w:rFonts w:hint="eastAsia" w:ascii="楷体_GB2312" w:hAnsi="Times New Roman" w:eastAsia="楷体_GB2312"/>
          <w:bCs/>
          <w:szCs w:val="32"/>
          <w:lang w:val="en-US" w:eastAsia="zh-CN"/>
        </w:rPr>
        <w:t xml:space="preserve"> </w:t>
      </w:r>
      <w:r>
        <w:rPr>
          <w:rFonts w:hint="eastAsia" w:ascii="楷体_GB2312" w:hAnsi="楷体_GB2312" w:eastAsia="楷体_GB2312" w:cs="楷体_GB2312"/>
          <w:bCs/>
          <w:szCs w:val="32"/>
          <w:lang w:val="en-US" w:eastAsia="zh-CN"/>
        </w:rPr>
        <w:t xml:space="preserve"> </w:t>
      </w:r>
      <w:r>
        <w:rPr>
          <w:rFonts w:hint="eastAsia" w:ascii="楷体_GB2312" w:hAnsi="楷体_GB2312" w:eastAsia="楷体_GB2312" w:cs="楷体_GB2312"/>
          <w:b/>
          <w:bCs/>
          <w:color w:val="000000"/>
          <w:kern w:val="0"/>
          <w:sz w:val="32"/>
          <w:szCs w:val="32"/>
          <w:highlight w:val="none"/>
          <w:lang w:val="en-US" w:eastAsia="zh-CN"/>
        </w:rPr>
        <w:t>一是狠抓源头管控，改善水质。</w:t>
      </w:r>
      <w:r>
        <w:rPr>
          <w:rFonts w:hint="eastAsia" w:ascii="仿宋_GB2312" w:hAnsi="仿宋_GB2312" w:eastAsia="仿宋_GB2312" w:cs="仿宋_GB2312"/>
          <w:b w:val="0"/>
          <w:bCs w:val="0"/>
          <w:color w:val="000000"/>
          <w:kern w:val="0"/>
          <w:sz w:val="32"/>
          <w:szCs w:val="32"/>
          <w:highlight w:val="none"/>
          <w:lang w:val="en-US" w:eastAsia="zh-CN"/>
        </w:rPr>
        <w:t>组织</w:t>
      </w:r>
      <w:r>
        <w:rPr>
          <w:rFonts w:hint="eastAsia" w:ascii="仿宋" w:hAnsi="仿宋" w:eastAsia="仿宋" w:cs="仿宋"/>
          <w:bCs/>
          <w:color w:val="000000"/>
          <w:sz w:val="32"/>
          <w:szCs w:val="32"/>
          <w:lang w:val="en-US" w:eastAsia="zh-CN"/>
        </w:rPr>
        <w:t>120家涉水企业雨排口安装了电磁阀和视频监控，55家企业安装了液位传感器；对92家企业建立了高锰酸盐指数和氟化物数据图谱，对齐鲁公司排洪沟增设7道拦截墙，并建成了污水回提系统；对</w:t>
      </w:r>
      <w:r>
        <w:rPr>
          <w:rFonts w:hint="eastAsia" w:ascii="仿宋" w:hAnsi="仿宋" w:eastAsia="仿宋" w:cs="仿宋"/>
          <w:color w:val="000000"/>
          <w:sz w:val="32"/>
          <w:szCs w:val="32"/>
          <w:lang w:eastAsia="zh-CN"/>
        </w:rPr>
        <w:t>齐城进水管网</w:t>
      </w:r>
      <w:r>
        <w:rPr>
          <w:rFonts w:hint="eastAsia" w:ascii="仿宋" w:hAnsi="仿宋" w:eastAsia="仿宋" w:cs="仿宋"/>
          <w:color w:val="000000"/>
          <w:sz w:val="32"/>
          <w:szCs w:val="32"/>
          <w:lang w:val="en-US" w:eastAsia="zh-CN"/>
        </w:rPr>
        <w:t>及排海管线164</w:t>
      </w:r>
      <w:r>
        <w:rPr>
          <w:rFonts w:hint="eastAsia" w:ascii="仿宋" w:hAnsi="仿宋" w:eastAsia="仿宋" w:cs="仿宋"/>
          <w:color w:val="000000"/>
          <w:sz w:val="32"/>
          <w:szCs w:val="32"/>
          <w:lang w:eastAsia="zh-CN"/>
        </w:rPr>
        <w:t>个观察井</w:t>
      </w:r>
      <w:r>
        <w:rPr>
          <w:rFonts w:hint="eastAsia" w:ascii="仿宋" w:hAnsi="仿宋" w:eastAsia="仿宋" w:cs="仿宋"/>
          <w:color w:val="000000"/>
          <w:sz w:val="32"/>
          <w:szCs w:val="32"/>
          <w:lang w:val="en-US" w:eastAsia="zh-CN"/>
        </w:rPr>
        <w:t>及接入口进行</w:t>
      </w:r>
      <w:r>
        <w:rPr>
          <w:rFonts w:hint="eastAsia" w:ascii="仿宋" w:hAnsi="仿宋" w:eastAsia="仿宋" w:cs="仿宋"/>
          <w:color w:val="000000"/>
          <w:sz w:val="32"/>
          <w:szCs w:val="32"/>
          <w:lang w:eastAsia="zh-CN"/>
        </w:rPr>
        <w:t>封堵；</w:t>
      </w:r>
      <w:r>
        <w:rPr>
          <w:rFonts w:hint="eastAsia" w:ascii="仿宋" w:hAnsi="仿宋" w:eastAsia="仿宋" w:cs="仿宋"/>
          <w:color w:val="000000"/>
          <w:sz w:val="32"/>
          <w:szCs w:val="32"/>
          <w:lang w:val="en-US" w:eastAsia="zh-CN"/>
        </w:rPr>
        <w:t>完成了</w:t>
      </w:r>
      <w:r>
        <w:rPr>
          <w:rFonts w:hint="eastAsia" w:ascii="仿宋" w:hAnsi="仿宋" w:eastAsia="仿宋" w:cs="仿宋"/>
          <w:color w:val="000000"/>
          <w:sz w:val="32"/>
          <w:szCs w:val="32"/>
          <w:lang w:eastAsia="zh-CN"/>
        </w:rPr>
        <w:t>1.6公里</w:t>
      </w:r>
      <w:r>
        <w:rPr>
          <w:rFonts w:hint="eastAsia" w:ascii="仿宋" w:hAnsi="仿宋" w:eastAsia="仿宋" w:cs="仿宋"/>
          <w:color w:val="000000"/>
          <w:sz w:val="32"/>
          <w:szCs w:val="32"/>
          <w:lang w:val="en-US" w:eastAsia="zh-CN"/>
        </w:rPr>
        <w:t>和</w:t>
      </w:r>
      <w:r>
        <w:rPr>
          <w:rFonts w:hint="eastAsia" w:ascii="仿宋" w:hAnsi="仿宋" w:eastAsia="仿宋" w:cs="仿宋"/>
          <w:color w:val="000000"/>
          <w:sz w:val="32"/>
          <w:szCs w:val="32"/>
          <w:lang w:eastAsia="zh-CN"/>
        </w:rPr>
        <w:t>0.85公里排海管线</w:t>
      </w:r>
      <w:r>
        <w:rPr>
          <w:rFonts w:hint="eastAsia" w:ascii="仿宋" w:hAnsi="仿宋" w:eastAsia="仿宋" w:cs="仿宋"/>
          <w:color w:val="000000"/>
          <w:sz w:val="32"/>
          <w:szCs w:val="32"/>
          <w:lang w:val="en-US" w:eastAsia="zh-CN"/>
        </w:rPr>
        <w:t>和</w:t>
      </w:r>
      <w:r>
        <w:rPr>
          <w:rFonts w:hint="eastAsia" w:ascii="仿宋" w:hAnsi="仿宋" w:eastAsia="仿宋" w:cs="仿宋"/>
          <w:color w:val="000000"/>
          <w:sz w:val="32"/>
          <w:szCs w:val="32"/>
          <w:lang w:eastAsia="zh-CN"/>
        </w:rPr>
        <w:t>雨水管网窥探</w:t>
      </w:r>
      <w:r>
        <w:rPr>
          <w:rFonts w:hint="eastAsia" w:ascii="仿宋" w:hAnsi="仿宋" w:eastAsia="仿宋" w:cs="仿宋"/>
          <w:color w:val="000000"/>
          <w:sz w:val="32"/>
          <w:szCs w:val="32"/>
          <w:lang w:val="en-US" w:eastAsia="zh-CN"/>
        </w:rPr>
        <w:t>工作。</w:t>
      </w:r>
      <w:r>
        <w:rPr>
          <w:rFonts w:hint="eastAsia" w:ascii="仿宋_GB2312" w:hAnsi="仿宋_GB2312" w:eastAsia="仿宋_GB2312" w:cs="仿宋_GB2312"/>
          <w:color w:val="000000"/>
          <w:kern w:val="0"/>
          <w:sz w:val="32"/>
          <w:szCs w:val="32"/>
          <w:highlight w:val="none"/>
          <w:lang w:val="en-US" w:eastAsia="zh-CN" w:bidi="ar-SA"/>
        </w:rPr>
        <w:t>上半年，出动</w:t>
      </w:r>
      <w:r>
        <w:rPr>
          <w:rFonts w:hint="eastAsia" w:ascii="仿宋_GB2312" w:hAnsi="仿宋_GB2312" w:cs="仿宋_GB2312"/>
          <w:color w:val="000000"/>
          <w:kern w:val="0"/>
          <w:sz w:val="32"/>
          <w:szCs w:val="32"/>
          <w:highlight w:val="none"/>
          <w:lang w:val="en-US" w:eastAsia="zh-CN" w:bidi="ar-SA"/>
        </w:rPr>
        <w:t>检查</w:t>
      </w:r>
      <w:r>
        <w:rPr>
          <w:rFonts w:hint="eastAsia" w:ascii="仿宋_GB2312" w:hAnsi="仿宋_GB2312" w:eastAsia="仿宋_GB2312" w:cs="仿宋_GB2312"/>
          <w:color w:val="000000"/>
          <w:kern w:val="0"/>
          <w:sz w:val="32"/>
          <w:szCs w:val="32"/>
          <w:highlight w:val="none"/>
          <w:lang w:val="en-US" w:eastAsia="zh-CN" w:bidi="ar-SA"/>
        </w:rPr>
        <w:t>人员729人次，检查涉水企业312家次，下达监理单81份</w:t>
      </w:r>
      <w:r>
        <w:rPr>
          <w:rFonts w:hint="eastAsia" w:ascii="仿宋_GB2312" w:hAnsi="仿宋_GB2312" w:cs="仿宋_GB2312"/>
          <w:color w:val="000000"/>
          <w:kern w:val="0"/>
          <w:sz w:val="32"/>
          <w:szCs w:val="32"/>
          <w:highlight w:val="none"/>
          <w:lang w:val="en-US" w:eastAsia="zh-CN" w:bidi="ar-SA"/>
        </w:rPr>
        <w:t>；</w:t>
      </w:r>
      <w:r>
        <w:rPr>
          <w:rFonts w:hint="eastAsia" w:ascii="仿宋_GB2312" w:hAnsi="仿宋_GB2312" w:eastAsia="仿宋_GB2312" w:cs="仿宋_GB2312"/>
          <w:b w:val="0"/>
          <w:color w:val="000000"/>
          <w:kern w:val="2"/>
          <w:sz w:val="32"/>
          <w:szCs w:val="32"/>
          <w:lang w:val="en-US" w:eastAsia="zh-CN" w:bidi="ar-SA"/>
        </w:rPr>
        <w:t>累计取样1760个，出具监测数据6200个，委托第三方取样622个，出具监测数据2449个</w:t>
      </w:r>
      <w:r>
        <w:rPr>
          <w:rFonts w:hint="eastAsia" w:ascii="仿宋_GB2312" w:hAnsi="仿宋_GB2312" w:cs="仿宋_GB2312"/>
          <w:b w:val="0"/>
          <w:color w:val="000000"/>
          <w:kern w:val="2"/>
          <w:sz w:val="32"/>
          <w:szCs w:val="32"/>
          <w:lang w:val="en-US" w:eastAsia="zh-CN" w:bidi="ar-SA"/>
        </w:rPr>
        <w:t>；</w:t>
      </w:r>
      <w:r>
        <w:rPr>
          <w:rFonts w:hint="eastAsia" w:ascii="仿宋_GB2312" w:hAnsi="仿宋_GB2312" w:eastAsia="仿宋_GB2312" w:cs="仿宋_GB2312"/>
          <w:b w:val="0"/>
          <w:color w:val="000000"/>
          <w:kern w:val="2"/>
          <w:sz w:val="32"/>
          <w:szCs w:val="32"/>
          <w:lang w:val="en-US" w:eastAsia="zh-CN" w:bidi="ar-SA"/>
        </w:rPr>
        <w:t>召开涉水企业现场会5次、座谈会7次、约谈会1次</w:t>
      </w:r>
      <w:r>
        <w:rPr>
          <w:rFonts w:hint="eastAsia" w:ascii="仿宋_GB2312" w:hAnsi="仿宋_GB2312" w:cs="仿宋_GB2312"/>
          <w:b w:val="0"/>
          <w:color w:val="000000"/>
          <w:kern w:val="2"/>
          <w:sz w:val="32"/>
          <w:szCs w:val="32"/>
          <w:lang w:val="en-US" w:eastAsia="zh-CN" w:bidi="ar-SA"/>
        </w:rPr>
        <w:t>。</w:t>
      </w:r>
      <w:r>
        <w:rPr>
          <w:rFonts w:hint="eastAsia" w:ascii="楷体_GB2312" w:hAnsi="楷体_GB2312" w:eastAsia="楷体_GB2312" w:cs="楷体_GB2312"/>
          <w:b/>
          <w:bCs/>
          <w:color w:val="000000"/>
          <w:kern w:val="0"/>
          <w:sz w:val="32"/>
          <w:szCs w:val="32"/>
          <w:highlight w:val="none"/>
          <w:lang w:val="en-US" w:eastAsia="zh-CN" w:bidi="ar-SA"/>
        </w:rPr>
        <w:t>二是加强工程建设，实施深度治理。</w:t>
      </w:r>
      <w:r>
        <w:rPr>
          <w:rFonts w:hint="eastAsia" w:ascii="仿宋_GB2312" w:hAnsi="宋体" w:eastAsia="仿宋_GB2312" w:cs="仿宋_GB2312"/>
          <w:i w:val="0"/>
          <w:iCs w:val="0"/>
          <w:caps w:val="0"/>
          <w:color w:val="000000"/>
          <w:spacing w:val="0"/>
          <w:sz w:val="31"/>
          <w:szCs w:val="31"/>
          <w:shd w:val="clear" w:color="auto" w:fill="FFFFFF"/>
        </w:rPr>
        <w:t>投资1.3亿元开工建设光大（淄博张店)污水处理有限公司提标扩建等7个污水</w:t>
      </w:r>
      <w:r>
        <w:rPr>
          <w:rFonts w:hint="eastAsia" w:ascii="仿宋_GB2312" w:hAnsi="宋体" w:eastAsia="仿宋_GB2312" w:cs="仿宋_GB2312"/>
          <w:i w:val="0"/>
          <w:iCs w:val="0"/>
          <w:caps w:val="0"/>
          <w:color w:val="000000"/>
          <w:spacing w:val="0"/>
          <w:sz w:val="31"/>
          <w:szCs w:val="31"/>
          <w:shd w:val="clear" w:color="auto" w:fill="FFFFFF"/>
          <w:lang w:eastAsia="zh-CN"/>
        </w:rPr>
        <w:t>提标、高盐水治理</w:t>
      </w:r>
      <w:r>
        <w:rPr>
          <w:rFonts w:hint="eastAsia" w:ascii="仿宋_GB2312" w:hAnsi="宋体" w:eastAsia="仿宋_GB2312" w:cs="仿宋_GB2312"/>
          <w:i w:val="0"/>
          <w:iCs w:val="0"/>
          <w:caps w:val="0"/>
          <w:color w:val="000000"/>
          <w:spacing w:val="0"/>
          <w:sz w:val="31"/>
          <w:szCs w:val="31"/>
          <w:shd w:val="clear" w:color="auto" w:fill="FFFFFF"/>
        </w:rPr>
        <w:t>项目</w:t>
      </w:r>
      <w:r>
        <w:rPr>
          <w:rFonts w:hint="eastAsia" w:ascii="仿宋_GB2312" w:hAnsi="宋体" w:cs="仿宋_GB2312"/>
          <w:i w:val="0"/>
          <w:iCs w:val="0"/>
          <w:caps w:val="0"/>
          <w:color w:val="000000"/>
          <w:spacing w:val="0"/>
          <w:sz w:val="31"/>
          <w:szCs w:val="31"/>
          <w:shd w:val="clear" w:color="auto" w:fill="FFFFFF"/>
          <w:lang w:val="en-US" w:eastAsia="zh-CN"/>
        </w:rPr>
        <w:t>；规划</w:t>
      </w:r>
      <w:r>
        <w:rPr>
          <w:rFonts w:hint="eastAsia" w:ascii="仿宋_GB2312" w:hAnsi="宋体" w:eastAsia="仿宋_GB2312" w:cs="仿宋_GB2312"/>
          <w:i w:val="0"/>
          <w:iCs w:val="0"/>
          <w:caps w:val="0"/>
          <w:color w:val="000000"/>
          <w:spacing w:val="0"/>
          <w:sz w:val="31"/>
          <w:szCs w:val="31"/>
          <w:shd w:val="clear" w:color="auto" w:fill="FFFFFF"/>
          <w:lang w:val="en-US" w:eastAsia="zh-CN"/>
        </w:rPr>
        <w:t>布局</w:t>
      </w:r>
      <w:r>
        <w:rPr>
          <w:rFonts w:hint="eastAsia" w:ascii="仿宋_GB2312" w:hAnsi="宋体" w:cs="仿宋_GB2312"/>
          <w:i w:val="0"/>
          <w:iCs w:val="0"/>
          <w:caps w:val="0"/>
          <w:color w:val="000000"/>
          <w:spacing w:val="0"/>
          <w:sz w:val="31"/>
          <w:szCs w:val="31"/>
          <w:shd w:val="clear" w:color="auto" w:fill="FFFFFF"/>
          <w:lang w:val="en-US" w:eastAsia="zh-CN"/>
        </w:rPr>
        <w:t>了</w:t>
      </w:r>
      <w:r>
        <w:rPr>
          <w:rFonts w:hint="eastAsia" w:ascii="仿宋_GB2312" w:hAnsi="宋体" w:eastAsia="仿宋_GB2312" w:cs="仿宋_GB2312"/>
          <w:i w:val="0"/>
          <w:iCs w:val="0"/>
          <w:caps w:val="0"/>
          <w:color w:val="000000"/>
          <w:spacing w:val="0"/>
          <w:sz w:val="31"/>
          <w:szCs w:val="31"/>
          <w:shd w:val="clear" w:color="auto" w:fill="FFFFFF"/>
          <w:lang w:val="en-US" w:eastAsia="zh-CN"/>
        </w:rPr>
        <w:t>新建或改建社会污水处理厂5处，其中投资5.8亿元的齐鲁化学工业区北部污水处理厂已立项正在推进，方宇润滑油污水处理厂提标改建工程正在开展立项、设计工作。</w:t>
      </w:r>
      <w:r>
        <w:rPr>
          <w:rFonts w:hint="eastAsia" w:ascii="楷体_GB2312" w:hAnsi="楷体_GB2312" w:eastAsia="楷体_GB2312" w:cs="楷体_GB2312"/>
          <w:b/>
          <w:bCs/>
          <w:i w:val="0"/>
          <w:iCs w:val="0"/>
          <w:caps w:val="0"/>
          <w:color w:val="000000"/>
          <w:spacing w:val="0"/>
          <w:sz w:val="31"/>
          <w:szCs w:val="31"/>
          <w:shd w:val="clear" w:color="auto" w:fill="FFFFFF"/>
          <w:lang w:val="en-US" w:eastAsia="zh-CN"/>
        </w:rPr>
        <w:t>三是完善</w:t>
      </w:r>
      <w:r>
        <w:rPr>
          <w:rFonts w:hint="eastAsia" w:ascii="楷体_GB2312" w:hAnsi="楷体_GB2312" w:eastAsia="楷体_GB2312" w:cs="楷体_GB2312"/>
          <w:b/>
          <w:bCs/>
          <w:color w:val="000000"/>
          <w:kern w:val="0"/>
          <w:sz w:val="32"/>
          <w:szCs w:val="32"/>
          <w:highlight w:val="none"/>
          <w:lang w:val="en-US" w:eastAsia="zh-CN" w:bidi="ar-SA"/>
        </w:rPr>
        <w:t>督办机制，实施协同管控。</w:t>
      </w:r>
      <w:r>
        <w:rPr>
          <w:rFonts w:hint="eastAsia" w:ascii="楷体_GB2312" w:hAnsi="楷体_GB2312" w:eastAsia="楷体_GB2312" w:cs="楷体_GB2312"/>
          <w:color w:val="000000"/>
          <w:kern w:val="0"/>
          <w:sz w:val="32"/>
          <w:szCs w:val="32"/>
          <w:highlight w:val="none"/>
          <w:lang w:val="en-US" w:eastAsia="zh-CN" w:bidi="ar-SA"/>
        </w:rPr>
        <w:t>督促</w:t>
      </w:r>
      <w:r>
        <w:rPr>
          <w:rFonts w:hint="eastAsia" w:ascii="仿宋" w:hAnsi="仿宋" w:eastAsia="仿宋" w:cs="仿宋"/>
          <w:color w:val="000000"/>
          <w:sz w:val="32"/>
          <w:szCs w:val="32"/>
          <w:lang w:val="en-US" w:eastAsia="zh-CN"/>
        </w:rPr>
        <w:t>区住建局完成了涉乌河流域6条主干道路雨污分流；督促齐城污水处理厂齐都污水处理厂实施提标改造，目前齐城完成一期西系列提标改造工程已经完成，臭氧装置正在施工，齐都污水处理厂提标扩建工程正在收尾中；督促综合行政执法局完成110处涉及乌河的雨污管道错接、混排问题；督促区水利局做好乌河综合治理工程项目，目前完成总进度超过80%，并对全区291个入河雨排口建立清单。上半年，下达水督办函、提醒函63件，通过不懈努力与精准管控，齐城污水处理厂受冲击次数明显减少，受冲击后恢复时间大大缩短，降雨天气溢流对东沙断面的影响也缩短到48小时以内。</w:t>
      </w:r>
      <w:r>
        <w:rPr>
          <w:rFonts w:hint="eastAsia" w:ascii="仿宋_GB2312" w:hAnsi="仿宋_GB2312" w:eastAsia="仿宋_GB2312" w:cs="仿宋_GB2312"/>
          <w:b/>
          <w:bCs/>
          <w:color w:val="000000"/>
          <w:sz w:val="32"/>
          <w:szCs w:val="32"/>
          <w:lang w:val="en-US" w:eastAsia="zh-CN"/>
        </w:rPr>
        <w:t>四</w:t>
      </w:r>
      <w:r>
        <w:rPr>
          <w:rFonts w:hint="eastAsia" w:ascii="仿宋_GB2312" w:hAnsi="仿宋_GB2312" w:eastAsia="仿宋_GB2312" w:cs="仿宋_GB2312"/>
          <w:b/>
          <w:bCs/>
          <w:color w:val="000000"/>
          <w:szCs w:val="32"/>
        </w:rPr>
        <w:t>是推进农村污水治理工作</w:t>
      </w:r>
      <w:r>
        <w:rPr>
          <w:rFonts w:hint="eastAsia" w:ascii="仿宋_GB2312" w:hAnsi="仿宋_GB2312" w:cs="仿宋_GB2312"/>
          <w:b/>
          <w:color w:val="000000"/>
          <w:szCs w:val="32"/>
        </w:rPr>
        <w:t>。</w:t>
      </w:r>
      <w:r>
        <w:rPr>
          <w:rFonts w:hint="eastAsia" w:ascii="仿宋_GB2312" w:hAnsi="仿宋_GB2312" w:cs="仿宋_GB2312"/>
          <w:color w:val="000000"/>
          <w:szCs w:val="32"/>
        </w:rPr>
        <w:t>制定出台了我区</w:t>
      </w:r>
      <w:r>
        <w:rPr>
          <w:rFonts w:hint="eastAsia" w:ascii="Times New Roman" w:hAnsi="Times New Roman" w:cs="Times New Roman"/>
          <w:color w:val="000000" w:themeColor="text1"/>
          <w:szCs w:val="32"/>
        </w:rPr>
        <w:t>农村生活污水处理设施长效管理办法，实现农村污水站每月1次自检，每季度1次区级抽检；依托文远环保争取国开行信贷资金用于农村污水治理工程建设，完成了15个村农村生活污水治理任务</w:t>
      </w:r>
      <w:r>
        <w:rPr>
          <w:rFonts w:hint="eastAsia" w:ascii="Times New Roman" w:hAnsi="Times New Roman" w:cs="Times New Roman"/>
          <w:color w:val="000000" w:themeColor="text1"/>
          <w:szCs w:val="32"/>
          <w:lang w:eastAsia="zh-CN"/>
        </w:rPr>
        <w:t>，</w:t>
      </w:r>
      <w:r>
        <w:rPr>
          <w:rFonts w:hint="eastAsia" w:ascii="Times New Roman" w:hAnsi="Times New Roman" w:cs="Times New Roman"/>
          <w:color w:val="000000" w:themeColor="text1"/>
          <w:szCs w:val="32"/>
          <w:lang w:val="en-US" w:eastAsia="zh-CN"/>
        </w:rPr>
        <w:t>在全市农村生活污水处理工作中4月份、5月份均列全市第一</w:t>
      </w:r>
      <w:r>
        <w:rPr>
          <w:rFonts w:hint="eastAsia" w:ascii="Times New Roman" w:hAnsi="Times New Roman" w:cs="Times New Roman"/>
          <w:color w:val="000000" w:themeColor="text1"/>
          <w:szCs w:val="32"/>
        </w:rPr>
        <w:t>。</w:t>
      </w:r>
    </w:p>
    <w:p>
      <w:pPr>
        <w:spacing w:line="600" w:lineRule="exact"/>
        <w:ind w:firstLine="636"/>
        <w:rPr>
          <w:rFonts w:ascii="楷体_GB2312" w:hAnsi="Times New Roman" w:eastAsia="楷体_GB2312" w:cs="Times New Roman"/>
          <w:color w:val="000000" w:themeColor="text1"/>
          <w:kern w:val="0"/>
          <w:szCs w:val="32"/>
        </w:rPr>
      </w:pPr>
      <w:r>
        <w:rPr>
          <w:rFonts w:hint="eastAsia" w:ascii="楷体_GB2312" w:hAnsi="Arial" w:eastAsia="楷体_GB2312" w:cs="Arial"/>
          <w:color w:val="191919"/>
          <w:szCs w:val="32"/>
        </w:rPr>
        <w:t>（三）精准施策，</w:t>
      </w:r>
      <w:r>
        <w:rPr>
          <w:rFonts w:hint="eastAsia" w:ascii="楷体_GB2312" w:hAnsi="Times New Roman" w:eastAsia="楷体_GB2312" w:cs="Times New Roman"/>
          <w:color w:val="000000" w:themeColor="text1"/>
          <w:kern w:val="0"/>
          <w:szCs w:val="32"/>
        </w:rPr>
        <w:t>稳步推进土壤和危固废治理</w:t>
      </w:r>
    </w:p>
    <w:p>
      <w:pPr>
        <w:spacing w:line="600" w:lineRule="exact"/>
        <w:ind w:firstLine="643" w:firstLineChars="200"/>
        <w:rPr>
          <w:rFonts w:ascii="Times New Roman" w:hAnsi="Times New Roman" w:cs="Times New Roman"/>
          <w:color w:val="000000" w:themeColor="text1"/>
          <w:szCs w:val="32"/>
        </w:rPr>
      </w:pPr>
      <w:r>
        <w:rPr>
          <w:rFonts w:hint="eastAsia" w:ascii="仿宋_GB2312"/>
          <w:b/>
          <w:szCs w:val="32"/>
        </w:rPr>
        <w:t>一是做好土壤污染管控。</w:t>
      </w:r>
      <w:r>
        <w:rPr>
          <w:rFonts w:hint="eastAsia" w:ascii="仿宋_GB2312"/>
          <w:szCs w:val="32"/>
        </w:rPr>
        <w:t>督促全区67家土壤重点监管企业定期开展地下水和土壤监测工作；对大武地下水富集区核心区、生态修复区的66家重点企业（1778.72亩）分批次开展土壤污染状况调查。</w:t>
      </w:r>
      <w:r>
        <w:rPr>
          <w:rFonts w:hint="eastAsia" w:ascii="仿宋_GB2312"/>
          <w:b/>
          <w:szCs w:val="32"/>
        </w:rPr>
        <w:t>二是加强</w:t>
      </w:r>
      <w:r>
        <w:rPr>
          <w:rFonts w:hint="eastAsia" w:ascii="仿宋_GB2312" w:hAnsi="楷体" w:cs="楷体"/>
          <w:b/>
          <w:color w:val="000000" w:themeColor="text1"/>
          <w:szCs w:val="32"/>
        </w:rPr>
        <w:t>危险废物监管。</w:t>
      </w:r>
      <w:r>
        <w:rPr>
          <w:rFonts w:hint="eastAsia" w:ascii="Times New Roman" w:hAnsi="Times New Roman" w:cs="Times New Roman"/>
          <w:color w:val="000000" w:themeColor="text1"/>
          <w:szCs w:val="32"/>
        </w:rPr>
        <w:t>督促生产经营单位对环保设施和项目开展安全风险评估和隐患排查，完成450家危险废物产生企业和70家一般固废产生企业的申报登记工作。积极开展危险废物大排查行动，共排查村居425个、闲散院落3924个。</w:t>
      </w:r>
      <w:r>
        <w:rPr>
          <w:rFonts w:hint="eastAsia" w:ascii="仿宋_GB2312" w:hAnsi="Times New Roman" w:cs="Times New Roman"/>
          <w:b/>
          <w:color w:val="000000" w:themeColor="text1"/>
          <w:szCs w:val="32"/>
        </w:rPr>
        <w:t>三是开展固废危废堆存填埋点位清理整治工作。</w:t>
      </w:r>
      <w:r>
        <w:rPr>
          <w:rFonts w:hint="eastAsia" w:ascii="Times New Roman" w:hAnsi="Times New Roman" w:cs="Times New Roman"/>
          <w:color w:val="000000" w:themeColor="text1"/>
          <w:szCs w:val="32"/>
        </w:rPr>
        <w:t>金山镇公泉路大沟点位已委托环保部华南所出具初步工作方案，稷下街道郑王村北侧窑坑点位已委托省环科院编制了固体废物鉴别方案，正按方案开展鉴别前期准备工作。</w:t>
      </w:r>
      <w:r>
        <w:rPr>
          <w:rFonts w:hint="eastAsia" w:ascii="Times New Roman" w:hAnsi="Times New Roman" w:cs="Times New Roman"/>
          <w:b/>
          <w:color w:val="000000" w:themeColor="text1"/>
          <w:szCs w:val="32"/>
        </w:rPr>
        <w:t>四是做好辐射环境管理工作。</w:t>
      </w:r>
      <w:r>
        <w:rPr>
          <w:rFonts w:hint="eastAsia" w:ascii="Times New Roman" w:hAnsi="Times New Roman" w:cs="Times New Roman"/>
          <w:color w:val="000000" w:themeColor="text1"/>
          <w:szCs w:val="32"/>
        </w:rPr>
        <w:t>开展了2022年辐射环境安全隐患排查，完成了65家核技术利用单位的全覆盖检查，全力保障辐射环境安全。</w:t>
      </w:r>
    </w:p>
    <w:p>
      <w:pPr>
        <w:overflowPunct w:val="0"/>
        <w:autoSpaceDE w:val="0"/>
        <w:autoSpaceDN w:val="0"/>
        <w:spacing w:line="600" w:lineRule="exact"/>
        <w:ind w:firstLine="640" w:firstLineChars="200"/>
        <w:rPr>
          <w:rFonts w:ascii="楷体_GB2312" w:eastAsia="楷体_GB2312"/>
          <w:szCs w:val="32"/>
        </w:rPr>
      </w:pPr>
      <w:r>
        <w:rPr>
          <w:rFonts w:hint="eastAsia" w:ascii="楷体_GB2312" w:eastAsia="楷体_GB2312"/>
          <w:szCs w:val="32"/>
        </w:rPr>
        <w:t>（四）提高站位，聚力抓好督察问题整改落实</w:t>
      </w:r>
    </w:p>
    <w:p>
      <w:pPr>
        <w:overflowPunct w:val="0"/>
        <w:autoSpaceDE w:val="0"/>
        <w:autoSpaceDN w:val="0"/>
        <w:spacing w:line="600" w:lineRule="exact"/>
        <w:ind w:firstLine="640" w:firstLineChars="200"/>
        <w:rPr>
          <w:rFonts w:hint="eastAsia" w:ascii="仿宋_GB2312" w:hAnsi="仿宋_GB2312" w:cs="仿宋_GB2312"/>
          <w:color w:val="000000"/>
          <w:szCs w:val="32"/>
        </w:rPr>
      </w:pPr>
      <w:r>
        <w:rPr>
          <w:rFonts w:hint="eastAsia" w:ascii="仿宋_GB2312" w:hAnsi="仿宋_GB2312" w:cs="仿宋_GB2312"/>
          <w:color w:val="000000"/>
          <w:szCs w:val="32"/>
        </w:rPr>
        <w:t>树立有解思维，严格按照办结标准，压实责任，扎实推进各级督察反馈问题整改。</w:t>
      </w:r>
      <w:r>
        <w:rPr>
          <w:rFonts w:hint="eastAsia" w:ascii="仿宋_GB2312"/>
          <w:b/>
          <w:szCs w:val="32"/>
        </w:rPr>
        <w:t>一是推进反馈问题整改。</w:t>
      </w:r>
      <w:r>
        <w:rPr>
          <w:rFonts w:hint="eastAsia" w:ascii="仿宋_GB2312" w:hAnsi="仿宋_GB2312" w:cs="仿宋_GB2312"/>
          <w:color w:val="000000"/>
          <w:szCs w:val="32"/>
        </w:rPr>
        <w:t>中央、省两轮环保督察及“回头看”共向我区反馈问题116项，已完成整改106项，未完成整改10项，合并重复项，共有6项工作尚未完成。</w:t>
      </w:r>
      <w:r>
        <w:rPr>
          <w:rFonts w:hint="eastAsia" w:ascii="仿宋_GB2312" w:hAnsi="仿宋_GB2312" w:cs="仿宋_GB2312"/>
          <w:color w:val="000000"/>
          <w:szCs w:val="32"/>
          <w:highlight w:val="none"/>
          <w:lang w:val="en-US" w:eastAsia="zh-CN"/>
        </w:rPr>
        <w:t>上半年，完成整改反馈问题整改6个。</w:t>
      </w:r>
      <w:r>
        <w:rPr>
          <w:rFonts w:hint="eastAsia" w:ascii="仿宋_GB2312" w:hAnsi="仿宋_GB2312" w:cs="仿宋_GB2312"/>
          <w:b/>
          <w:color w:val="000000"/>
          <w:szCs w:val="32"/>
        </w:rPr>
        <w:t>二是推进</w:t>
      </w:r>
      <w:r>
        <w:rPr>
          <w:rFonts w:hint="eastAsia" w:ascii="仿宋_GB2312"/>
          <w:b/>
          <w:szCs w:val="32"/>
        </w:rPr>
        <w:t>交办信访件整改。</w:t>
      </w:r>
      <w:r>
        <w:rPr>
          <w:rFonts w:hint="eastAsia" w:ascii="仿宋_GB2312"/>
          <w:szCs w:val="32"/>
        </w:rPr>
        <w:t>中央、省两轮环保督察及“回头看”</w:t>
      </w:r>
      <w:r>
        <w:rPr>
          <w:rFonts w:hint="eastAsia" w:ascii="仿宋_GB2312" w:hAnsi="仿宋_GB2312" w:cs="仿宋_GB2312"/>
          <w:color w:val="000000"/>
          <w:szCs w:val="32"/>
        </w:rPr>
        <w:t>共向我区交办信访件589件，已办结557件，剩余32件未办结，合并重复项后还有15件信访尚未完成，减去4件重复件，</w:t>
      </w:r>
      <w:r>
        <w:rPr>
          <w:rFonts w:hint="eastAsia" w:ascii="仿宋_GB2312" w:hAnsi="仿宋_GB2312" w:cs="仿宋_GB2312"/>
          <w:color w:val="000000"/>
          <w:szCs w:val="32"/>
          <w:lang w:eastAsia="zh-CN"/>
        </w:rPr>
        <w:t>共有</w:t>
      </w:r>
      <w:r>
        <w:rPr>
          <w:rFonts w:hint="eastAsia" w:ascii="仿宋_GB2312" w:hAnsi="仿宋_GB2312" w:cs="仿宋_GB2312"/>
          <w:color w:val="000000"/>
          <w:szCs w:val="32"/>
        </w:rPr>
        <w:t>11件信访尚未完成。</w:t>
      </w:r>
      <w:r>
        <w:rPr>
          <w:rFonts w:hint="eastAsia" w:ascii="仿宋_GB2312" w:hAnsi="仿宋_GB2312" w:cs="仿宋_GB2312"/>
          <w:color w:val="000000"/>
          <w:szCs w:val="32"/>
          <w:lang w:val="en-US" w:eastAsia="zh-CN"/>
        </w:rPr>
        <w:t>上半年，</w:t>
      </w:r>
      <w:r>
        <w:rPr>
          <w:rFonts w:hint="eastAsia" w:ascii="仿宋_GB2312" w:hAnsi="仿宋_GB2312" w:cs="仿宋_GB2312"/>
          <w:color w:val="000000"/>
          <w:szCs w:val="32"/>
          <w:highlight w:val="none"/>
          <w:lang w:val="en-US" w:eastAsia="zh-CN"/>
        </w:rPr>
        <w:t>完成信访交办件19件。</w:t>
      </w:r>
      <w:r>
        <w:rPr>
          <w:rFonts w:hint="eastAsia" w:ascii="仿宋_GB2312" w:hAnsi="仿宋_GB2312" w:cs="仿宋_GB2312"/>
          <w:b/>
          <w:color w:val="000000"/>
          <w:szCs w:val="32"/>
        </w:rPr>
        <w:t>三是推进省督察热线交办件整改。</w:t>
      </w:r>
      <w:r>
        <w:rPr>
          <w:rFonts w:hint="eastAsia" w:ascii="仿宋_GB2312" w:hAnsi="仿宋_GB2312" w:cs="仿宋_GB2312"/>
          <w:color w:val="000000"/>
          <w:szCs w:val="32"/>
        </w:rPr>
        <w:t>7件省环保督察热线交办信访件全部处理，处理率100%。</w:t>
      </w:r>
    </w:p>
    <w:p>
      <w:pPr>
        <w:overflowPunct w:val="0"/>
        <w:autoSpaceDE w:val="0"/>
        <w:autoSpaceDN w:val="0"/>
        <w:spacing w:line="600" w:lineRule="exact"/>
        <w:ind w:firstLine="640" w:firstLineChars="200"/>
        <w:rPr>
          <w:rFonts w:ascii="楷体_GB2312" w:eastAsia="楷体_GB2312"/>
          <w:color w:val="000000" w:themeColor="text1"/>
          <w:szCs w:val="32"/>
        </w:rPr>
      </w:pPr>
      <w:r>
        <w:rPr>
          <w:rFonts w:hint="eastAsia" w:ascii="楷体_GB2312" w:hAnsi="楷体_GB2312" w:eastAsia="楷体_GB2312" w:cs="楷体_GB2312"/>
          <w:bCs/>
          <w:kern w:val="0"/>
          <w:szCs w:val="32"/>
        </w:rPr>
        <w:t>（五）营造优质营商环境，</w:t>
      </w:r>
      <w:r>
        <w:rPr>
          <w:rFonts w:hint="eastAsia" w:ascii="楷体_GB2312" w:eastAsia="楷体_GB2312"/>
          <w:color w:val="000000" w:themeColor="text1"/>
          <w:szCs w:val="32"/>
        </w:rPr>
        <w:t>推动高质量发展</w:t>
      </w:r>
    </w:p>
    <w:p>
      <w:pPr>
        <w:spacing w:line="600" w:lineRule="exact"/>
        <w:ind w:firstLine="643" w:firstLineChars="200"/>
        <w:rPr>
          <w:rFonts w:ascii="仿宋_GB2312" w:hAnsi="Calibri" w:cs="Times New Roman"/>
          <w:szCs w:val="32"/>
        </w:rPr>
      </w:pPr>
      <w:r>
        <w:rPr>
          <w:rFonts w:hint="eastAsia" w:ascii="仿宋_GB2312" w:hAnsi="仿宋_GB2312" w:cs="仿宋_GB2312"/>
          <w:b/>
          <w:bCs/>
          <w:color w:val="000000" w:themeColor="text1"/>
          <w:kern w:val="0"/>
          <w:szCs w:val="32"/>
          <w:shd w:val="clear" w:color="auto" w:fill="FFFFFF"/>
        </w:rPr>
        <w:t>一是严格环评审批。</w:t>
      </w:r>
      <w:r>
        <w:rPr>
          <w:rFonts w:hint="eastAsia" w:ascii="仿宋_GB2312" w:hAnsi="仿宋_GB2312" w:cs="仿宋_GB2312"/>
          <w:bCs/>
          <w:color w:val="000000" w:themeColor="text1"/>
          <w:kern w:val="0"/>
          <w:szCs w:val="32"/>
          <w:shd w:val="clear" w:color="auto" w:fill="FFFFFF"/>
        </w:rPr>
        <w:t>严格落实“三线一单”管控要求，坚决杜绝高耗能、高污染及不符合规划和高环境隐患的项目上马，严格控制氮氧化物、挥发性有机物排放量大的项目审批，共计审批环境影响报告表（书）36个。</w:t>
      </w:r>
      <w:r>
        <w:rPr>
          <w:rFonts w:hint="eastAsia" w:ascii="仿宋_GB2312" w:hAnsi="仿宋_GB2312" w:cs="仿宋_GB2312"/>
          <w:b/>
          <w:bCs/>
          <w:color w:val="000000" w:themeColor="text1"/>
          <w:kern w:val="0"/>
          <w:szCs w:val="32"/>
          <w:shd w:val="clear" w:color="auto" w:fill="FFFFFF"/>
        </w:rPr>
        <w:t>二是用心服务重大项目。</w:t>
      </w:r>
      <w:r>
        <w:rPr>
          <w:rFonts w:hint="eastAsia" w:ascii="仿宋_GB2312" w:hAnsi="仿宋_GB2312" w:cs="仿宋_GB2312"/>
          <w:bCs/>
          <w:color w:val="000000" w:themeColor="text1"/>
          <w:kern w:val="0"/>
          <w:szCs w:val="32"/>
          <w:shd w:val="clear" w:color="auto" w:fill="FFFFFF"/>
        </w:rPr>
        <w:t>认真履行“首问负责制”“一次性告知”制度，让企业少跑路，让审批事项一次办好。积极服务重大项目，对重点项目和新能源汽车等新经济和未来产业项目提前介入、靠前服务，主动协助企业解决环评编制中遇到的问题。上半年，完成总量审批项目35个</w:t>
      </w:r>
      <w:r>
        <w:rPr>
          <w:rFonts w:hint="eastAsia" w:ascii="仿宋_GB2312" w:hAnsi="仿宋_GB2312" w:cs="仿宋_GB2312"/>
          <w:bCs/>
          <w:color w:val="000000" w:themeColor="text1"/>
          <w:kern w:val="0"/>
          <w:szCs w:val="32"/>
          <w:shd w:val="clear" w:color="auto" w:fill="FFFFFF"/>
          <w:lang w:eastAsia="zh-CN"/>
        </w:rPr>
        <w:t>，</w:t>
      </w:r>
      <w:r>
        <w:rPr>
          <w:rFonts w:hint="eastAsia" w:ascii="仿宋_GB2312" w:hAnsi="Calibri" w:cs="Times New Roman"/>
          <w:szCs w:val="32"/>
        </w:rPr>
        <w:t>企业质控核查</w:t>
      </w:r>
      <w:r>
        <w:rPr>
          <w:rFonts w:hint="eastAsia" w:ascii="仿宋_GB2312" w:hAnsi="Calibri" w:cs="Times New Roman"/>
          <w:szCs w:val="32"/>
          <w:lang w:val="en-US" w:eastAsia="zh-CN"/>
        </w:rPr>
        <w:t>核查83家</w:t>
      </w:r>
      <w:r>
        <w:rPr>
          <w:rFonts w:hint="eastAsia" w:ascii="仿宋_GB2312" w:hAnsi="Calibri" w:cs="Times New Roman"/>
          <w:szCs w:val="32"/>
        </w:rPr>
        <w:t>。</w:t>
      </w:r>
      <w:r>
        <w:rPr>
          <w:rFonts w:hint="eastAsia" w:ascii="仿宋_GB2312" w:hAnsi="Calibri" w:cs="Times New Roman"/>
          <w:b/>
          <w:szCs w:val="32"/>
        </w:rPr>
        <w:t>四是强化环境应急预案体系建设。</w:t>
      </w:r>
      <w:r>
        <w:rPr>
          <w:rFonts w:hint="eastAsia" w:ascii="仿宋_GB2312" w:hAnsi="Calibri" w:cs="Times New Roman"/>
          <w:szCs w:val="32"/>
        </w:rPr>
        <w:t>扎实开展突发环境事件应急预案备案管理年活动，完成119家企业的环境隐患排查治理工作及24家企业预案备案，预案初备及修订报备率达100%；</w:t>
      </w:r>
      <w:r>
        <w:rPr>
          <w:rFonts w:hint="eastAsia" w:ascii="仿宋_GB2312" w:hAnsi="Calibri" w:cs="Times New Roman"/>
          <w:b/>
          <w:szCs w:val="32"/>
        </w:rPr>
        <w:t>五是积极做好环境监测工作。</w:t>
      </w:r>
      <w:r>
        <w:rPr>
          <w:rFonts w:hint="eastAsia" w:ascii="仿宋_GB2312" w:hAnsi="仿宋_GB2312" w:cs="仿宋_GB2312"/>
          <w:bCs/>
          <w:color w:val="000000" w:themeColor="text1"/>
          <w:kern w:val="0"/>
          <w:szCs w:val="32"/>
          <w:shd w:val="clear" w:color="auto" w:fill="FFFFFF"/>
        </w:rPr>
        <w:t>开展COD</w:t>
      </w:r>
      <w:r>
        <w:rPr>
          <w:rFonts w:hint="eastAsia" w:ascii="仿宋_GB2312" w:hAnsi="仿宋_GB2312" w:cs="仿宋_GB2312"/>
          <w:bCs/>
          <w:color w:val="000000" w:themeColor="text1"/>
          <w:kern w:val="0"/>
          <w:szCs w:val="32"/>
          <w:shd w:val="clear" w:color="auto" w:fill="FFFFFF"/>
          <w:lang w:eastAsia="zh-CN"/>
        </w:rPr>
        <w:t>、</w:t>
      </w:r>
      <w:r>
        <w:rPr>
          <w:rFonts w:hint="eastAsia" w:ascii="仿宋_GB2312" w:hAnsi="仿宋_GB2312" w:cs="仿宋_GB2312"/>
          <w:bCs/>
          <w:color w:val="000000" w:themeColor="text1"/>
          <w:kern w:val="0"/>
          <w:szCs w:val="32"/>
          <w:shd w:val="clear" w:color="auto" w:fill="FFFFFF"/>
        </w:rPr>
        <w:t>氨氮等6项水样测定项目，接收委托水样1760余个，出具数据6200余个</w:t>
      </w:r>
      <w:r>
        <w:rPr>
          <w:rFonts w:hint="eastAsia" w:ascii="仿宋_GB2312" w:hAnsi="仿宋_GB2312" w:cs="仿宋_GB2312"/>
          <w:bCs/>
          <w:color w:val="000000" w:themeColor="text1"/>
          <w:kern w:val="0"/>
          <w:szCs w:val="32"/>
          <w:shd w:val="clear" w:color="auto" w:fill="FFFFFF"/>
          <w:lang w:eastAsia="zh-CN"/>
        </w:rPr>
        <w:t>，</w:t>
      </w:r>
      <w:r>
        <w:rPr>
          <w:rFonts w:hint="eastAsia" w:ascii="仿宋_GB2312" w:hAnsi="Calibri" w:cs="Times New Roman"/>
          <w:szCs w:val="32"/>
        </w:rPr>
        <w:t>开展大气监测30次，出具数据30余个</w:t>
      </w:r>
      <w:r>
        <w:rPr>
          <w:rFonts w:hint="eastAsia" w:ascii="仿宋_GB2312" w:hAnsi="Calibri" w:cs="Times New Roman"/>
          <w:szCs w:val="32"/>
          <w:lang w:eastAsia="zh-CN"/>
        </w:rPr>
        <w:t>，</w:t>
      </w:r>
      <w:r>
        <w:rPr>
          <w:rFonts w:hint="eastAsia" w:ascii="仿宋_GB2312" w:hAnsi="Calibri" w:cs="Times New Roman"/>
          <w:szCs w:val="32"/>
        </w:rPr>
        <w:t>顺利通过全国5个项目的标准样品考核。</w:t>
      </w:r>
      <w:r>
        <w:rPr>
          <w:rFonts w:hint="eastAsia" w:ascii="仿宋_GB2312" w:hAnsi="Calibri" w:cs="Times New Roman"/>
          <w:b/>
          <w:szCs w:val="32"/>
        </w:rPr>
        <w:t>六是实施生态环境损害赔偿。</w:t>
      </w:r>
      <w:r>
        <w:rPr>
          <w:rFonts w:hint="eastAsia" w:ascii="仿宋_GB2312" w:hAnsi="Calibri" w:cs="Times New Roman"/>
          <w:szCs w:val="32"/>
        </w:rPr>
        <w:t>建立了生态环境损害赔偿制度，构建起针对污染环境、破坏生态行为的法律责任追究体系。上半年，共启动生态环境损害赔偿案件4起，赔偿金额5万余元</w:t>
      </w:r>
      <w:r>
        <w:rPr>
          <w:rFonts w:hint="eastAsia" w:ascii="仿宋_GB2312" w:hAnsi="Calibri" w:cs="Times New Roman"/>
          <w:szCs w:val="32"/>
          <w:lang w:eastAsia="zh-CN"/>
        </w:rPr>
        <w:t>，</w:t>
      </w:r>
      <w:r>
        <w:rPr>
          <w:rFonts w:hint="eastAsia" w:ascii="仿宋_GB2312" w:hAnsi="Calibri" w:cs="Times New Roman"/>
          <w:szCs w:val="32"/>
          <w:lang w:val="en-US" w:eastAsia="zh-CN"/>
        </w:rPr>
        <w:t>启动赔偿案件数位列全市第一</w:t>
      </w:r>
      <w:r>
        <w:rPr>
          <w:rFonts w:hint="eastAsia" w:ascii="仿宋_GB2312" w:hAnsi="Calibri" w:cs="Times New Roman"/>
          <w:szCs w:val="32"/>
        </w:rPr>
        <w:t>。</w:t>
      </w:r>
    </w:p>
    <w:p>
      <w:pPr>
        <w:spacing w:line="600" w:lineRule="exact"/>
        <w:ind w:firstLine="640" w:firstLineChars="200"/>
        <w:rPr>
          <w:rFonts w:ascii="楷体_GB2312" w:hAnsi="仿宋_GB2312" w:eastAsia="楷体_GB2312" w:cs="仿宋_GB2312"/>
          <w:bCs/>
          <w:color w:val="000000" w:themeColor="text1"/>
          <w:kern w:val="0"/>
          <w:szCs w:val="32"/>
        </w:rPr>
      </w:pPr>
      <w:r>
        <w:rPr>
          <w:rFonts w:hint="eastAsia" w:ascii="楷体_GB2312" w:hAnsi="仿宋_GB2312" w:eastAsia="楷体_GB2312" w:cs="仿宋_GB2312"/>
          <w:szCs w:val="32"/>
        </w:rPr>
        <w:t>（六）加强</w:t>
      </w:r>
      <w:r>
        <w:rPr>
          <w:rFonts w:hint="eastAsia" w:ascii="楷体_GB2312" w:hAnsi="仿宋_GB2312" w:eastAsia="楷体_GB2312" w:cs="仿宋_GB2312"/>
          <w:bCs/>
          <w:color w:val="000000" w:themeColor="text1"/>
          <w:kern w:val="0"/>
          <w:szCs w:val="32"/>
        </w:rPr>
        <w:t>环境执法力度，提升环境执法效能</w:t>
      </w:r>
    </w:p>
    <w:p>
      <w:pPr>
        <w:spacing w:line="600" w:lineRule="exact"/>
        <w:ind w:firstLine="643" w:firstLineChars="200"/>
        <w:rPr>
          <w:rFonts w:hint="default" w:ascii="仿宋_GB2312" w:hAnsi="仿宋_GB2312" w:eastAsia="仿宋_GB2312" w:cs="仿宋_GB2312"/>
          <w:szCs w:val="32"/>
          <w:lang w:val="en-US" w:eastAsia="zh-CN"/>
        </w:rPr>
      </w:pPr>
      <w:r>
        <w:rPr>
          <w:rFonts w:hint="eastAsia" w:ascii="仿宋_GB2312" w:hAnsi="仿宋_GB2312" w:cs="仿宋_GB2312"/>
          <w:b/>
          <w:szCs w:val="32"/>
        </w:rPr>
        <w:t>一是开展</w:t>
      </w:r>
      <w:r>
        <w:rPr>
          <w:rFonts w:hint="eastAsia" w:ascii="仿宋_GB2312" w:hAnsi="仿宋_GB2312" w:cs="仿宋_GB2312"/>
          <w:b/>
          <w:bCs/>
          <w:color w:val="000000" w:themeColor="text1"/>
          <w:kern w:val="0"/>
          <w:szCs w:val="32"/>
        </w:rPr>
        <w:t>执法大练兵</w:t>
      </w:r>
      <w:r>
        <w:rPr>
          <w:rFonts w:hint="eastAsia" w:ascii="仿宋_GB2312" w:hAnsi="仿宋_GB2312" w:cs="仿宋_GB2312"/>
          <w:b/>
          <w:bCs/>
          <w:color w:val="000000" w:themeColor="text1"/>
          <w:kern w:val="0"/>
          <w:szCs w:val="32"/>
          <w:lang w:val="en-US" w:eastAsia="zh-CN"/>
        </w:rPr>
        <w:t>和</w:t>
      </w:r>
      <w:r>
        <w:rPr>
          <w:rFonts w:hint="eastAsia" w:ascii="仿宋_GB2312" w:hAnsi="仿宋_GB2312" w:cs="仿宋_GB2312"/>
          <w:b/>
          <w:szCs w:val="32"/>
        </w:rPr>
        <w:t>爱齐帮扶</w:t>
      </w:r>
      <w:r>
        <w:rPr>
          <w:rFonts w:hint="eastAsia" w:ascii="仿宋_GB2312" w:hAnsi="仿宋_GB2312" w:cs="仿宋_GB2312"/>
          <w:b/>
          <w:bCs/>
          <w:color w:val="000000" w:themeColor="text1"/>
          <w:kern w:val="0"/>
          <w:szCs w:val="32"/>
        </w:rPr>
        <w:t>活动。</w:t>
      </w:r>
      <w:r>
        <w:rPr>
          <w:rFonts w:hint="eastAsia" w:ascii="仿宋_GB2312" w:hAnsi="仿宋_GB2312" w:cs="仿宋_GB2312"/>
          <w:b w:val="0"/>
          <w:bCs w:val="0"/>
          <w:color w:val="000000" w:themeColor="text1"/>
          <w:kern w:val="0"/>
          <w:szCs w:val="32"/>
          <w:lang w:val="en-US" w:eastAsia="zh-CN"/>
        </w:rPr>
        <w:t>制</w:t>
      </w:r>
      <w:r>
        <w:rPr>
          <w:rFonts w:hint="eastAsia" w:ascii="仿宋_GB2312" w:hAnsi="仿宋_GB2312" w:cs="仿宋_GB2312"/>
          <w:szCs w:val="32"/>
        </w:rPr>
        <w:t>定了《2022年临淄生态环境分局环境执法大练兵活动方案》，先后开展了“案卷大家评”、“执法小课堂”等活动，</w:t>
      </w:r>
      <w:r>
        <w:rPr>
          <w:rFonts w:hint="eastAsia" w:ascii="仿宋_GB2312" w:hAnsi="仿宋_GB2312" w:cs="仿宋_GB2312"/>
          <w:szCs w:val="32"/>
          <w:lang w:val="en-US" w:eastAsia="zh-CN"/>
        </w:rPr>
        <w:t>完成</w:t>
      </w:r>
      <w:r>
        <w:rPr>
          <w:rFonts w:hint="eastAsia" w:ascii="仿宋_GB2312" w:hAnsi="仿宋_GB2312" w:cs="仿宋_GB2312"/>
          <w:szCs w:val="32"/>
        </w:rPr>
        <w:t>大练兵规定类型案件14起，典型案例5个，开展“执法小课堂”7次</w:t>
      </w:r>
      <w:r>
        <w:rPr>
          <w:rFonts w:hint="eastAsia" w:ascii="仿宋_GB2312" w:hAnsi="仿宋_GB2312" w:cs="仿宋_GB2312"/>
          <w:szCs w:val="32"/>
          <w:lang w:eastAsia="zh-CN"/>
        </w:rPr>
        <w:t>，</w:t>
      </w:r>
      <w:r>
        <w:rPr>
          <w:rFonts w:hint="eastAsia" w:ascii="仿宋_GB2312" w:hAnsi="仿宋_GB2312" w:cs="仿宋_GB2312"/>
          <w:bCs/>
          <w:szCs w:val="32"/>
        </w:rPr>
        <w:t>帮扶重点企业30家，下发“爱齐”帮扶卡30份</w:t>
      </w:r>
      <w:r>
        <w:rPr>
          <w:rFonts w:hint="eastAsia" w:ascii="仿宋_GB2312" w:hAnsi="仿宋_GB2312" w:cs="仿宋_GB2312"/>
          <w:bCs/>
          <w:szCs w:val="32"/>
          <w:lang w:eastAsia="zh-CN"/>
        </w:rPr>
        <w:t>，</w:t>
      </w:r>
      <w:r>
        <w:rPr>
          <w:rFonts w:hint="eastAsia" w:ascii="仿宋_GB2312" w:hAnsi="仿宋_GB2312" w:cs="仿宋_GB2312"/>
          <w:bCs/>
          <w:szCs w:val="32"/>
          <w:lang w:val="en-US" w:eastAsia="zh-CN"/>
        </w:rPr>
        <w:t>大练兵规定类型案件办理数量位居全市第一</w:t>
      </w:r>
      <w:r>
        <w:rPr>
          <w:rFonts w:hint="eastAsia" w:ascii="仿宋_GB2312" w:hAnsi="仿宋_GB2312" w:cs="仿宋_GB2312"/>
          <w:bCs/>
          <w:szCs w:val="32"/>
        </w:rPr>
        <w:t>。</w:t>
      </w:r>
      <w:r>
        <w:rPr>
          <w:rFonts w:hint="eastAsia" w:ascii="仿宋_GB2312" w:hAnsi="仿宋_GB2312" w:cs="仿宋_GB2312"/>
          <w:b/>
          <w:bCs/>
          <w:szCs w:val="32"/>
        </w:rPr>
        <w:t>二</w:t>
      </w:r>
      <w:r>
        <w:rPr>
          <w:rFonts w:hint="eastAsia" w:ascii="仿宋_GB2312" w:hAnsi="仿宋_GB2312" w:cs="仿宋_GB2312"/>
          <w:b/>
          <w:bCs/>
          <w:color w:val="000000" w:themeColor="text1"/>
          <w:kern w:val="0"/>
          <w:szCs w:val="32"/>
        </w:rPr>
        <w:t>是</w:t>
      </w:r>
      <w:r>
        <w:rPr>
          <w:rFonts w:hint="eastAsia" w:ascii="仿宋_GB2312" w:hAnsi="仿宋_GB2312" w:cs="仿宋_GB2312"/>
          <w:b/>
          <w:bCs/>
          <w:szCs w:val="32"/>
        </w:rPr>
        <w:t>加密执法频次</w:t>
      </w:r>
      <w:r>
        <w:rPr>
          <w:rFonts w:hint="eastAsia" w:ascii="仿宋_GB2312" w:hAnsi="仿宋_GB2312" w:cs="仿宋_GB2312"/>
          <w:b/>
          <w:bCs/>
          <w:color w:val="000000" w:themeColor="text1"/>
          <w:kern w:val="0"/>
          <w:szCs w:val="32"/>
        </w:rPr>
        <w:t>，狠抓企业监管。</w:t>
      </w:r>
      <w:r>
        <w:rPr>
          <w:rFonts w:hint="eastAsia" w:ascii="仿宋_GB2312" w:hAnsi="仿宋_GB2312" w:cs="仿宋_GB2312"/>
          <w:bCs/>
          <w:color w:val="000000" w:themeColor="text1"/>
          <w:kern w:val="0"/>
          <w:szCs w:val="32"/>
        </w:rPr>
        <w:t>开展</w:t>
      </w:r>
      <w:r>
        <w:rPr>
          <w:rFonts w:hint="eastAsia" w:ascii="仿宋_GB2312" w:hAnsi="仿宋_GB2312" w:cs="仿宋_GB2312"/>
          <w:bCs/>
          <w:color w:val="000000" w:themeColor="text1"/>
          <w:kern w:val="0"/>
          <w:szCs w:val="32"/>
          <w:lang w:val="en-US" w:eastAsia="zh-CN"/>
        </w:rPr>
        <w:t>了</w:t>
      </w:r>
      <w:r>
        <w:rPr>
          <w:rFonts w:hint="eastAsia" w:ascii="仿宋_GB2312" w:hAnsi="仿宋_GB2312" w:cs="仿宋_GB2312"/>
          <w:bCs/>
          <w:szCs w:val="32"/>
        </w:rPr>
        <w:t>双随机检查行动、</w:t>
      </w:r>
      <w:r>
        <w:rPr>
          <w:rFonts w:hint="eastAsia" w:ascii="仿宋_GB2312" w:hAnsi="仿宋_GB2312" w:cs="仿宋_GB2312"/>
          <w:szCs w:val="32"/>
        </w:rPr>
        <w:t>涉气综合执法行动、涉水土固废综合执法行动等13个专项行动，检查企业1520家(次)、出动执法人员3252人(次)、下达污染源监察记录753条，立案处罚27起，拟处罚金830余万元。申请法院强制执行5起，移交公安1起</w:t>
      </w:r>
      <w:r>
        <w:rPr>
          <w:rFonts w:hint="eastAsia" w:ascii="仿宋_GB2312" w:hAnsi="仿宋_GB2312" w:cs="仿宋_GB2312"/>
          <w:szCs w:val="32"/>
          <w:lang w:eastAsia="zh-CN"/>
        </w:rPr>
        <w:t>。</w:t>
      </w:r>
      <w:r>
        <w:rPr>
          <w:rFonts w:hint="eastAsia" w:ascii="仿宋_GB2312" w:hAnsi="仿宋_GB2312" w:cs="仿宋_GB2312"/>
          <w:szCs w:val="32"/>
          <w:lang w:val="en-US" w:eastAsia="zh-CN"/>
        </w:rPr>
        <w:t>其中，双随机检查问题发现率全市最高。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0" w:lineRule="atLeast"/>
        <w:ind w:right="0" w:firstLine="640" w:firstLineChars="200"/>
        <w:jc w:val="left"/>
        <w:textAlignment w:val="auto"/>
        <w:rPr>
          <w:rFonts w:hint="eastAsia" w:ascii="楷体_GB2312" w:hAnsi="楷体_GB2312" w:eastAsia="楷体_GB2312" w:cs="楷体_GB2312"/>
          <w:b w:val="0"/>
          <w:bCs w:val="0"/>
        </w:rPr>
      </w:pPr>
      <w:r>
        <w:rPr>
          <w:rFonts w:hint="eastAsia" w:ascii="楷体_GB2312" w:hAnsi="楷体_GB2312" w:eastAsia="楷体_GB2312" w:cs="楷体_GB2312"/>
          <w:b w:val="0"/>
          <w:bCs w:val="0"/>
          <w:szCs w:val="32"/>
        </w:rPr>
        <w:t>（</w:t>
      </w:r>
      <w:r>
        <w:rPr>
          <w:rFonts w:hint="eastAsia" w:ascii="楷体_GB2312" w:hAnsi="楷体_GB2312" w:eastAsia="楷体_GB2312" w:cs="楷体_GB2312"/>
          <w:b w:val="0"/>
          <w:bCs w:val="0"/>
          <w:szCs w:val="32"/>
          <w:lang w:val="en-US" w:eastAsia="zh-CN"/>
        </w:rPr>
        <w:t>七</w:t>
      </w:r>
      <w:r>
        <w:rPr>
          <w:rFonts w:hint="eastAsia" w:ascii="楷体_GB2312" w:hAnsi="楷体_GB2312" w:eastAsia="楷体_GB2312" w:cs="楷体_GB2312"/>
          <w:b w:val="0"/>
          <w:bCs w:val="0"/>
          <w:szCs w:val="32"/>
        </w:rPr>
        <w:t>）</w:t>
      </w:r>
      <w:r>
        <w:rPr>
          <w:rFonts w:hint="eastAsia" w:ascii="楷体_GB2312" w:hAnsi="楷体_GB2312" w:eastAsia="楷体_GB2312" w:cs="楷体_GB2312"/>
          <w:b w:val="0"/>
          <w:bCs w:val="0"/>
        </w:rPr>
        <w:fldChar w:fldCharType="begin"/>
      </w:r>
      <w:r>
        <w:rPr>
          <w:rFonts w:hint="eastAsia" w:ascii="楷体_GB2312" w:hAnsi="楷体_GB2312" w:eastAsia="楷体_GB2312" w:cs="楷体_GB2312"/>
          <w:b w:val="0"/>
          <w:bCs w:val="0"/>
        </w:rPr>
        <w:instrText xml:space="preserve"> HYPERLINK "https://www.so.com/link?m=bIfHwDEZX7uK4NW8E/ImUiPR69VaOzUTGgYSxruS8Ffmmla3HvgKqpS+owcW702jV+pHUAU9DvLnShAu9md8Tp+hRMOwv1dioO5uMDEIdGH0KYmNyo6hAc1wAkIGEjbABrXwS61u9wHSQvSfNa1K1hYI5zOD41UtF32/Q/4Z0hkuRvbytjSI1awR6vQduq6AJnegB6/+lGGyDuPCB0sbyS99ko3n4bWpn9GVxYJMwieWBzQgBR82FvY34TK60B46UF5pcfc3XSfB9PSQ/s4/pmaZru6VwzpGm6Tr+Lmwpnqx1K1Eo" \t "https://www.so.com/_blank" </w:instrText>
      </w:r>
      <w:r>
        <w:rPr>
          <w:rFonts w:hint="eastAsia" w:ascii="楷体_GB2312" w:hAnsi="楷体_GB2312" w:eastAsia="楷体_GB2312" w:cs="楷体_GB2312"/>
          <w:b w:val="0"/>
          <w:bCs w:val="0"/>
        </w:rPr>
        <w:fldChar w:fldCharType="separate"/>
      </w:r>
      <w:r>
        <w:rPr>
          <w:rFonts w:hint="eastAsia" w:ascii="楷体_GB2312" w:hAnsi="楷体_GB2312" w:eastAsia="楷体_GB2312" w:cs="楷体_GB2312"/>
          <w:b w:val="0"/>
          <w:bCs w:val="0"/>
        </w:rPr>
        <w:t>凝心聚力</w:t>
      </w: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rPr>
        <w:t>打造担当</w:t>
      </w:r>
      <w:r>
        <w:rPr>
          <w:rFonts w:hint="eastAsia" w:ascii="楷体_GB2312" w:hAnsi="楷体_GB2312" w:eastAsia="楷体_GB2312" w:cs="楷体_GB2312"/>
          <w:b w:val="0"/>
          <w:bCs w:val="0"/>
          <w:lang w:val="en-US" w:eastAsia="zh-CN"/>
        </w:rPr>
        <w:t>奉献</w:t>
      </w:r>
      <w:r>
        <w:rPr>
          <w:rFonts w:hint="eastAsia" w:ascii="楷体_GB2312" w:hAnsi="楷体_GB2312" w:eastAsia="楷体_GB2312" w:cs="楷体_GB2312"/>
          <w:b w:val="0"/>
          <w:bCs w:val="0"/>
        </w:rPr>
        <w:t>高素质干部队伍</w:t>
      </w:r>
      <w:r>
        <w:rPr>
          <w:rFonts w:hint="eastAsia" w:ascii="楷体_GB2312" w:hAnsi="楷体_GB2312" w:eastAsia="楷体_GB2312" w:cs="楷体_GB2312"/>
          <w:b w:val="0"/>
          <w:bCs w:val="0"/>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000000" w:themeColor="text1"/>
          <w:szCs w:val="32"/>
          <w:highlight w:val="none"/>
          <w:lang w:val="en-US" w:eastAsia="zh-CN"/>
        </w:rPr>
      </w:pPr>
      <w:r>
        <w:rPr>
          <w:rFonts w:hint="eastAsia" w:ascii="仿宋_GB2312" w:hAnsi="Times New Roman"/>
          <w:b/>
          <w:color w:val="000000" w:themeColor="text1"/>
          <w:szCs w:val="32"/>
        </w:rPr>
        <w:t>一是</w:t>
      </w:r>
      <w:r>
        <w:rPr>
          <w:rFonts w:hint="eastAsia" w:ascii="仿宋_GB2312" w:hAnsi="Times New Roman" w:cs="Times New Roman"/>
          <w:b/>
          <w:color w:val="000000" w:themeColor="text1"/>
          <w:szCs w:val="32"/>
        </w:rPr>
        <w:t>开展</w:t>
      </w:r>
      <w:r>
        <w:rPr>
          <w:rFonts w:hint="eastAsia" w:ascii="仿宋_GB2312"/>
          <w:b/>
          <w:color w:val="000000" w:themeColor="text1"/>
          <w:szCs w:val="32"/>
        </w:rPr>
        <w:t>干部价值提升年活动。</w:t>
      </w:r>
      <w:r>
        <w:rPr>
          <w:rFonts w:hint="eastAsia" w:ascii="仿宋_GB2312" w:hAnsi="Times New Roman"/>
          <w:color w:val="000000" w:themeColor="text1"/>
          <w:szCs w:val="32"/>
          <w:lang w:val="en-US" w:eastAsia="zh-CN"/>
        </w:rPr>
        <w:t>制定</w:t>
      </w:r>
      <w:r>
        <w:rPr>
          <w:rFonts w:hint="eastAsia" w:ascii="仿宋_GB2312" w:hAnsi="Times New Roman"/>
          <w:color w:val="000000" w:themeColor="text1"/>
          <w:szCs w:val="32"/>
        </w:rPr>
        <w:t>了《临淄生态环境分局“干部价值提升年”活动实施方案》，</w:t>
      </w:r>
      <w:r>
        <w:rPr>
          <w:rFonts w:hint="eastAsia" w:ascii="仿宋_GB2312"/>
          <w:color w:val="000000" w:themeColor="text1"/>
          <w:szCs w:val="32"/>
        </w:rPr>
        <w:t>开展旗手论坛5期、演讲比赛1次、业务大讲堂2次，凝聚</w:t>
      </w:r>
      <w:bookmarkStart w:id="0" w:name="_GoBack"/>
      <w:bookmarkEnd w:id="0"/>
      <w:r>
        <w:rPr>
          <w:rFonts w:hint="eastAsia" w:ascii="仿宋_GB2312"/>
          <w:color w:val="000000" w:themeColor="text1"/>
          <w:szCs w:val="32"/>
        </w:rPr>
        <w:t>了力量，提升了干部职工干事创业的信心。</w:t>
      </w:r>
      <w:r>
        <w:rPr>
          <w:rFonts w:hint="eastAsia" w:ascii="仿宋_GB2312"/>
          <w:color w:val="000000" w:themeColor="text1"/>
          <w:szCs w:val="32"/>
          <w:lang w:val="en-US" w:eastAsia="zh-CN"/>
        </w:rPr>
        <w:t>上半年，</w:t>
      </w:r>
      <w:r>
        <w:rPr>
          <w:rFonts w:hint="eastAsia" w:ascii="Times New Roman" w:hAnsi="Times New Roman"/>
          <w:color w:val="000000" w:themeColor="text1"/>
          <w:szCs w:val="32"/>
        </w:rPr>
        <w:t>吸收入党积极分子5名，确定发展对象6名，有4名年轻同志递交了入党申请书。80余名</w:t>
      </w:r>
      <w:r>
        <w:rPr>
          <w:rFonts w:hint="eastAsia" w:ascii="Times New Roman" w:hAnsi="Times New Roman"/>
          <w:color w:val="000000" w:themeColor="text1"/>
          <w:szCs w:val="32"/>
          <w:lang w:val="en-US" w:eastAsia="zh-CN"/>
        </w:rPr>
        <w:t>党员</w:t>
      </w:r>
      <w:r>
        <w:rPr>
          <w:rFonts w:hint="eastAsia" w:ascii="Times New Roman" w:hAnsi="Times New Roman"/>
          <w:color w:val="000000" w:themeColor="text1"/>
          <w:szCs w:val="32"/>
        </w:rPr>
        <w:t>干部</w:t>
      </w:r>
      <w:r>
        <w:rPr>
          <w:rFonts w:hint="eastAsia" w:ascii="Times New Roman" w:hAnsi="Times New Roman"/>
          <w:color w:val="000000" w:themeColor="text1"/>
          <w:szCs w:val="32"/>
          <w:lang w:val="en-US" w:eastAsia="zh-CN"/>
        </w:rPr>
        <w:t>主动请缨</w:t>
      </w:r>
      <w:r>
        <w:rPr>
          <w:rFonts w:hint="eastAsia" w:ascii="Times New Roman" w:hAnsi="Times New Roman"/>
          <w:color w:val="000000" w:themeColor="text1"/>
          <w:szCs w:val="32"/>
        </w:rPr>
        <w:t>参加疫情防控</w:t>
      </w:r>
      <w:r>
        <w:rPr>
          <w:rFonts w:hint="eastAsia" w:ascii="Times New Roman" w:hAnsi="Times New Roman"/>
          <w:color w:val="000000" w:themeColor="text1"/>
          <w:szCs w:val="32"/>
          <w:lang w:val="en-US" w:eastAsia="zh-CN"/>
        </w:rPr>
        <w:t>工作，体现了党员的担当</w:t>
      </w:r>
      <w:r>
        <w:rPr>
          <w:rFonts w:hint="eastAsia" w:ascii="Times New Roman" w:hAnsi="Times New Roman"/>
          <w:color w:val="000000" w:themeColor="text1"/>
          <w:szCs w:val="32"/>
          <w:lang w:eastAsia="zh-CN"/>
        </w:rPr>
        <w:t>。</w:t>
      </w:r>
      <w:r>
        <w:rPr>
          <w:rFonts w:hint="eastAsia" w:ascii="Times New Roman" w:hAnsi="Times New Roman"/>
          <w:color w:val="000000" w:themeColor="text1"/>
          <w:szCs w:val="32"/>
          <w:lang w:val="en-US" w:eastAsia="zh-CN"/>
        </w:rPr>
        <w:t>二</w:t>
      </w:r>
      <w:r>
        <w:rPr>
          <w:rFonts w:ascii="Times New Roman" w:hAnsi="Times New Roman" w:cs="Times New Roman"/>
          <w:b/>
          <w:color w:val="000000"/>
          <w:kern w:val="0"/>
          <w:szCs w:val="32"/>
        </w:rPr>
        <w:t>是</w:t>
      </w:r>
      <w:r>
        <w:rPr>
          <w:rFonts w:hint="eastAsia" w:ascii="Times New Roman" w:hAnsi="Times New Roman" w:cs="Times New Roman"/>
          <w:b/>
          <w:color w:val="000000"/>
          <w:kern w:val="0"/>
          <w:szCs w:val="32"/>
          <w:lang w:val="en-US" w:eastAsia="zh-CN"/>
        </w:rPr>
        <w:t>全员参与，开展</w:t>
      </w:r>
      <w:r>
        <w:rPr>
          <w:rFonts w:hint="eastAsia" w:ascii="仿宋_GB2312" w:hAnsi="仿宋_GB2312" w:cs="仿宋_GB2312"/>
          <w:b/>
          <w:color w:val="000000" w:themeColor="text1"/>
          <w:kern w:val="0"/>
          <w:szCs w:val="32"/>
        </w:rPr>
        <w:t>生态环境宣传</w:t>
      </w:r>
      <w:r>
        <w:rPr>
          <w:rFonts w:hint="eastAsia" w:ascii="仿宋_GB2312" w:hAnsi="仿宋_GB2312" w:cs="仿宋_GB2312"/>
          <w:b/>
          <w:color w:val="000000" w:themeColor="text1"/>
          <w:kern w:val="0"/>
          <w:szCs w:val="32"/>
          <w:lang w:val="en-US" w:eastAsia="zh-CN"/>
        </w:rPr>
        <w:t>教育</w:t>
      </w:r>
      <w:r>
        <w:rPr>
          <w:rFonts w:hint="eastAsia" w:ascii="仿宋_GB2312" w:hAnsi="仿宋_GB2312" w:cs="仿宋_GB2312"/>
          <w:b/>
          <w:color w:val="000000" w:themeColor="text1"/>
          <w:kern w:val="0"/>
          <w:szCs w:val="32"/>
        </w:rPr>
        <w:t>。</w:t>
      </w:r>
      <w:r>
        <w:rPr>
          <w:rFonts w:hint="eastAsia" w:ascii="仿宋_GB2312" w:hAnsi="仿宋_GB2312" w:cs="仿宋_GB2312"/>
          <w:color w:val="000000" w:themeColor="text1"/>
          <w:kern w:val="0"/>
          <w:szCs w:val="32"/>
        </w:rPr>
        <w:t>利用“六五”世界环境宣传日、绿色环保志愿服务等活动，积极宣传绿色环保理念，助力生态文明建设。</w:t>
      </w:r>
      <w:r>
        <w:rPr>
          <w:rFonts w:ascii="Times New Roman" w:hAnsi="Times New Roman" w:cs="Times New Roman"/>
          <w:color w:val="000000" w:themeColor="text1"/>
          <w:szCs w:val="32"/>
        </w:rPr>
        <w:t>在国家级媒体</w:t>
      </w:r>
      <w:r>
        <w:rPr>
          <w:rFonts w:hint="eastAsia" w:ascii="仿宋_GB2312" w:hAnsi="仿宋_GB2312" w:cs="仿宋_GB2312"/>
          <w:color w:val="000000" w:themeColor="text1"/>
          <w:kern w:val="0"/>
          <w:szCs w:val="32"/>
        </w:rPr>
        <w:t>发表文章6篇，在微信、微博、抖</w:t>
      </w:r>
      <w:r>
        <w:rPr>
          <w:rFonts w:ascii="Times New Roman" w:hAnsi="Times New Roman" w:cs="Times New Roman"/>
          <w:color w:val="000000" w:themeColor="text1"/>
          <w:szCs w:val="32"/>
        </w:rPr>
        <w:t>音、今日头条等新媒体平台发布信息2750篇（条）</w:t>
      </w:r>
      <w:r>
        <w:rPr>
          <w:rFonts w:hint="eastAsia" w:ascii="Times New Roman" w:hAnsi="Times New Roman" w:cs="Times New Roman"/>
          <w:color w:val="000000" w:themeColor="text1"/>
          <w:szCs w:val="32"/>
          <w:lang w:eastAsia="zh-CN"/>
        </w:rPr>
        <w:t>，</w:t>
      </w:r>
      <w:r>
        <w:rPr>
          <w:rFonts w:hint="eastAsia" w:ascii="Times New Roman" w:hAnsi="Times New Roman" w:cs="Times New Roman"/>
          <w:color w:val="000000" w:themeColor="text1"/>
          <w:szCs w:val="32"/>
          <w:lang w:val="en-US" w:eastAsia="zh-CN"/>
        </w:rPr>
        <w:t>生态环境部政务信息采用7篇，在全市排名第一</w:t>
      </w:r>
      <w:r>
        <w:rPr>
          <w:rFonts w:ascii="Times New Roman" w:hAnsi="Times New Roman" w:cs="Times New Roman"/>
          <w:color w:val="000000" w:themeColor="text1"/>
          <w:szCs w:val="32"/>
        </w:rPr>
        <w:t>。</w:t>
      </w:r>
      <w:r>
        <w:rPr>
          <w:rFonts w:hint="eastAsia" w:ascii="Times New Roman" w:hAnsi="Times New Roman" w:cs="Times New Roman"/>
          <w:color w:val="000000" w:themeColor="text1"/>
          <w:szCs w:val="32"/>
          <w:lang w:val="en-US" w:eastAsia="zh-CN"/>
        </w:rPr>
        <w:t>三</w:t>
      </w:r>
      <w:r>
        <w:rPr>
          <w:rFonts w:hint="eastAsia" w:ascii="仿宋_GB2312" w:hAnsi="仿宋_GB2312" w:cs="仿宋_GB2312"/>
          <w:b/>
          <w:bCs/>
          <w:szCs w:val="32"/>
        </w:rPr>
        <w:t>是</w:t>
      </w:r>
      <w:r>
        <w:rPr>
          <w:rFonts w:hint="eastAsia" w:ascii="仿宋_GB2312" w:hAnsi="仿宋_GB2312" w:cs="仿宋_GB2312"/>
          <w:b/>
          <w:bCs/>
          <w:szCs w:val="32"/>
          <w:lang w:val="en-US" w:eastAsia="zh-CN"/>
        </w:rPr>
        <w:t>聚焦信访和舆情处置，</w:t>
      </w:r>
      <w:r>
        <w:rPr>
          <w:rFonts w:hint="eastAsia" w:ascii="仿宋_GB2312" w:hAnsi="仿宋_GB2312" w:cs="仿宋_GB2312"/>
          <w:b/>
          <w:bCs/>
          <w:szCs w:val="32"/>
        </w:rPr>
        <w:t>提升群众满意度。</w:t>
      </w:r>
      <w:r>
        <w:rPr>
          <w:rFonts w:hint="eastAsia" w:ascii="仿宋_GB2312" w:hAnsi="仿宋_GB2312" w:cs="仿宋_GB2312"/>
          <w:bCs/>
          <w:szCs w:val="32"/>
        </w:rPr>
        <w:t>上半年</w:t>
      </w:r>
      <w:r>
        <w:rPr>
          <w:rFonts w:hint="eastAsia" w:ascii="仿宋_GB2312" w:hAnsi="仿宋_GB2312" w:cs="仿宋_GB2312"/>
          <w:color w:val="000000" w:themeColor="text1"/>
          <w:kern w:val="0"/>
          <w:szCs w:val="32"/>
        </w:rPr>
        <w:t>办理</w:t>
      </w:r>
      <w:r>
        <w:rPr>
          <w:rFonts w:hint="eastAsia" w:ascii="仿宋_GB2312" w:hAnsi="仿宋_GB2312" w:cs="仿宋_GB2312"/>
          <w:color w:val="000000" w:themeColor="text1"/>
          <w:szCs w:val="32"/>
        </w:rPr>
        <w:t>环境信访投诉420件，</w:t>
      </w:r>
      <w:r>
        <w:rPr>
          <w:rFonts w:hint="eastAsia" w:ascii="仿宋_GB2312" w:hAnsi="仿宋_GB2312" w:cs="仿宋_GB2312"/>
          <w:color w:val="000000" w:themeColor="text1"/>
          <w:szCs w:val="32"/>
          <w:lang w:val="en-US" w:eastAsia="zh-CN"/>
        </w:rPr>
        <w:t>较</w:t>
      </w:r>
      <w:r>
        <w:rPr>
          <w:rFonts w:hint="eastAsia" w:ascii="仿宋_GB2312" w:hAnsi="仿宋_GB2312" w:cs="仿宋_GB2312"/>
          <w:color w:val="000000" w:themeColor="text1"/>
          <w:szCs w:val="32"/>
        </w:rPr>
        <w:t>去年同期减少121件，</w:t>
      </w:r>
      <w:r>
        <w:rPr>
          <w:rFonts w:hint="eastAsia" w:ascii="仿宋_GB2312" w:hAnsi="仿宋_GB2312" w:cs="仿宋_GB2312"/>
          <w:color w:val="000000" w:themeColor="text1"/>
          <w:szCs w:val="32"/>
          <w:lang w:val="en-US" w:eastAsia="zh-CN"/>
        </w:rPr>
        <w:t>办结率100</w:t>
      </w:r>
      <w:r>
        <w:rPr>
          <w:rFonts w:hint="eastAsia" w:ascii="仿宋_GB2312" w:hAnsi="仿宋_GB2312" w:eastAsia="仿宋_GB2312" w:cs="仿宋_GB2312"/>
          <w:color w:val="000000"/>
          <w:kern w:val="0"/>
          <w:szCs w:val="32"/>
        </w:rPr>
        <w:t>%</w:t>
      </w:r>
      <w:r>
        <w:rPr>
          <w:rFonts w:hint="eastAsia" w:ascii="仿宋_GB2312" w:hAnsi="仿宋_GB2312" w:cs="仿宋_GB2312"/>
          <w:color w:val="000000"/>
          <w:kern w:val="0"/>
          <w:szCs w:val="32"/>
          <w:lang w:eastAsia="zh-CN"/>
        </w:rPr>
        <w:t>；</w:t>
      </w:r>
      <w:r>
        <w:rPr>
          <w:rFonts w:hint="eastAsia" w:ascii="仿宋_GB2312" w:hAnsi="仿宋_GB2312" w:eastAsia="仿宋_GB2312" w:cs="仿宋_GB2312"/>
          <w:color w:val="000000" w:themeColor="text1"/>
          <w:szCs w:val="32"/>
        </w:rPr>
        <w:t>监控处理网络舆情26起，处置率100%。</w:t>
      </w:r>
      <w:r>
        <w:rPr>
          <w:rFonts w:hint="eastAsia" w:ascii="仿宋_GB2312" w:hAnsi="仿宋_GB2312" w:cs="仿宋_GB2312"/>
          <w:b/>
          <w:bCs/>
          <w:color w:val="000000" w:themeColor="text1"/>
          <w:szCs w:val="32"/>
          <w:highlight w:val="none"/>
          <w:lang w:val="en-US" w:eastAsia="zh-CN"/>
        </w:rPr>
        <w:t>四</w:t>
      </w:r>
      <w:r>
        <w:rPr>
          <w:rFonts w:hint="eastAsia" w:ascii="仿宋_GB2312" w:hAnsi="仿宋_GB2312" w:eastAsia="仿宋_GB2312" w:cs="仿宋_GB2312"/>
          <w:b/>
          <w:bCs/>
          <w:sz w:val="32"/>
          <w:szCs w:val="32"/>
          <w:highlight w:val="none"/>
          <w:lang w:val="en-US" w:eastAsia="zh-CN"/>
        </w:rPr>
        <w:t>是</w:t>
      </w:r>
      <w:r>
        <w:rPr>
          <w:rFonts w:hint="eastAsia" w:ascii="仿宋_GB2312" w:hAnsi="仿宋_GB2312" w:eastAsia="仿宋_GB2312" w:cs="仿宋_GB2312"/>
          <w:b/>
          <w:bCs/>
          <w:sz w:val="32"/>
          <w:szCs w:val="32"/>
          <w:highlight w:val="none"/>
        </w:rPr>
        <w:t>提高站位，主动配合做好</w:t>
      </w:r>
      <w:r>
        <w:rPr>
          <w:rFonts w:hint="eastAsia" w:ascii="仿宋_GB2312" w:hAnsi="仿宋_GB2312" w:cs="仿宋_GB2312"/>
          <w:b/>
          <w:bCs/>
          <w:sz w:val="32"/>
          <w:szCs w:val="32"/>
          <w:highlight w:val="none"/>
          <w:lang w:val="en-US" w:eastAsia="zh-CN"/>
        </w:rPr>
        <w:t>巡视审计工作</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cs="仿宋_GB2312"/>
          <w:b w:val="0"/>
          <w:bCs w:val="0"/>
          <w:sz w:val="32"/>
          <w:szCs w:val="32"/>
          <w:highlight w:val="none"/>
          <w:lang w:val="en-US" w:eastAsia="zh-CN"/>
        </w:rPr>
        <w:t>讲政治、讲党性、讲奉献、讲党性，相关科室不管深更半夜，或是大雨倾盆，加班加点按照上级要求，准备材料，按时完成上报，体现了铁军风采，截止目前已完成了 次材料的上报工作。</w:t>
      </w:r>
      <w:r>
        <w:rPr>
          <w:rFonts w:hint="eastAsia" w:ascii="仿宋_GB2312" w:hAnsi="仿宋_GB2312" w:eastAsia="仿宋_GB2312" w:cs="仿宋_GB2312"/>
          <w:i w:val="0"/>
          <w:caps w:val="0"/>
          <w:color w:val="191919"/>
          <w:spacing w:val="0"/>
          <w:sz w:val="32"/>
          <w:szCs w:val="32"/>
          <w:highlight w:val="none"/>
          <w:shd w:val="clear" w:fill="FFFFFF"/>
        </w:rPr>
        <w:t>坚持问题导向</w:t>
      </w:r>
      <w:r>
        <w:rPr>
          <w:rFonts w:hint="eastAsia" w:ascii="仿宋_GB2312" w:hAnsi="仿宋_GB2312" w:eastAsia="仿宋_GB2312" w:cs="仿宋_GB2312"/>
          <w:sz w:val="32"/>
          <w:szCs w:val="32"/>
          <w:highlight w:val="none"/>
        </w:rPr>
        <w:t>，强化措施，积极主动配合做好巡察工作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完成了</w:t>
      </w:r>
      <w:r>
        <w:rPr>
          <w:rFonts w:hint="eastAsia" w:ascii="仿宋_GB2312" w:hAnsi="仿宋_GB2312" w:cs="仿宋_GB2312"/>
          <w:sz w:val="32"/>
          <w:szCs w:val="32"/>
          <w:highlight w:val="none"/>
          <w:lang w:val="en-US" w:eastAsia="zh-CN"/>
        </w:rPr>
        <w:t>8</w:t>
      </w:r>
      <w:r>
        <w:rPr>
          <w:rFonts w:hint="eastAsia" w:ascii="仿宋_GB2312" w:hAnsi="仿宋_GB2312" w:eastAsia="仿宋_GB2312" w:cs="仿宋_GB2312"/>
          <w:sz w:val="32"/>
          <w:szCs w:val="32"/>
          <w:highlight w:val="none"/>
          <w:lang w:val="en-US" w:eastAsia="zh-CN"/>
        </w:rPr>
        <w:t>次</w:t>
      </w:r>
      <w:r>
        <w:rPr>
          <w:rFonts w:hint="eastAsia" w:ascii="仿宋_GB2312" w:hAnsi="仿宋_GB2312" w:cs="仿宋_GB2312"/>
          <w:sz w:val="32"/>
          <w:szCs w:val="32"/>
          <w:highlight w:val="none"/>
          <w:lang w:val="en-US" w:eastAsia="zh-CN"/>
        </w:rPr>
        <w:t>69项</w:t>
      </w:r>
      <w:r>
        <w:rPr>
          <w:rFonts w:hint="eastAsia" w:ascii="仿宋_GB2312" w:hAnsi="仿宋_GB2312" w:eastAsia="仿宋_GB2312" w:cs="仿宋_GB2312"/>
          <w:sz w:val="32"/>
          <w:szCs w:val="32"/>
          <w:highlight w:val="none"/>
          <w:lang w:val="en-US" w:eastAsia="zh-CN"/>
        </w:rPr>
        <w:t>材料的调阅</w:t>
      </w:r>
      <w:r>
        <w:rPr>
          <w:rFonts w:hint="eastAsia" w:ascii="仿宋_GB2312" w:hAnsi="仿宋_GB2312" w:cs="仿宋_GB2312"/>
          <w:sz w:val="32"/>
          <w:szCs w:val="32"/>
          <w:highlight w:val="none"/>
          <w:lang w:val="en-US" w:eastAsia="zh-CN"/>
        </w:rPr>
        <w:t>和准备</w:t>
      </w:r>
      <w:r>
        <w:rPr>
          <w:rFonts w:hint="eastAsia" w:ascii="仿宋_GB2312" w:hAnsi="仿宋_GB2312" w:eastAsia="仿宋_GB2312" w:cs="仿宋_GB2312"/>
          <w:sz w:val="32"/>
          <w:szCs w:val="32"/>
          <w:highlight w:val="none"/>
          <w:lang w:val="en-US" w:eastAsia="zh-CN"/>
        </w:rPr>
        <w:t>工作</w:t>
      </w:r>
      <w:r>
        <w:rPr>
          <w:rFonts w:hint="eastAsia" w:ascii="仿宋_GB2312" w:hAnsi="仿宋_GB2312" w:cs="仿宋_GB2312"/>
          <w:sz w:val="32"/>
          <w:szCs w:val="32"/>
          <w:highlight w:val="none"/>
          <w:lang w:val="en-US" w:eastAsia="zh-CN"/>
        </w:rPr>
        <w:t>。</w:t>
      </w:r>
    </w:p>
    <w:p>
      <w:pPr>
        <w:spacing w:line="600" w:lineRule="exact"/>
        <w:ind w:firstLine="640" w:firstLineChars="200"/>
        <w:rPr>
          <w:rFonts w:ascii="黑体" w:hAnsi="黑体" w:eastAsia="黑体" w:cs="黑体"/>
          <w:kern w:val="0"/>
          <w:szCs w:val="32"/>
        </w:rPr>
      </w:pPr>
      <w:r>
        <w:rPr>
          <w:rFonts w:hint="eastAsia" w:ascii="黑体" w:hAnsi="黑体" w:eastAsia="黑体" w:cs="黑体"/>
          <w:kern w:val="0"/>
          <w:szCs w:val="32"/>
        </w:rPr>
        <w:t>三、存在的问题</w:t>
      </w:r>
    </w:p>
    <w:p>
      <w:pPr>
        <w:spacing w:line="600" w:lineRule="exact"/>
        <w:ind w:firstLine="640"/>
        <w:rPr>
          <w:rFonts w:ascii="仿宋_GB2312" w:hAnsi="仿宋_GB2312" w:cs="仿宋_GB2312"/>
          <w:szCs w:val="32"/>
        </w:rPr>
      </w:pPr>
      <w:r>
        <w:rPr>
          <w:rFonts w:hint="eastAsia" w:ascii="楷体_GB2312" w:eastAsia="楷体_GB2312"/>
          <w:szCs w:val="32"/>
        </w:rPr>
        <w:t>（一）环保督察问题及交办信访件整改问题推进缓慢。</w:t>
      </w:r>
      <w:r>
        <w:rPr>
          <w:rFonts w:hint="eastAsia" w:ascii="仿宋_GB2312"/>
          <w:szCs w:val="32"/>
        </w:rPr>
        <w:t>“两区”拆迁的</w:t>
      </w:r>
      <w:r>
        <w:rPr>
          <w:rFonts w:hint="eastAsia" w:ascii="仿宋_GB2312" w:hAnsi="仿宋_GB2312" w:cs="仿宋_GB2312"/>
          <w:szCs w:val="32"/>
        </w:rPr>
        <w:t>个别企业依然心存侥幸，关停决心不坚定，投入不足，新项目建设缓慢；个别问题整改需要投入的资金规模大，镇办、部门信心动力不足。</w:t>
      </w:r>
    </w:p>
    <w:p>
      <w:pPr>
        <w:spacing w:line="600" w:lineRule="exact"/>
        <w:ind w:firstLine="640" w:firstLineChars="200"/>
        <w:rPr>
          <w:rFonts w:ascii="仿宋_GB2312"/>
          <w:szCs w:val="32"/>
        </w:rPr>
      </w:pPr>
      <w:r>
        <w:rPr>
          <w:rFonts w:hint="eastAsia" w:ascii="楷体_GB2312" w:eastAsia="楷体_GB2312"/>
          <w:szCs w:val="32"/>
        </w:rPr>
        <w:t>（二）大气综合指数排名靠后</w:t>
      </w:r>
      <w:r>
        <w:rPr>
          <w:rFonts w:hint="eastAsia" w:ascii="仿宋_GB2312"/>
          <w:szCs w:val="32"/>
        </w:rPr>
        <w:t>。主要原因是受区域产业结构重、化工产业体量大、污染物排放总量较大影响；另外，大气污染防治措施还不够精细，企业主体责任还没有完全压实，也是重要因素。</w:t>
      </w:r>
    </w:p>
    <w:p>
      <w:pPr>
        <w:widowControl/>
        <w:spacing w:line="600" w:lineRule="exact"/>
        <w:ind w:firstLine="640" w:firstLineChars="200"/>
        <w:rPr>
          <w:rFonts w:ascii="仿宋_GB2312"/>
          <w:szCs w:val="32"/>
        </w:rPr>
      </w:pPr>
      <w:r>
        <w:rPr>
          <w:rFonts w:hint="eastAsia" w:ascii="楷体_GB2312" w:eastAsia="楷体_GB2312"/>
          <w:szCs w:val="32"/>
        </w:rPr>
        <w:t>（三）</w:t>
      </w:r>
      <w:r>
        <w:rPr>
          <w:rFonts w:hint="eastAsia" w:ascii="楷体_GB2312" w:hAnsi="仿宋" w:eastAsia="楷体_GB2312" w:cs="楷体_GB2312"/>
          <w:color w:val="313131"/>
          <w:szCs w:val="32"/>
        </w:rPr>
        <w:t>水污染治理能力基础薄弱。</w:t>
      </w:r>
      <w:r>
        <w:rPr>
          <w:rFonts w:hint="eastAsia" w:ascii="仿宋_GB2312" w:hAnsi="仿宋" w:cs="楷体_GB2312"/>
          <w:color w:val="313131"/>
          <w:szCs w:val="32"/>
        </w:rPr>
        <w:t>一</w:t>
      </w:r>
      <w:r>
        <w:rPr>
          <w:rFonts w:hint="eastAsia" w:ascii="仿宋_GB2312"/>
          <w:szCs w:val="32"/>
        </w:rPr>
        <w:t>是雨污分流不完善，雨季污水溢流至乌河，影响水质。二是齐城污水处理厂运行管理有待提升，一期西系列长时间停运不维护，臭氧装置还未建成。三是齐鲁化工区未配套建设污水处理厂，大量的工业污水进入齐城污水处理厂处理，给齐城污水处理稳定运行带来压力。</w:t>
      </w:r>
    </w:p>
    <w:p>
      <w:pPr>
        <w:widowControl/>
        <w:spacing w:line="600" w:lineRule="exact"/>
        <w:ind w:firstLine="640" w:firstLineChars="200"/>
        <w:rPr>
          <w:rFonts w:ascii="仿宋_GB2312"/>
          <w:szCs w:val="32"/>
        </w:rPr>
      </w:pPr>
      <w:r>
        <w:rPr>
          <w:rFonts w:hint="eastAsia" w:ascii="楷体_GB2312" w:eastAsia="楷体_GB2312"/>
          <w:szCs w:val="32"/>
        </w:rPr>
        <w:t>（四）历史遗留的固废填埋点位清理进展较慢。</w:t>
      </w:r>
      <w:r>
        <w:rPr>
          <w:rFonts w:hint="eastAsia" w:ascii="仿宋_GB2312"/>
          <w:szCs w:val="32"/>
        </w:rPr>
        <w:t>9处历史遗留填埋点，有的历史遗留点位由于年代久远，已无法进行溯源，找不到责任人；有的遗留点位固体废物成分特性复杂，固体废物堆存数量大、整治周期长，增加了处置的难度和处置成本。</w:t>
      </w:r>
    </w:p>
    <w:p>
      <w:pPr>
        <w:widowControl/>
        <w:spacing w:line="600" w:lineRule="exact"/>
        <w:ind w:firstLine="640" w:firstLineChars="200"/>
        <w:rPr>
          <w:rFonts w:ascii="Times New Roman" w:hAnsi="Times New Roman"/>
          <w:color w:val="000000"/>
          <w:szCs w:val="32"/>
        </w:rPr>
      </w:pPr>
      <w:r>
        <w:rPr>
          <w:rFonts w:hint="eastAsia" w:ascii="楷体_GB2312" w:hAnsi="Times New Roman" w:eastAsia="楷体_GB2312"/>
          <w:color w:val="000000"/>
          <w:szCs w:val="32"/>
        </w:rPr>
        <w:t>（五）全员环保工作有待提高。</w:t>
      </w:r>
      <w:r>
        <w:rPr>
          <w:rFonts w:hint="eastAsia" w:ascii="Times New Roman" w:hAnsi="Times New Roman"/>
          <w:color w:val="000000"/>
          <w:szCs w:val="32"/>
        </w:rPr>
        <w:t>一方面是</w:t>
      </w:r>
      <w:r>
        <w:rPr>
          <w:rFonts w:ascii="Times New Roman" w:hAnsi="Times New Roman"/>
          <w:color w:val="000000"/>
          <w:szCs w:val="32"/>
        </w:rPr>
        <w:t>部门、镇办监管力度不够，主动性差，</w:t>
      </w:r>
      <w:r>
        <w:rPr>
          <w:rFonts w:hint="eastAsia" w:ascii="Times New Roman" w:hAnsi="Times New Roman"/>
          <w:color w:val="000000"/>
          <w:szCs w:val="32"/>
        </w:rPr>
        <w:t>监管</w:t>
      </w:r>
      <w:r>
        <w:rPr>
          <w:rFonts w:ascii="Times New Roman" w:hAnsi="Times New Roman"/>
          <w:color w:val="000000"/>
          <w:szCs w:val="32"/>
        </w:rPr>
        <w:t>没有形成强大合力。</w:t>
      </w:r>
      <w:r>
        <w:rPr>
          <w:rFonts w:hint="eastAsia" w:ascii="Times New Roman" w:hAnsi="Times New Roman"/>
          <w:color w:val="000000"/>
          <w:szCs w:val="32"/>
        </w:rPr>
        <w:t>另一方面是</w:t>
      </w:r>
      <w:r>
        <w:rPr>
          <w:rFonts w:ascii="Times New Roman" w:hAnsi="Times New Roman"/>
          <w:color w:val="000000"/>
          <w:szCs w:val="32"/>
        </w:rPr>
        <w:t>企业主体责任落实不到位</w:t>
      </w:r>
      <w:r>
        <w:rPr>
          <w:rFonts w:hint="eastAsia" w:ascii="Times New Roman" w:hAnsi="Times New Roman"/>
          <w:color w:val="000000"/>
          <w:szCs w:val="32"/>
        </w:rPr>
        <w:t>，</w:t>
      </w:r>
      <w:r>
        <w:rPr>
          <w:rFonts w:ascii="Times New Roman" w:hAnsi="Times New Roman"/>
          <w:color w:val="000000"/>
          <w:szCs w:val="32"/>
        </w:rPr>
        <w:t>存在应付思想</w:t>
      </w:r>
      <w:r>
        <w:rPr>
          <w:rFonts w:hint="eastAsia" w:ascii="Times New Roman" w:hAnsi="Times New Roman"/>
          <w:color w:val="000000"/>
          <w:szCs w:val="32"/>
        </w:rPr>
        <w:t>、</w:t>
      </w:r>
      <w:r>
        <w:rPr>
          <w:rFonts w:ascii="Times New Roman" w:hAnsi="Times New Roman"/>
          <w:color w:val="000000"/>
          <w:szCs w:val="32"/>
        </w:rPr>
        <w:t>侥幸心理。</w:t>
      </w:r>
    </w:p>
    <w:p>
      <w:pPr>
        <w:overflowPunct w:val="0"/>
        <w:autoSpaceDE w:val="0"/>
        <w:autoSpaceDN w:val="0"/>
        <w:spacing w:line="600" w:lineRule="exact"/>
        <w:ind w:firstLine="640" w:firstLineChars="200"/>
        <w:rPr>
          <w:rFonts w:ascii="仿宋_GB2312" w:hAnsi="仿宋_GB2312" w:cs="仿宋_GB2312"/>
          <w:kern w:val="0"/>
          <w:szCs w:val="32"/>
        </w:rPr>
      </w:pPr>
      <w:r>
        <w:rPr>
          <w:rFonts w:hint="eastAsia" w:ascii="黑体" w:hAnsi="黑体" w:eastAsia="黑体" w:cs="黑体"/>
          <w:kern w:val="0"/>
          <w:szCs w:val="32"/>
        </w:rPr>
        <w:t>四、下半年工作打算</w:t>
      </w:r>
    </w:p>
    <w:p>
      <w:pPr>
        <w:pStyle w:val="8"/>
        <w:overflowPunct w:val="0"/>
        <w:autoSpaceDE w:val="0"/>
        <w:autoSpaceDN w:val="0"/>
        <w:spacing w:beforeAutospacing="0" w:afterAutospacing="0" w:line="600" w:lineRule="exact"/>
        <w:ind w:firstLine="640" w:firstLineChars="200"/>
        <w:jc w:val="both"/>
        <w:rPr>
          <w:rFonts w:ascii="仿宋_GB2312" w:hAnsi="仿宋_GB2312" w:cs="仿宋_GB2312"/>
          <w:color w:val="000000" w:themeColor="text1"/>
          <w:sz w:val="32"/>
          <w:szCs w:val="32"/>
        </w:rPr>
      </w:pPr>
      <w:r>
        <w:rPr>
          <w:rFonts w:hint="eastAsia" w:ascii="仿宋_GB2312" w:hAnsi="仿宋_GB2312" w:cs="仿宋_GB2312"/>
          <w:color w:val="000000" w:themeColor="text1"/>
          <w:sz w:val="32"/>
          <w:szCs w:val="32"/>
        </w:rPr>
        <w:t>为确保全年生态环境保护目标顺利实现，2022年下半年，全局上下要紧紧围绕“两摆脱、两提升”这个核心目标，以铁的决心、铁的手腕、铁的措施，扛牢生态环境保护责任，坚决打赢污染防治攻坚战。</w:t>
      </w:r>
    </w:p>
    <w:p>
      <w:pPr>
        <w:pStyle w:val="14"/>
        <w:numPr>
          <w:ilvl w:val="0"/>
          <w:numId w:val="2"/>
        </w:numPr>
        <w:overflowPunct w:val="0"/>
        <w:autoSpaceDE w:val="0"/>
        <w:autoSpaceDN w:val="0"/>
        <w:spacing w:line="600" w:lineRule="exact"/>
        <w:ind w:firstLineChars="0"/>
        <w:rPr>
          <w:rFonts w:ascii="Times New Roman" w:hAnsi="Times New Roman" w:eastAsia="楷体_GB2312"/>
          <w:szCs w:val="32"/>
        </w:rPr>
      </w:pPr>
      <w:r>
        <w:rPr>
          <w:rFonts w:hint="eastAsia" w:ascii="Times New Roman" w:hAnsi="Times New Roman" w:eastAsia="楷体_GB2312"/>
          <w:szCs w:val="32"/>
        </w:rPr>
        <w:t>从严从实抓好各级环保督察问题整改</w:t>
      </w:r>
    </w:p>
    <w:p>
      <w:pPr>
        <w:overflowPunct w:val="0"/>
        <w:autoSpaceDE w:val="0"/>
        <w:autoSpaceDN w:val="0"/>
        <w:spacing w:line="600" w:lineRule="exact"/>
        <w:ind w:firstLine="640" w:firstLineChars="200"/>
        <w:rPr>
          <w:rFonts w:ascii="仿宋_GB2312" w:hAnsi="仿宋_GB2312" w:cs="仿宋_GB2312"/>
          <w:szCs w:val="32"/>
        </w:rPr>
      </w:pPr>
      <w:r>
        <w:rPr>
          <w:rFonts w:hint="eastAsia" w:ascii="仿宋_GB2312" w:hAnsi="仿宋_GB2312" w:cs="仿宋_GB2312"/>
          <w:kern w:val="0"/>
          <w:szCs w:val="32"/>
        </w:rPr>
        <w:t>进一步加强对反馈问题和信访件的督办力度，联合区大督查办对有关部门、镇办进行督办。</w:t>
      </w:r>
      <w:r>
        <w:rPr>
          <w:rFonts w:hint="eastAsia" w:ascii="仿宋_GB2312" w:hAnsi="仿宋_GB2312" w:cs="仿宋_GB2312"/>
          <w:szCs w:val="32"/>
        </w:rPr>
        <w:t>对照反馈问题和信访件，举一反三，组织镇办对容易死灰复燃的问题进行有针对性的抽查复查。</w:t>
      </w:r>
      <w:r>
        <w:rPr>
          <w:rFonts w:hint="eastAsia" w:ascii="Times New Roman" w:hAnsi="Times New Roman" w:cs="Times New Roman"/>
          <w:szCs w:val="32"/>
        </w:rPr>
        <w:t>对“两区”企业搬迁、遗留固废点位整治、工业炉窑治理等进展缓慢问题，采用“盯上抓、靠上管”的态度，</w:t>
      </w:r>
      <w:r>
        <w:rPr>
          <w:rFonts w:hint="eastAsia" w:ascii="仿宋_GB2312" w:hAnsi="仿宋_GB2312" w:cs="仿宋_GB2312"/>
          <w:szCs w:val="32"/>
        </w:rPr>
        <w:t>化解畏难心态，推动问题整改。</w:t>
      </w:r>
    </w:p>
    <w:p>
      <w:pPr>
        <w:overflowPunct w:val="0"/>
        <w:autoSpaceDE w:val="0"/>
        <w:autoSpaceDN w:val="0"/>
        <w:spacing w:line="600" w:lineRule="exact"/>
        <w:ind w:firstLine="640" w:firstLineChars="200"/>
        <w:rPr>
          <w:rFonts w:ascii="楷体_GB2312" w:hAnsi="楷体_GB2312" w:eastAsia="楷体_GB2312" w:cs="楷体_GB2312"/>
          <w:szCs w:val="32"/>
        </w:rPr>
      </w:pPr>
      <w:r>
        <w:rPr>
          <w:rFonts w:hint="eastAsia" w:ascii="楷体_GB2312" w:hAnsi="楷体_GB2312" w:eastAsia="楷体_GB2312" w:cs="楷体_GB2312"/>
          <w:szCs w:val="32"/>
        </w:rPr>
        <w:t>（二）坚决打好生态环境质量改善攻坚战</w:t>
      </w:r>
    </w:p>
    <w:p>
      <w:pPr>
        <w:overflowPunct w:val="0"/>
        <w:autoSpaceDE w:val="0"/>
        <w:autoSpaceDN w:val="0"/>
        <w:spacing w:line="600" w:lineRule="exact"/>
        <w:ind w:firstLine="803" w:firstLineChars="250"/>
        <w:rPr>
          <w:rFonts w:ascii="仿宋_GB2312" w:hAnsi="Times New Roman"/>
          <w:color w:val="000000"/>
          <w:szCs w:val="32"/>
        </w:rPr>
      </w:pPr>
      <w:r>
        <w:rPr>
          <w:rFonts w:hint="eastAsia" w:ascii="仿宋_GB2312" w:hAnsi="Times New Roman"/>
          <w:b/>
          <w:color w:val="000000"/>
          <w:szCs w:val="32"/>
        </w:rPr>
        <w:t>大气管控方面。</w:t>
      </w:r>
      <w:r>
        <w:rPr>
          <w:rFonts w:hint="eastAsia" w:ascii="仿宋_GB2312" w:hAnsi="Times New Roman"/>
          <w:color w:val="000000"/>
          <w:szCs w:val="32"/>
        </w:rPr>
        <w:t>一是持续开展臭氧管控工作。针对夏季臭氧污染突出问题，加大工业企业监管力度，组织企业编制“一企一策”方案，加快低挥发性原辅材料替代，深化泄漏检测与修复工作。开展常态化巡查检查，增加人员和检查频次，做到管控措施全面落实到位，确保夏季臭氧污染得到有效控制。二是严控站点周边扬尘污染。落实《临淄区2022年重点区域扬尘管控保障工作方案》要求，组织各镇、街道，各有关部门开展扬尘整治工作。以站点为中心，2公里范围内的重点道路、背街小巷以及小区院落、公园道路绿化区等区域，实施湿式保洁作业全覆盖，做到道路无尘土、树穴无裸土、路沿石无积尘、雨水沟渠排口畅通干净。三是紧盯环保治理工程建设。以项目为抓手，加大高效污染治理设施建设进度，用工程减排推进污染物排放降低。借助中央大气污染防治资金申报的有利时机，鼓励有治理意向的企业采取高效治理设施，努力实现深度减排。</w:t>
      </w:r>
    </w:p>
    <w:p>
      <w:pPr>
        <w:overflowPunct w:val="0"/>
        <w:autoSpaceDE w:val="0"/>
        <w:autoSpaceDN w:val="0"/>
        <w:spacing w:line="600" w:lineRule="exact"/>
        <w:ind w:firstLine="803" w:firstLineChars="250"/>
        <w:rPr>
          <w:rFonts w:ascii="仿宋_GB2312" w:hAnsi="Times New Roman"/>
          <w:color w:val="000000"/>
          <w:szCs w:val="32"/>
        </w:rPr>
      </w:pPr>
      <w:r>
        <w:rPr>
          <w:rFonts w:hint="eastAsia" w:ascii="仿宋_GB2312" w:hAnsi="Times New Roman"/>
          <w:b/>
          <w:color w:val="000000"/>
          <w:szCs w:val="32"/>
        </w:rPr>
        <w:t>水环境治理方面。</w:t>
      </w:r>
      <w:r>
        <w:rPr>
          <w:rFonts w:hint="eastAsia" w:ascii="仿宋_GB2312" w:hAnsi="Times New Roman"/>
          <w:color w:val="000000"/>
          <w:szCs w:val="32"/>
        </w:rPr>
        <w:t>一是统筹协调，加快工程建设。督促住建部门7月底前全面完成涉乌河流域主次干道雨污分流工作，9月底前恢复齐城污水处理厂前期因故障停运的一期西系列运行及臭氧装置安装工作；督促综合行政执法部门7月底前完成排入乌河的15处管网错接混接问题整改工作；协调水利部门雨季期间配合我局做好翻板闸使用工作，年底前全面完成乌河综合治理工程。二是精准把控，提升水环境质量。督促重点涉水企业完成雨排电磁阀安装收尾工作，推进污水池液位传感系统安装工作，实现科学管控。进一步摸清企业高锰酸盐指数、氟化物、挥发酚、阴离子表面活性剂排放情况，针对高浓度、高排放量企业实施精准治理。三是多措并举，强化应急管控。进一步完善水质监管闭环工作机制，推动水环境督办件整改工作。加大对乌河、排海管线的巡查监测，对污染物突然升高的情况进行研判，发现异常及时处置，最大程度减少超标现象，确保水质稳定达标。</w:t>
      </w:r>
    </w:p>
    <w:p>
      <w:pPr>
        <w:overflowPunct w:val="0"/>
        <w:autoSpaceDE w:val="0"/>
        <w:autoSpaceDN w:val="0"/>
        <w:spacing w:line="600" w:lineRule="exact"/>
        <w:ind w:firstLine="803" w:firstLineChars="250"/>
        <w:rPr>
          <w:rFonts w:ascii="仿宋_GB2312" w:hAnsi="Times New Roman"/>
          <w:color w:val="000000"/>
          <w:szCs w:val="32"/>
        </w:rPr>
      </w:pPr>
      <w:r>
        <w:rPr>
          <w:rFonts w:hint="eastAsia" w:ascii="仿宋_GB2312" w:hAnsi="Times New Roman"/>
          <w:b/>
          <w:color w:val="000000"/>
          <w:szCs w:val="32"/>
        </w:rPr>
        <w:t>土壤与固危废治理方面。</w:t>
      </w:r>
      <w:r>
        <w:rPr>
          <w:rFonts w:hint="eastAsia" w:ascii="仿宋_GB2312" w:hAnsi="Times New Roman"/>
          <w:color w:val="000000"/>
          <w:szCs w:val="32"/>
        </w:rPr>
        <w:t>一是抓好危险废物处置行业领域安全生产工作，督促危险废物处置企业严格落实主体责任，定期开展隐患排查治理，全面提升全区企业危险废物规范化管理水平。二是加力推进9个历史遗留填埋点的整治进度。三是抓好放射源监管工作。充分利用移动放射源定位系统和固定放射源在线监控系统，督促涉源单位严格落实安全监管要求，确保用源安全。</w:t>
      </w:r>
    </w:p>
    <w:p>
      <w:pPr>
        <w:spacing w:line="600" w:lineRule="exact"/>
        <w:ind w:left="730" w:leftChars="228" w:firstLine="160" w:firstLineChars="50"/>
        <w:rPr>
          <w:rFonts w:ascii="楷体" w:hAnsi="楷体" w:eastAsia="楷体" w:cs="楷体"/>
          <w:szCs w:val="32"/>
        </w:rPr>
      </w:pPr>
      <w:r>
        <w:rPr>
          <w:rFonts w:hint="eastAsia" w:ascii="楷体_GB2312" w:eastAsia="楷体_GB2312"/>
          <w:szCs w:val="32"/>
        </w:rPr>
        <w:t>（三）以执法大练兵提升</w:t>
      </w:r>
      <w:r>
        <w:rPr>
          <w:rFonts w:hint="eastAsia" w:ascii="楷体" w:hAnsi="楷体" w:eastAsia="楷体" w:cs="楷体"/>
          <w:szCs w:val="32"/>
        </w:rPr>
        <w:t>环境执法水平</w:t>
      </w:r>
    </w:p>
    <w:p>
      <w:pPr>
        <w:overflowPunct w:val="0"/>
        <w:autoSpaceDE w:val="0"/>
        <w:autoSpaceDN w:val="0"/>
        <w:spacing w:line="600" w:lineRule="exact"/>
        <w:ind w:firstLine="800" w:firstLineChars="250"/>
        <w:rPr>
          <w:rFonts w:ascii="仿宋_GB2312" w:hAnsi="Times New Roman"/>
          <w:color w:val="000000"/>
          <w:szCs w:val="32"/>
        </w:rPr>
      </w:pPr>
      <w:r>
        <w:rPr>
          <w:rFonts w:hint="eastAsia" w:ascii="仿宋_GB2312" w:hAnsi="Times New Roman"/>
          <w:color w:val="000000"/>
          <w:szCs w:val="32"/>
        </w:rPr>
        <w:t>一是深入开展爱齐帮扶，打造品牌。进一步强化主动服务意识，下半年再发放爱“齐”帮扶卡30张。二是以点带面强化企业培训管理。下半年，对重点企业再开展4次环保培训，进一步提升企业管理水平，督促主体责任落实。三是以环境执法大练兵为契机，强化执法队伍能力建设，提升执法效能。下半年计划开展重点涉水企业专项检查、涉固废重点企业专项检查等9个专项行动，严厉打击环境违法行为。</w:t>
      </w:r>
    </w:p>
    <w:p>
      <w:pPr>
        <w:spacing w:line="600" w:lineRule="exact"/>
        <w:ind w:firstLine="636"/>
        <w:rPr>
          <w:rFonts w:ascii="楷体_GB2312" w:hAnsi="楷体_GB2312" w:eastAsia="楷体_GB2312" w:cs="楷体_GB2312"/>
          <w:szCs w:val="32"/>
        </w:rPr>
      </w:pPr>
      <w:r>
        <w:rPr>
          <w:rFonts w:hint="eastAsia" w:ascii="楷体_GB2312" w:hAnsi="楷体_GB2312" w:eastAsia="楷体_GB2312" w:cs="楷体_GB2312"/>
          <w:szCs w:val="32"/>
        </w:rPr>
        <w:t>（四）以监测能力提升助力环境管理</w:t>
      </w:r>
    </w:p>
    <w:p>
      <w:pPr>
        <w:overflowPunct w:val="0"/>
        <w:autoSpaceDE w:val="0"/>
        <w:autoSpaceDN w:val="0"/>
        <w:spacing w:line="600" w:lineRule="exact"/>
        <w:ind w:firstLine="800" w:firstLineChars="250"/>
        <w:rPr>
          <w:rFonts w:ascii="仿宋_GB2312" w:hAnsi="Times New Roman"/>
          <w:color w:val="000000"/>
          <w:szCs w:val="32"/>
        </w:rPr>
      </w:pPr>
      <w:r>
        <w:rPr>
          <w:rFonts w:hint="eastAsia" w:ascii="仿宋_GB2312" w:hAnsi="Times New Roman"/>
          <w:color w:val="000000"/>
          <w:szCs w:val="32"/>
        </w:rPr>
        <w:t>一是加强监测能力建设。依据市局配备、我局自行购置的新仪器设备，积极做好新项目新方法的扩项认证，提升监测能力。二是推进在线监测安装。盯住任务目标、把握时间节点、细化工作措施，加快工作调度，确保在线监测安装按时序完成，积极打造“非现场监管”模式。三是加强应急监测培训与演练，做好汛期应急监测准备及2022年全市应急监测演练准备工作。</w:t>
      </w:r>
    </w:p>
    <w:p>
      <w:pPr>
        <w:pStyle w:val="14"/>
        <w:adjustRightInd w:val="0"/>
        <w:snapToGrid w:val="0"/>
        <w:spacing w:line="600" w:lineRule="exact"/>
        <w:ind w:firstLine="640"/>
        <w:rPr>
          <w:rFonts w:ascii="Times New Roman" w:hAnsi="Times New Roman" w:eastAsia="仿宋_GB2312"/>
          <w:color w:val="000000"/>
          <w:kern w:val="0"/>
          <w:szCs w:val="32"/>
        </w:rPr>
      </w:pPr>
      <w:r>
        <w:rPr>
          <w:rFonts w:hint="eastAsia" w:ascii="楷体_GB2312" w:hAnsi="Times New Roman" w:eastAsia="楷体_GB2312"/>
          <w:color w:val="000000"/>
          <w:kern w:val="0"/>
          <w:szCs w:val="32"/>
        </w:rPr>
        <w:t>（五）凝聚“全员环保”的攻坚合力</w:t>
      </w:r>
    </w:p>
    <w:p>
      <w:pPr>
        <w:overflowPunct w:val="0"/>
        <w:autoSpaceDE w:val="0"/>
        <w:autoSpaceDN w:val="0"/>
        <w:spacing w:line="600" w:lineRule="exact"/>
        <w:ind w:firstLine="800" w:firstLineChars="250"/>
        <w:rPr>
          <w:rFonts w:ascii="仿宋_GB2312" w:hAnsi="Times New Roman"/>
          <w:color w:val="000000"/>
          <w:szCs w:val="32"/>
        </w:rPr>
      </w:pPr>
      <w:r>
        <w:rPr>
          <w:rFonts w:hint="eastAsia" w:ascii="仿宋_GB2312" w:hAnsi="Times New Roman"/>
          <w:color w:val="000000"/>
          <w:szCs w:val="32"/>
        </w:rPr>
        <w:t>一是以“全员环保”为核心，</w:t>
      </w:r>
      <w:r>
        <w:rPr>
          <w:rFonts w:ascii="仿宋_GB2312" w:hAnsi="Times New Roman"/>
          <w:color w:val="000000"/>
          <w:szCs w:val="32"/>
        </w:rPr>
        <w:t>坚决压实各镇、街道生态环境保护属地管理责任和部门行业监管责任</w:t>
      </w:r>
      <w:r>
        <w:rPr>
          <w:rFonts w:hint="eastAsia" w:ascii="仿宋_GB2312" w:hAnsi="Times New Roman"/>
          <w:color w:val="000000"/>
          <w:szCs w:val="32"/>
        </w:rPr>
        <w:t>，努力形成污染治理集成化、一体化的作战体系。二是统筹督办考核。综合运用通报、督办、约谈等约束措施，提高各责任单位重视程度，压紧压实企业主体责任。三是</w:t>
      </w:r>
      <w:r>
        <w:rPr>
          <w:rFonts w:ascii="仿宋_GB2312" w:hAnsi="Times New Roman"/>
          <w:color w:val="000000"/>
          <w:szCs w:val="32"/>
        </w:rPr>
        <w:t>充分发挥新闻媒体和社会群众监督作用，创新载体、拓宽渠道，大力宣传典型成效，曝光环境违法和责任不落实等行为，引领带动全社会积极参与，</w:t>
      </w:r>
      <w:r>
        <w:rPr>
          <w:rFonts w:hint="eastAsia" w:ascii="仿宋_GB2312" w:hAnsi="Times New Roman"/>
          <w:color w:val="000000"/>
          <w:szCs w:val="32"/>
        </w:rPr>
        <w:t>坚决打赢、打好生态环境品质提升攻坚战。</w:t>
      </w:r>
    </w:p>
    <w:p>
      <w:pPr>
        <w:pStyle w:val="14"/>
        <w:ind w:firstLine="640"/>
      </w:pPr>
    </w:p>
    <w:p>
      <w:pPr>
        <w:overflowPunct w:val="0"/>
        <w:autoSpaceDE w:val="0"/>
        <w:autoSpaceDN w:val="0"/>
        <w:spacing w:line="600" w:lineRule="exact"/>
        <w:ind w:firstLine="800" w:firstLineChars="250"/>
        <w:jc w:val="right"/>
        <w:rPr>
          <w:rFonts w:ascii="仿宋_GB2312" w:hAnsi="Times New Roman"/>
          <w:color w:val="000000"/>
          <w:szCs w:val="32"/>
        </w:rPr>
      </w:pPr>
      <w:r>
        <w:rPr>
          <w:rFonts w:hint="eastAsia" w:ascii="仿宋_GB2312" w:hAnsi="Times New Roman"/>
          <w:color w:val="000000"/>
          <w:szCs w:val="32"/>
        </w:rPr>
        <w:t>淄博市生态环境局临淄分局</w:t>
      </w:r>
    </w:p>
    <w:p>
      <w:pPr>
        <w:overflowPunct w:val="0"/>
        <w:autoSpaceDE w:val="0"/>
        <w:autoSpaceDN w:val="0"/>
        <w:spacing w:line="600" w:lineRule="exact"/>
        <w:ind w:right="640" w:firstLine="5440" w:firstLineChars="1700"/>
        <w:rPr>
          <w:rFonts w:ascii="仿宋_GB2312" w:hAnsi="Times New Roman" w:cs="Times New Roman"/>
          <w:szCs w:val="32"/>
        </w:rPr>
      </w:pPr>
      <w:r>
        <w:rPr>
          <w:rFonts w:hint="eastAsia" w:ascii="仿宋_GB2312" w:hAnsi="Times New Roman"/>
          <w:color w:val="000000"/>
          <w:szCs w:val="32"/>
        </w:rPr>
        <w:t>2022年7月1日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801485"/>
    </w:sdtPr>
    <w:sdtContent>
      <w:p>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B3EF7"/>
    <w:multiLevelType w:val="multilevel"/>
    <w:tmpl w:val="421B3EF7"/>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4CD268AD"/>
    <w:multiLevelType w:val="singleLevel"/>
    <w:tmpl w:val="4CD268A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RkMDg4N2Q3OTY3MWJhNzQzOGFlNzkyODY3Y2VhYzkifQ=="/>
  </w:docVars>
  <w:rsids>
    <w:rsidRoot w:val="003B7306"/>
    <w:rsid w:val="00000A66"/>
    <w:rsid w:val="00002978"/>
    <w:rsid w:val="000164C0"/>
    <w:rsid w:val="00033DDA"/>
    <w:rsid w:val="00045BD2"/>
    <w:rsid w:val="00075337"/>
    <w:rsid w:val="00076911"/>
    <w:rsid w:val="000B4267"/>
    <w:rsid w:val="000B7744"/>
    <w:rsid w:val="000E6E7F"/>
    <w:rsid w:val="00106C48"/>
    <w:rsid w:val="001078ED"/>
    <w:rsid w:val="00117729"/>
    <w:rsid w:val="00122F4B"/>
    <w:rsid w:val="00171FB5"/>
    <w:rsid w:val="00182E17"/>
    <w:rsid w:val="00193D68"/>
    <w:rsid w:val="001973C3"/>
    <w:rsid w:val="001B38BF"/>
    <w:rsid w:val="001B6AD9"/>
    <w:rsid w:val="001C3410"/>
    <w:rsid w:val="001D5FEE"/>
    <w:rsid w:val="00200F8F"/>
    <w:rsid w:val="00204C51"/>
    <w:rsid w:val="00232248"/>
    <w:rsid w:val="00240328"/>
    <w:rsid w:val="00252DE8"/>
    <w:rsid w:val="00286067"/>
    <w:rsid w:val="00294635"/>
    <w:rsid w:val="002956F4"/>
    <w:rsid w:val="002962DB"/>
    <w:rsid w:val="002A33FD"/>
    <w:rsid w:val="002C5A45"/>
    <w:rsid w:val="002E1064"/>
    <w:rsid w:val="002E2CFD"/>
    <w:rsid w:val="00321665"/>
    <w:rsid w:val="00322F2E"/>
    <w:rsid w:val="00326C9E"/>
    <w:rsid w:val="00341416"/>
    <w:rsid w:val="00341DEA"/>
    <w:rsid w:val="00346424"/>
    <w:rsid w:val="003515D2"/>
    <w:rsid w:val="00352E4E"/>
    <w:rsid w:val="00373311"/>
    <w:rsid w:val="00374AC0"/>
    <w:rsid w:val="00396AF6"/>
    <w:rsid w:val="003B7306"/>
    <w:rsid w:val="003C1621"/>
    <w:rsid w:val="00402A96"/>
    <w:rsid w:val="004358A3"/>
    <w:rsid w:val="004472CE"/>
    <w:rsid w:val="00464DA8"/>
    <w:rsid w:val="00472D4C"/>
    <w:rsid w:val="00472F11"/>
    <w:rsid w:val="004A0595"/>
    <w:rsid w:val="004A1277"/>
    <w:rsid w:val="004C00A8"/>
    <w:rsid w:val="004E4FDB"/>
    <w:rsid w:val="004F67D8"/>
    <w:rsid w:val="00501D9D"/>
    <w:rsid w:val="00546C9A"/>
    <w:rsid w:val="00555EA1"/>
    <w:rsid w:val="00571728"/>
    <w:rsid w:val="00581660"/>
    <w:rsid w:val="00581FCB"/>
    <w:rsid w:val="005C1FE8"/>
    <w:rsid w:val="005C7A86"/>
    <w:rsid w:val="005E6857"/>
    <w:rsid w:val="005F2E36"/>
    <w:rsid w:val="005F3514"/>
    <w:rsid w:val="00623E4E"/>
    <w:rsid w:val="00627FD4"/>
    <w:rsid w:val="0063468C"/>
    <w:rsid w:val="00665407"/>
    <w:rsid w:val="00666594"/>
    <w:rsid w:val="006905E0"/>
    <w:rsid w:val="006A1091"/>
    <w:rsid w:val="006B200F"/>
    <w:rsid w:val="006B3780"/>
    <w:rsid w:val="006B3CDA"/>
    <w:rsid w:val="006B7E54"/>
    <w:rsid w:val="00705DBA"/>
    <w:rsid w:val="007260AF"/>
    <w:rsid w:val="007369D3"/>
    <w:rsid w:val="00740EA6"/>
    <w:rsid w:val="00743875"/>
    <w:rsid w:val="00743F50"/>
    <w:rsid w:val="007507A4"/>
    <w:rsid w:val="00754BD2"/>
    <w:rsid w:val="00777EEB"/>
    <w:rsid w:val="007907D8"/>
    <w:rsid w:val="00795C3A"/>
    <w:rsid w:val="007A393E"/>
    <w:rsid w:val="007E1B65"/>
    <w:rsid w:val="007E6273"/>
    <w:rsid w:val="00800349"/>
    <w:rsid w:val="00804CA3"/>
    <w:rsid w:val="0081502B"/>
    <w:rsid w:val="0081586A"/>
    <w:rsid w:val="008214F8"/>
    <w:rsid w:val="00826F08"/>
    <w:rsid w:val="0083024A"/>
    <w:rsid w:val="00836433"/>
    <w:rsid w:val="0086747E"/>
    <w:rsid w:val="00882ADA"/>
    <w:rsid w:val="00883EB1"/>
    <w:rsid w:val="008903E7"/>
    <w:rsid w:val="00892F88"/>
    <w:rsid w:val="008A2E8A"/>
    <w:rsid w:val="008A6ADC"/>
    <w:rsid w:val="008C2F80"/>
    <w:rsid w:val="008C7244"/>
    <w:rsid w:val="008E0649"/>
    <w:rsid w:val="009148FA"/>
    <w:rsid w:val="009336D6"/>
    <w:rsid w:val="00933E4F"/>
    <w:rsid w:val="0093705F"/>
    <w:rsid w:val="009845CA"/>
    <w:rsid w:val="00994CC2"/>
    <w:rsid w:val="009B322A"/>
    <w:rsid w:val="009F137B"/>
    <w:rsid w:val="009F2432"/>
    <w:rsid w:val="00A0773B"/>
    <w:rsid w:val="00A32DD8"/>
    <w:rsid w:val="00A35C0D"/>
    <w:rsid w:val="00A702EA"/>
    <w:rsid w:val="00A946C1"/>
    <w:rsid w:val="00A96CC2"/>
    <w:rsid w:val="00AA585C"/>
    <w:rsid w:val="00AB6B0D"/>
    <w:rsid w:val="00AE07F1"/>
    <w:rsid w:val="00B049F6"/>
    <w:rsid w:val="00B05991"/>
    <w:rsid w:val="00B26704"/>
    <w:rsid w:val="00B43ABC"/>
    <w:rsid w:val="00B43B71"/>
    <w:rsid w:val="00B53599"/>
    <w:rsid w:val="00B57A0A"/>
    <w:rsid w:val="00B76E0E"/>
    <w:rsid w:val="00B850B9"/>
    <w:rsid w:val="00B90227"/>
    <w:rsid w:val="00B90A12"/>
    <w:rsid w:val="00BA0E3A"/>
    <w:rsid w:val="00BB147D"/>
    <w:rsid w:val="00BB4DC8"/>
    <w:rsid w:val="00BC7645"/>
    <w:rsid w:val="00BD7F86"/>
    <w:rsid w:val="00C075F8"/>
    <w:rsid w:val="00C1725C"/>
    <w:rsid w:val="00C2343E"/>
    <w:rsid w:val="00C23F5F"/>
    <w:rsid w:val="00C53818"/>
    <w:rsid w:val="00C62F8C"/>
    <w:rsid w:val="00C7621F"/>
    <w:rsid w:val="00C93884"/>
    <w:rsid w:val="00CA0E5F"/>
    <w:rsid w:val="00CA6B75"/>
    <w:rsid w:val="00CC01DA"/>
    <w:rsid w:val="00CD11EE"/>
    <w:rsid w:val="00CD1C8B"/>
    <w:rsid w:val="00CD542E"/>
    <w:rsid w:val="00D05E29"/>
    <w:rsid w:val="00D108C1"/>
    <w:rsid w:val="00D11734"/>
    <w:rsid w:val="00D11A4D"/>
    <w:rsid w:val="00D430E4"/>
    <w:rsid w:val="00D55E01"/>
    <w:rsid w:val="00D568B1"/>
    <w:rsid w:val="00D66015"/>
    <w:rsid w:val="00D70494"/>
    <w:rsid w:val="00D77E88"/>
    <w:rsid w:val="00DA1DDC"/>
    <w:rsid w:val="00DB3432"/>
    <w:rsid w:val="00DD0C69"/>
    <w:rsid w:val="00DD51E5"/>
    <w:rsid w:val="00DD7534"/>
    <w:rsid w:val="00DE5FFD"/>
    <w:rsid w:val="00E1453A"/>
    <w:rsid w:val="00E1612F"/>
    <w:rsid w:val="00E27C84"/>
    <w:rsid w:val="00E3473C"/>
    <w:rsid w:val="00E41B15"/>
    <w:rsid w:val="00E53E74"/>
    <w:rsid w:val="00E77A73"/>
    <w:rsid w:val="00E85A4D"/>
    <w:rsid w:val="00EA29AF"/>
    <w:rsid w:val="00EA4373"/>
    <w:rsid w:val="00EB2634"/>
    <w:rsid w:val="00EB6AC9"/>
    <w:rsid w:val="00EC43A7"/>
    <w:rsid w:val="00EC69B5"/>
    <w:rsid w:val="00ED2DE1"/>
    <w:rsid w:val="00ED3D11"/>
    <w:rsid w:val="00EE2EE3"/>
    <w:rsid w:val="00F13758"/>
    <w:rsid w:val="00F178CD"/>
    <w:rsid w:val="00F24202"/>
    <w:rsid w:val="00F54F62"/>
    <w:rsid w:val="00F62446"/>
    <w:rsid w:val="00F93B97"/>
    <w:rsid w:val="00F962E3"/>
    <w:rsid w:val="00FF22F9"/>
    <w:rsid w:val="00FF6356"/>
    <w:rsid w:val="07687117"/>
    <w:rsid w:val="0D076022"/>
    <w:rsid w:val="0EFA6FBD"/>
    <w:rsid w:val="10B33A9F"/>
    <w:rsid w:val="144D43F2"/>
    <w:rsid w:val="1BCA4798"/>
    <w:rsid w:val="1CEC12DE"/>
    <w:rsid w:val="22F86E1B"/>
    <w:rsid w:val="245308A1"/>
    <w:rsid w:val="247B3A49"/>
    <w:rsid w:val="2B425AC4"/>
    <w:rsid w:val="2D4008BB"/>
    <w:rsid w:val="2E091BA1"/>
    <w:rsid w:val="2E8F67AE"/>
    <w:rsid w:val="37D50947"/>
    <w:rsid w:val="3F397A0D"/>
    <w:rsid w:val="3FD63723"/>
    <w:rsid w:val="41AF028E"/>
    <w:rsid w:val="4C303651"/>
    <w:rsid w:val="52122A39"/>
    <w:rsid w:val="553F29F1"/>
    <w:rsid w:val="58DF2F7C"/>
    <w:rsid w:val="5D573ADA"/>
    <w:rsid w:val="621D36D2"/>
    <w:rsid w:val="64B425E3"/>
    <w:rsid w:val="663E2D80"/>
    <w:rsid w:val="668225B8"/>
    <w:rsid w:val="6B241BB1"/>
    <w:rsid w:val="7BF14166"/>
    <w:rsid w:val="7D8950E1"/>
    <w:rsid w:val="7EC77754"/>
    <w:rsid w:val="7F826B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18"/>
    <w:qFormat/>
    <w:uiPriority w:val="9"/>
    <w:pPr>
      <w:widowControl/>
      <w:spacing w:before="100" w:beforeAutospacing="1" w:after="100" w:afterAutospacing="1"/>
      <w:outlineLvl w:val="0"/>
    </w:pPr>
    <w:rPr>
      <w:rFonts w:ascii="宋体" w:hAnsi="宋体" w:eastAsia="宋体" w:cs="宋体"/>
      <w:b/>
      <w:bCs/>
      <w:kern w:val="36"/>
      <w:sz w:val="48"/>
      <w:szCs w:val="48"/>
    </w:rPr>
  </w:style>
  <w:style w:type="paragraph" w:styleId="3">
    <w:name w:val="heading 3"/>
    <w:basedOn w:val="1"/>
    <w:next w:val="1"/>
    <w:link w:val="19"/>
    <w:semiHidden/>
    <w:unhideWhenUsed/>
    <w:qFormat/>
    <w:uiPriority w:val="9"/>
    <w:pPr>
      <w:keepNext/>
      <w:keepLines/>
      <w:spacing w:before="260" w:after="260" w:line="416" w:lineRule="auto"/>
      <w:outlineLvl w:val="2"/>
    </w:pPr>
    <w:rPr>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17"/>
    <w:qFormat/>
    <w:uiPriority w:val="99"/>
    <w:pPr>
      <w:ind w:left="108"/>
    </w:pPr>
    <w:rPr>
      <w:rFonts w:ascii="宋体" w:hAnsi="宋体" w:cs="宋体"/>
      <w:szCs w:val="32"/>
      <w:lang w:val="zh-CN"/>
    </w:rPr>
  </w:style>
  <w:style w:type="paragraph" w:styleId="5">
    <w:name w:val="Balloon Text"/>
    <w:basedOn w:val="1"/>
    <w:link w:val="22"/>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pPr>
    <w:rPr>
      <w:rFonts w:cs="Times New Roman"/>
      <w:kern w:val="0"/>
      <w:sz w:val="24"/>
      <w:szCs w:val="24"/>
    </w:rPr>
  </w:style>
  <w:style w:type="character" w:styleId="11">
    <w:name w:val="FollowedHyperlink"/>
    <w:basedOn w:val="10"/>
    <w:semiHidden/>
    <w:unhideWhenUsed/>
    <w:qFormat/>
    <w:uiPriority w:val="99"/>
    <w:rPr>
      <w:color w:val="800080" w:themeColor="followedHyperlink"/>
      <w:u w:val="single"/>
    </w:rPr>
  </w:style>
  <w:style w:type="character" w:styleId="12">
    <w:name w:val="Emphasis"/>
    <w:basedOn w:val="10"/>
    <w:qFormat/>
    <w:uiPriority w:val="20"/>
    <w:rPr>
      <w:i/>
      <w:iCs/>
    </w:rPr>
  </w:style>
  <w:style w:type="character" w:styleId="13">
    <w:name w:val="Hyperlink"/>
    <w:basedOn w:val="10"/>
    <w:unhideWhenUsed/>
    <w:qFormat/>
    <w:uiPriority w:val="99"/>
    <w:rPr>
      <w:color w:val="0000FF"/>
      <w:u w:val="single"/>
    </w:rPr>
  </w:style>
  <w:style w:type="paragraph" w:styleId="14">
    <w:name w:val="List Paragraph"/>
    <w:basedOn w:val="1"/>
    <w:qFormat/>
    <w:uiPriority w:val="34"/>
    <w:pPr>
      <w:ind w:firstLine="420" w:firstLineChars="200"/>
    </w:pPr>
    <w:rPr>
      <w:rFonts w:ascii="Calibri" w:hAnsi="Calibri" w:eastAsia="宋体" w:cs="Times New Roman"/>
    </w:rPr>
  </w:style>
  <w:style w:type="character" w:customStyle="1" w:styleId="15">
    <w:name w:val="页眉 Char"/>
    <w:basedOn w:val="10"/>
    <w:link w:val="7"/>
    <w:semiHidden/>
    <w:qFormat/>
    <w:uiPriority w:val="99"/>
    <w:rPr>
      <w:sz w:val="18"/>
      <w:szCs w:val="18"/>
    </w:rPr>
  </w:style>
  <w:style w:type="character" w:customStyle="1" w:styleId="16">
    <w:name w:val="页脚 Char"/>
    <w:basedOn w:val="10"/>
    <w:link w:val="6"/>
    <w:qFormat/>
    <w:uiPriority w:val="99"/>
    <w:rPr>
      <w:sz w:val="18"/>
      <w:szCs w:val="18"/>
    </w:rPr>
  </w:style>
  <w:style w:type="character" w:customStyle="1" w:styleId="17">
    <w:name w:val="正文文本 Char"/>
    <w:basedOn w:val="10"/>
    <w:link w:val="4"/>
    <w:qFormat/>
    <w:uiPriority w:val="99"/>
    <w:rPr>
      <w:rFonts w:ascii="宋体" w:hAnsi="宋体" w:cs="宋体"/>
      <w:sz w:val="32"/>
      <w:szCs w:val="32"/>
      <w:lang w:val="zh-CN"/>
    </w:rPr>
  </w:style>
  <w:style w:type="character" w:customStyle="1" w:styleId="18">
    <w:name w:val="标题 1 Char"/>
    <w:basedOn w:val="10"/>
    <w:link w:val="2"/>
    <w:qFormat/>
    <w:uiPriority w:val="9"/>
    <w:rPr>
      <w:rFonts w:ascii="宋体" w:hAnsi="宋体" w:eastAsia="宋体" w:cs="宋体"/>
      <w:b/>
      <w:bCs/>
      <w:kern w:val="36"/>
      <w:sz w:val="48"/>
      <w:szCs w:val="48"/>
    </w:rPr>
  </w:style>
  <w:style w:type="character" w:customStyle="1" w:styleId="19">
    <w:name w:val="标题 3 Char"/>
    <w:basedOn w:val="10"/>
    <w:link w:val="3"/>
    <w:semiHidden/>
    <w:qFormat/>
    <w:uiPriority w:val="9"/>
    <w:rPr>
      <w:b/>
      <w:bCs/>
      <w:sz w:val="32"/>
      <w:szCs w:val="32"/>
    </w:rPr>
  </w:style>
  <w:style w:type="paragraph" w:customStyle="1" w:styleId="20">
    <w:name w:val="样式 首行缩进:  2 字符"/>
    <w:basedOn w:val="21"/>
    <w:qFormat/>
    <w:uiPriority w:val="99"/>
    <w:pPr>
      <w:ind w:firstLine="560"/>
    </w:pPr>
    <w:rPr>
      <w:rFonts w:eastAsia="仿宋_GB2312" w:cs="宋体"/>
      <w:sz w:val="24"/>
      <w:szCs w:val="20"/>
    </w:rPr>
  </w:style>
  <w:style w:type="paragraph" w:customStyle="1" w:styleId="21">
    <w:name w:val="正文 New New New New New"/>
    <w:next w:val="20"/>
    <w:qFormat/>
    <w:uiPriority w:val="0"/>
    <w:pPr>
      <w:widowControl w:val="0"/>
      <w:jc w:val="both"/>
    </w:pPr>
    <w:rPr>
      <w:rFonts w:ascii="Calibri" w:hAnsi="Calibri" w:eastAsia="宋体" w:cs="Times New Roman"/>
      <w:kern w:val="2"/>
      <w:sz w:val="21"/>
      <w:szCs w:val="24"/>
      <w:lang w:val="en-US" w:eastAsia="zh-CN" w:bidi="ar-SA"/>
    </w:rPr>
  </w:style>
  <w:style w:type="character" w:customStyle="1" w:styleId="22">
    <w:name w:val="批注框文本 Char"/>
    <w:basedOn w:val="10"/>
    <w:link w:val="5"/>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7056</Words>
  <Characters>7380</Characters>
  <Lines>53</Lines>
  <Paragraphs>14</Paragraphs>
  <TotalTime>1</TotalTime>
  <ScaleCrop>false</ScaleCrop>
  <LinksUpToDate>false</LinksUpToDate>
  <CharactersWithSpaces>7383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2022-07-06T06:11:00Z</dcterms:created>
  <dc:creator>MM</dc:creator>
  <cp:lastModifiedBy>Administrator</cp:lastModifiedBy>
  <dcterms:modified xsi:type="dcterms:W3CDTF">2022-08-03T01:46:27Z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CECFF8E8C1334E649B61948B6790DCBF</vt:lpwstr>
  </property>
</Properties>
</file>