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年临淄区国民经济和社会发展统计公报</w:t>
      </w:r>
    </w:p>
    <w:p>
      <w:pPr>
        <w:pStyle w:val="4"/>
        <w:tabs>
          <w:tab w:val="left" w:pos="3472"/>
          <w:tab w:val="center" w:pos="4454"/>
        </w:tabs>
        <w:spacing w:before="0" w:beforeAutospacing="0" w:after="0" w:afterAutospacing="0" w:line="64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临淄区统计局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</w:rPr>
        <w:t>(20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楷体_GB2312" w:cs="Times New Roman"/>
          <w:bCs/>
          <w:color w:val="auto"/>
          <w:sz w:val="32"/>
          <w:szCs w:val="32"/>
        </w:rPr>
        <w:t>年4月)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2020年，面对复杂严峻的经济下行压力和新冠肺炎疫情冲击，全区上下坚持以习近平新时代中国特色社会主义思想为指导，全面贯彻党的十九大和十九届二中、三中、四中、五中全会精神，统筹疫情防控和经济社会发展，积极推进“六稳”“六保”工作任务，万众一心、迎难而上，</w:t>
      </w:r>
      <w:r>
        <w:rPr>
          <w:rFonts w:hint="eastAsia" w:ascii="Times New Roman" w:hAnsi="Times New Roman" w:eastAsia="仿宋_GB2312"/>
          <w:sz w:val="32"/>
        </w:rPr>
        <w:t>经济发展持续加快复苏</w:t>
      </w:r>
      <w:r>
        <w:rPr>
          <w:rFonts w:hint="eastAsia" w:ascii="Times New Roman" w:hAnsi="Times New Roman" w:eastAsia="仿宋_GB2312"/>
          <w:sz w:val="32"/>
          <w:lang w:eastAsia="zh-CN"/>
        </w:rPr>
        <w:t>，经济增长由负转正，</w:t>
      </w:r>
      <w:r>
        <w:rPr>
          <w:rFonts w:hint="eastAsia" w:ascii="Times New Roman" w:hAnsi="Times New Roman" w:eastAsia="仿宋_GB2312"/>
          <w:sz w:val="32"/>
        </w:rPr>
        <w:t>经济</w:t>
      </w:r>
      <w:r>
        <w:rPr>
          <w:rFonts w:hint="eastAsia" w:ascii="Times New Roman" w:hAnsi="Times New Roman" w:eastAsia="仿宋_GB2312"/>
          <w:sz w:val="32"/>
          <w:lang w:eastAsia="zh-CN"/>
        </w:rPr>
        <w:t>社会</w:t>
      </w:r>
      <w:r>
        <w:rPr>
          <w:rFonts w:hint="eastAsia" w:ascii="Times New Roman" w:hAnsi="Times New Roman" w:eastAsia="仿宋_GB2312"/>
          <w:sz w:val="32"/>
        </w:rPr>
        <w:t>高质量发展</w:t>
      </w:r>
      <w:r>
        <w:rPr>
          <w:rFonts w:hint="eastAsia" w:ascii="Times New Roman" w:hAnsi="Times New Roman" w:eastAsia="仿宋_GB2312"/>
          <w:sz w:val="32"/>
          <w:lang w:eastAsia="zh-CN"/>
        </w:rPr>
        <w:t>态势进一步巩固</w:t>
      </w:r>
      <w:r>
        <w:rPr>
          <w:rFonts w:hint="eastAsia" w:ascii="Times New Roman" w:hAnsi="Times New Roman" w:eastAsia="仿宋_GB2312"/>
          <w:sz w:val="32"/>
        </w:rPr>
        <w:t>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一、综  合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sz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经市统计局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统一初步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核算，全区实现地区生产总值(GDP)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73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3.3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亿元，按可比价计算，比上年增长3.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其中，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第一产业增加值3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9.7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亿元，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3.3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第二产业增加值4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32.6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亿元，增长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4.0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第三产业增加值2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60.9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1.2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三次产业比调整为5.42:59.00:35.58，第三产业占比较上年提高1.05个百分点。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pStyle w:val="4"/>
        <w:spacing w:before="120" w:beforeAutospacing="0" w:after="120" w:afterAutospacing="0"/>
        <w:ind w:firstLine="560"/>
        <w:jc w:val="center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  <w:t>图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/>
          <w:bCs w:val="0"/>
          <w:color w:val="auto"/>
          <w:kern w:val="2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宋体" w:cs="Times New Roman"/>
          <w:b/>
          <w:bCs w:val="0"/>
          <w:color w:val="auto"/>
          <w:kern w:val="2"/>
          <w:sz w:val="28"/>
          <w:szCs w:val="28"/>
        </w:rPr>
        <w:t>年地区生产总值及第三产业增加值构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8"/>
          <w:lang w:eastAsia="zh-CN"/>
        </w:rPr>
        <w:t>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60960</wp:posOffset>
            </wp:positionV>
            <wp:extent cx="5576570" cy="2447290"/>
            <wp:effectExtent l="0" t="0" r="1270" b="635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全年城镇新增就业9790人，失业人员再就业6195人，其中，困难群体再就业340人。年末城镇登记失业率1.42%，低于全市4.5%的年度控制目标。</w:t>
      </w:r>
    </w:p>
    <w:p>
      <w:pPr>
        <w:spacing w:line="64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二、动能转换与创新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新材料、智能装备、新医药、电子信息“四强”产业保持高速发展，实现增加值比上年增长28.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%，占全区规模以上工业增加值比重达37.4%。高新技术产业产值占规模以上工业总产值比重达32.6%，比上年提高8.6个百分点。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信息传输、软件和信息技术服务业营业收入比上年增长2.9%。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全年登记技术合同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419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项，合同成交额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30.0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134.0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国内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发明专利申请量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517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件，发明专利授权量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PCT国际专利申请量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件。累计有效发明专利拥有量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1053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114件；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有效发明专利密度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14.71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/万人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，比上年增加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0.72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/万人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spacing w:line="64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年内全区拥有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国家企业技术中心1家，省级企业技术中心27家，省级工程实验室（工程研究中心）3家，省级重点实验室1家，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院士工作站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家。国家科技型中小企业库企业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高新技术企业数量达到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家，比上年增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年末实有民营经济市场主体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6.6万户，比上年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9.0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%。其中，私营企业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1.8万户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，个体工商户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4.6万户，农民专业合作社0.1万户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三、农林牧渔业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</w:rPr>
        <w:t>全年实现农林牧渔业总产值73.5亿元，按可比价格计算，比上年增长3.4%。其中，农业产值51.1亿元,增长9.2 %;林业总产值0.9亿元,</w:t>
      </w:r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  <w:lang w:eastAsia="zh-CN"/>
        </w:rPr>
        <w:t>与上年持平</w:t>
      </w:r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</w:rPr>
        <w:t>;牧业总产值17.8亿元,增长3.5%。全年粮食总产量33.3万吨。其中，夏粮产量14.8万吨，比上年增长0.04%；秋粮产量18.5万吨，比上年增长5.4%。粮食播种面积69.3万亩</w:t>
      </w:r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</w:rPr>
        <w:t>播亩单产480公斤，比上年增加13公斤。蔬菜产量99.2万吨，比上年增长8.0%。水果产量1</w:t>
      </w:r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  <w:lang w:val="en-US" w:eastAsia="zh-CN"/>
        </w:rPr>
        <w:t>.6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spacing w:val="10"/>
          <w:sz w:val="32"/>
          <w:szCs w:val="32"/>
        </w:rPr>
        <w:t>3万吨，比上年增长6.2%。</w:t>
      </w:r>
    </w:p>
    <w:p>
      <w:pPr>
        <w:pStyle w:val="4"/>
        <w:spacing w:before="120" w:beforeAutospacing="0" w:after="120" w:afterAutospacing="0"/>
        <w:ind w:firstLine="560"/>
        <w:jc w:val="center"/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</w:pPr>
    </w:p>
    <w:p>
      <w:pPr>
        <w:pStyle w:val="4"/>
        <w:spacing w:before="120" w:beforeAutospacing="0" w:after="120" w:afterAutospacing="0"/>
        <w:ind w:firstLine="560"/>
        <w:jc w:val="center"/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</w:pPr>
    </w:p>
    <w:p>
      <w:pPr>
        <w:pStyle w:val="4"/>
        <w:spacing w:before="120" w:beforeAutospacing="0" w:after="120" w:afterAutospacing="0"/>
        <w:ind w:firstLine="560"/>
        <w:jc w:val="center"/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  <w:t>表1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  <w:t>主要农牧产品产量(万吨)</w:t>
      </w:r>
    </w:p>
    <w:tbl>
      <w:tblPr>
        <w:tblStyle w:val="5"/>
        <w:tblW w:w="6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4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名称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/>
                <w:kern w:val="0"/>
                <w:sz w:val="24"/>
              </w:rPr>
              <w:t>20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比上年+-（%）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粮食总产量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3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3.3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val="en-US" w:eastAsia="zh-CN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1440" w:firstLine="240" w:firstLineChars="100"/>
              <w:jc w:val="both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小麦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4.8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0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1440" w:firstLine="240" w:firstLineChars="100"/>
              <w:jc w:val="both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玉米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8.1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3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1440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蔬  菜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9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9.2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8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1440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水  果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.6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6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cstheme="minorEastAsia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肉类总产量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4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.07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 xml:space="preserve">  猪、牛、羊肉产量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.95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/>
                <w:kern w:val="0"/>
                <w:sz w:val="24"/>
              </w:rPr>
              <w:t>-17.8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 xml:space="preserve">  禽肉产量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2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.12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-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17.3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奶类总产量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.48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6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禽蛋总产量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1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.86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</w:rPr>
              <w:t>6</w:t>
            </w:r>
            <w:r>
              <w:rPr>
                <w:rFonts w:ascii="Times New Roman" w:hAnsi="Times New Roman" w:cstheme="minorEastAsia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theme="minorEastAsia"/>
                <w:kern w:val="0"/>
                <w:sz w:val="24"/>
                <w:lang w:val="en-US" w:eastAsia="zh-CN"/>
              </w:rPr>
              <w:t>3</w:t>
            </w:r>
          </w:p>
        </w:tc>
      </w:tr>
    </w:tbl>
    <w:p>
      <w:pPr>
        <w:spacing w:line="64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四、工业和建筑业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全年规模以上工业增加值比上年增长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5.3</w:t>
      </w:r>
      <w:r>
        <w:rPr>
          <w:rFonts w:ascii="Times New Roman" w:hAnsi="Times New Roman" w:eastAsia="仿宋_GB2312"/>
          <w:color w:val="auto"/>
          <w:sz w:val="32"/>
          <w:szCs w:val="32"/>
        </w:rPr>
        <w:t>%；工业总产值比上年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5.5</w:t>
      </w:r>
      <w:r>
        <w:rPr>
          <w:rFonts w:ascii="Times New Roman" w:hAnsi="Times New Roman" w:eastAsia="仿宋_GB2312"/>
          <w:color w:val="auto"/>
          <w:sz w:val="32"/>
          <w:szCs w:val="32"/>
        </w:rPr>
        <w:t>%；营业收入比上年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14.9</w:t>
      </w:r>
      <w:r>
        <w:rPr>
          <w:rFonts w:ascii="Times New Roman" w:hAnsi="Times New Roman" w:eastAsia="仿宋_GB2312"/>
          <w:color w:val="auto"/>
          <w:sz w:val="32"/>
          <w:szCs w:val="32"/>
        </w:rPr>
        <w:t>%；利润比上年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47.2</w:t>
      </w:r>
      <w:r>
        <w:rPr>
          <w:rFonts w:ascii="Times New Roman" w:hAnsi="Times New Roman" w:eastAsia="仿宋_GB2312"/>
          <w:color w:val="auto"/>
          <w:sz w:val="32"/>
          <w:szCs w:val="32"/>
        </w:rPr>
        <w:t>%。</w:t>
      </w:r>
    </w:p>
    <w:p>
      <w:pPr>
        <w:pStyle w:val="4"/>
        <w:spacing w:before="120" w:beforeAutospacing="0" w:after="120" w:afterAutospacing="0"/>
        <w:jc w:val="center"/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</w:rPr>
        <w:t>规模以上工业主要产品产量</w:t>
      </w:r>
    </w:p>
    <w:tbl>
      <w:tblPr>
        <w:tblStyle w:val="5"/>
        <w:tblW w:w="90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1050"/>
        <w:gridCol w:w="1905"/>
        <w:gridCol w:w="1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产量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比上年增长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铁矿石原矿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310.1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284.7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-27.06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195.5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初级形态塑料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120.9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95.9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石脑油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铁矿石成品矿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合成橡胶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-54.43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炼厂干气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-16.15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硅酸盐水泥熟料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机制纸及纸板（外购原纸加工除外）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22.9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烧碱（折100％）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合成纤维单体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化学试剂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43.41 </w:t>
            </w:r>
          </w:p>
        </w:tc>
      </w:tr>
    </w:tbl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年末在统的具有资质等级的总承包和专业承包建筑业企业92家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其中特级和一级建筑企业9家。建筑业总产值比上年下降1.3%。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服务业</w:t>
      </w:r>
    </w:p>
    <w:p>
      <w:pPr>
        <w:pStyle w:val="4"/>
        <w:spacing w:before="0" w:beforeAutospacing="0" w:after="0" w:afterAutospacing="0" w:line="640" w:lineRule="exact"/>
        <w:ind w:firstLine="640"/>
        <w:jc w:val="both"/>
        <w:rPr>
          <w:rFonts w:hint="default" w:ascii="Times New Roman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规模以上服务业营业收入比上年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%。其中，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规上交通运输仓储邮政业营业收入下降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5.2%，规上其他营利性服务业营业收入下降3.2%，非营利性服务业营业收入增长4.7%。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全年公路客运量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1400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万人，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43.7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%；公路客运周转量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2.8亿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人公里，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40.3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%；公路货运量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3597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万吨,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66.0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%，公路货运周转量1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13.4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亿吨公里,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16.8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%。年末公路通车里程达到629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公里。全区现有公共汽车线路3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条，营运公交车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352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辆，出租车1119辆。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全年实现邮政业务收入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8656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万元，比上年增长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8.7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%。其中，包裹快递业务收入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1284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40.4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%。电信业务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4.3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亿元，比上年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5.5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%。固定电话用户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3.6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万户,移动电话用户65.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万户，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互联网宽带接入用户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23.0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万户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比上年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9.9%。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全区拥有国家AAAA级旅游区(点)1处，AAA级旅游区(点)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处，AA级旅游区(点)1处。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全年共接待国内外游客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509.1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万人次，实现旅游总收入4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8.9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亿元。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六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、固定资产投资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全年固定资产投资比上年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9.5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，第一产业投资下降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81.5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%；第二产业投资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34.0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%，其中工业技改投资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15.4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%；第三产业投资下降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58.2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全年完成房地产开发投资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36.1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亿元，比上年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14.8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%。商品房销售面积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57.4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万平方米，比上年下降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7.6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%。商品房销售额实现5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亿元，比上年下降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6.4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%。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七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、内外贸易</w:t>
      </w:r>
    </w:p>
    <w:p>
      <w:pPr>
        <w:widowControl/>
        <w:spacing w:line="640" w:lineRule="exact"/>
        <w:ind w:firstLine="640" w:firstLineChars="200"/>
        <w:outlineLvl w:val="3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全年社会消费品零售总额比上年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2.2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%。限额以上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批发业销售额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14.6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%；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限额以上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零售业销售额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3.2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限额以上住宿业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营业额</w:t>
      </w:r>
      <w:r>
        <w:rPr>
          <w:rFonts w:ascii="Times New Roman" w:hAnsi="Times New Roman" w:eastAsia="仿宋_GB2312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1.9%；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限额以上餐饮业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营业额下降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10.7%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全年实现进出口总额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183.6</w:t>
      </w:r>
      <w:r>
        <w:rPr>
          <w:rFonts w:ascii="Times New Roman" w:hAnsi="Times New Roman" w:eastAsia="仿宋_GB2312"/>
          <w:color w:val="auto"/>
          <w:sz w:val="32"/>
          <w:szCs w:val="32"/>
        </w:rPr>
        <w:t>亿元，比上年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9.7</w:t>
      </w:r>
      <w:r>
        <w:rPr>
          <w:rFonts w:ascii="Times New Roman" w:hAnsi="Times New Roman" w:eastAsia="仿宋_GB2312"/>
          <w:color w:val="auto"/>
          <w:sz w:val="32"/>
          <w:szCs w:val="32"/>
        </w:rPr>
        <w:t>%。其中，进口额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117.8</w:t>
      </w:r>
      <w:r>
        <w:rPr>
          <w:rFonts w:ascii="Times New Roman" w:hAnsi="Times New Roman" w:eastAsia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26.1</w:t>
      </w:r>
      <w:r>
        <w:rPr>
          <w:rFonts w:ascii="Times New Roman" w:hAnsi="Times New Roman" w:eastAsia="仿宋_GB2312"/>
          <w:color w:val="auto"/>
          <w:sz w:val="32"/>
          <w:szCs w:val="32"/>
        </w:rPr>
        <w:t>%；出口额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65.9</w:t>
      </w:r>
      <w:r>
        <w:rPr>
          <w:rFonts w:ascii="Times New Roman" w:hAnsi="Times New Roman" w:eastAsia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50.0</w:t>
      </w:r>
      <w:r>
        <w:rPr>
          <w:rFonts w:ascii="Times New Roman" w:hAnsi="Times New Roman" w:eastAsia="仿宋_GB2312"/>
          <w:color w:val="auto"/>
          <w:sz w:val="32"/>
          <w:szCs w:val="32"/>
        </w:rPr>
        <w:t>%。</w:t>
      </w:r>
    </w:p>
    <w:p>
      <w:pPr>
        <w:pStyle w:val="4"/>
        <w:spacing w:before="120" w:beforeAutospacing="0" w:after="120" w:afterAutospacing="0"/>
        <w:jc w:val="center"/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表3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 xml:space="preserve">  2020</w:t>
      </w:r>
      <w:r>
        <w:rPr>
          <w:rFonts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年对主要国家和地区货物进出口总值及增长速度</w:t>
      </w:r>
    </w:p>
    <w:tbl>
      <w:tblPr>
        <w:tblStyle w:val="5"/>
        <w:tblW w:w="9060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76"/>
        <w:gridCol w:w="1356"/>
        <w:gridCol w:w="1272"/>
        <w:gridCol w:w="1404"/>
        <w:gridCol w:w="1212"/>
        <w:gridCol w:w="134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国家和地区</w:t>
            </w:r>
          </w:p>
        </w:tc>
        <w:tc>
          <w:tcPr>
            <w:tcW w:w="2532" w:type="dxa"/>
            <w:gridSpan w:val="2"/>
            <w:vMerge w:val="restart"/>
            <w:tcBorders>
              <w:right w:val="nil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进出口</w:t>
            </w:r>
          </w:p>
        </w:tc>
        <w:tc>
          <w:tcPr>
            <w:tcW w:w="26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出口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比上年增长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比上年增长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比上年增长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俄罗斯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23.61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22.47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美国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22.61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113.7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挪威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11.82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1870.0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11.01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1101.0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“一带一路”国家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70.18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54.97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东盟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21.53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-49.7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14.88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-60.3</w:t>
            </w:r>
          </w:p>
        </w:tc>
      </w:tr>
    </w:tbl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八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、财税和金融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全年一般公共预算收入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64.0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亿元，比上年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%。其中，入库税收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.5亿元，占一般公共预算收入的比重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%。一般公共预算支出50.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%。其中，社会保障和就业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支出增长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教育支出增长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2.3%，卫生健康支出增长2.5%。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全区完成税收收入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182.9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亿元，比上年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</w:t>
      </w:r>
    </w:p>
    <w:p>
      <w:pPr>
        <w:spacing w:line="640" w:lineRule="exact"/>
        <w:ind w:firstLine="642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年末金融机构各项人民币存款余额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866.5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亿元，比年初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103.6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亿元。其中，住户存款余额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597.1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亿元，比年初增加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73.3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亿元；非金融企业存款余额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209.1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亿元，比年初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30.5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亿元。金融机构各项人民币贷款余额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520.0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亿元，比年初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41.8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亿元。金融存贷比为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60.0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%。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九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、社会事业</w:t>
      </w:r>
    </w:p>
    <w:p>
      <w:pPr>
        <w:spacing w:line="640" w:lineRule="exact"/>
        <w:ind w:firstLine="642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年末全区拥有幼儿园11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所，在园幼儿数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2.0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万人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专任教师师生比为1:1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义务教育阶段小学招生5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759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人，专任教师师生比为1:13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初中招生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4819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人，专任教师师生比为1:1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普通高中招生47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67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人，专任教师师生比为1:14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特殊教育招生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人，专任教师师生比为1: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 </w:t>
      </w:r>
    </w:p>
    <w:p>
      <w:pPr>
        <w:pStyle w:val="4"/>
        <w:spacing w:before="120" w:beforeAutospacing="0" w:after="120" w:afterAutospacing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4  2020年各类学校基本情况</w:t>
      </w:r>
    </w:p>
    <w:tbl>
      <w:tblPr>
        <w:tblStyle w:val="5"/>
        <w:tblW w:w="890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1206"/>
        <w:gridCol w:w="1528"/>
        <w:gridCol w:w="1298"/>
        <w:gridCol w:w="1356"/>
        <w:gridCol w:w="15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27940</wp:posOffset>
                      </wp:positionV>
                      <wp:extent cx="1249680" cy="541020"/>
                      <wp:effectExtent l="1905" t="4445" r="13335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25525" y="3058795"/>
                                <a:ext cx="1249680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2pt;margin-top:2.2pt;height:42.6pt;width:98.4pt;z-index:251661312;mso-width-relative:page;mso-height-relative:page;" filled="f" stroked="t" coordsize="21600,21600" o:gfxdata="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aWd5zTAAAABQEAAA8AAAAAAAAAAQAgAAAAIgAAAGRycy9kb3ducmV2LnhtbFBLAQIUABQA&#10;AAAIAIdO4kDtNYYA9QEAAMQDAAAOAAAAAAAAAAEAIAAAACI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(所)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毕业生数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(人)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(人)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在校学生数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(人)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89062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5473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20265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4942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普通中学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11171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36847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6823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22633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4348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14214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5147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全区拥有公共图书馆1个，文化馆1个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博物馆20个（含民间博物馆），档</w:t>
      </w:r>
      <w:r>
        <w:rPr>
          <w:rFonts w:ascii="Times New Roman" w:hAnsi="Times New Roman" w:eastAsia="仿宋_GB2312"/>
          <w:color w:val="auto"/>
          <w:sz w:val="32"/>
          <w:szCs w:val="32"/>
        </w:rPr>
        <w:t>案馆1个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，馆藏总量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20余万卷（件）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广播电台调频1个台站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个频率，电视开路发射1个台站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个频道，地面数字电视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个频点转播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套节目。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有线</w:t>
      </w:r>
      <w:r>
        <w:rPr>
          <w:rFonts w:ascii="Times New Roman" w:hAnsi="Times New Roman" w:eastAsia="仿宋_GB2312"/>
          <w:color w:val="auto"/>
          <w:sz w:val="32"/>
          <w:szCs w:val="32"/>
        </w:rPr>
        <w:t>数字电视用户达7.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万户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广播、电视人口覆盖率均达100％。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年末全区拥有卫生机构23个。其中，医院12个，卫生院8个，妇幼保健机构1个，疾病预防控制机构1个，卫生监督机构1个。各类卫生机构拥有床位37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/>
          <w:color w:val="auto"/>
          <w:sz w:val="32"/>
          <w:szCs w:val="32"/>
        </w:rPr>
        <w:t>张，卫生技术人员4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484</w:t>
      </w:r>
      <w:r>
        <w:rPr>
          <w:rFonts w:ascii="Times New Roman" w:hAnsi="Times New Roman" w:eastAsia="仿宋_GB2312"/>
          <w:color w:val="auto"/>
          <w:sz w:val="32"/>
          <w:szCs w:val="32"/>
        </w:rPr>
        <w:t>人。全区共有执业医师(含助理)1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736</w:t>
      </w:r>
      <w:r>
        <w:rPr>
          <w:rFonts w:ascii="Times New Roman" w:hAnsi="Times New Roman" w:eastAsia="仿宋_GB2312"/>
          <w:color w:val="auto"/>
          <w:sz w:val="32"/>
          <w:szCs w:val="32"/>
        </w:rPr>
        <w:t>人，注册护士1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956</w:t>
      </w:r>
      <w:r>
        <w:rPr>
          <w:rFonts w:ascii="Times New Roman" w:hAnsi="Times New Roman" w:eastAsia="仿宋_GB2312"/>
          <w:color w:val="auto"/>
          <w:sz w:val="32"/>
          <w:szCs w:val="32"/>
        </w:rPr>
        <w:t>人。</w:t>
      </w:r>
    </w:p>
    <w:p>
      <w:pPr>
        <w:pStyle w:val="4"/>
        <w:spacing w:before="0" w:beforeAutospacing="0" w:after="0" w:afterAutospacing="0" w:line="640" w:lineRule="exact"/>
        <w:ind w:firstLine="640"/>
        <w:jc w:val="both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年全区在全国及以上比赛中共获得10枚金牌。其中，在全国游泳各项比赛中，我区运动员夺得8金；在亚洲女子橄榄球锦标赛中，我区运动员夺得1金；在全国拳击比赛中，我区运动员夺得1金。成功举办了临淄区“足球起源地杯”五人制、七人制、十一人制等赛事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十、城市建设</w:t>
      </w:r>
    </w:p>
    <w:p>
      <w:pPr>
        <w:spacing w:line="640" w:lineRule="exact"/>
        <w:ind w:firstLine="627" w:firstLineChars="196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年末，</w:t>
      </w:r>
      <w:r>
        <w:rPr>
          <w:rFonts w:ascii="Times New Roman" w:hAnsi="Times New Roman" w:eastAsia="仿宋_GB2312"/>
          <w:color w:val="auto"/>
          <w:sz w:val="32"/>
          <w:szCs w:val="32"/>
        </w:rPr>
        <w:t>建成区面积47.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2"/>
          <w:szCs w:val="32"/>
        </w:rPr>
        <w:t>平方公里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城市道路长度3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82.6</w:t>
      </w:r>
      <w:r>
        <w:rPr>
          <w:rFonts w:ascii="Times New Roman" w:hAnsi="Times New Roman" w:eastAsia="仿宋_GB2312"/>
          <w:color w:val="auto"/>
          <w:sz w:val="32"/>
          <w:szCs w:val="32"/>
        </w:rPr>
        <w:t>公里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城市排水管道总长度4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67.6</w:t>
      </w:r>
      <w:r>
        <w:rPr>
          <w:rFonts w:ascii="Times New Roman" w:hAnsi="Times New Roman" w:eastAsia="仿宋_GB2312"/>
          <w:color w:val="auto"/>
          <w:sz w:val="32"/>
          <w:szCs w:val="32"/>
        </w:rPr>
        <w:t>公里。城市垃圾中转站总数10座，全年生活垃圾清运量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9.4</w:t>
      </w:r>
      <w:r>
        <w:rPr>
          <w:rFonts w:ascii="Times New Roman" w:hAnsi="Times New Roman" w:eastAsia="仿宋_GB2312"/>
          <w:color w:val="auto"/>
          <w:sz w:val="32"/>
          <w:szCs w:val="32"/>
        </w:rPr>
        <w:t>万吨，城市生活垃圾无害化处理率达100%。城市污水处理率达9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8.6</w:t>
      </w:r>
      <w:r>
        <w:rPr>
          <w:rFonts w:ascii="Times New Roman" w:hAnsi="Times New Roman" w:eastAsia="仿宋_GB2312"/>
          <w:color w:val="auto"/>
          <w:sz w:val="32"/>
          <w:szCs w:val="32"/>
        </w:rPr>
        <w:t>%。居民使用天然气总户数达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15.6</w:t>
      </w:r>
      <w:r>
        <w:rPr>
          <w:rFonts w:ascii="Times New Roman" w:hAnsi="Times New Roman" w:eastAsia="仿宋_GB2312"/>
          <w:color w:val="auto"/>
          <w:sz w:val="32"/>
          <w:szCs w:val="32"/>
        </w:rPr>
        <w:t>万户。园林绿地面积3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617.3</w:t>
      </w:r>
      <w:r>
        <w:rPr>
          <w:rFonts w:ascii="Times New Roman" w:hAnsi="Times New Roman" w:eastAsia="仿宋_GB2312"/>
          <w:color w:val="auto"/>
          <w:sz w:val="32"/>
          <w:szCs w:val="32"/>
        </w:rPr>
        <w:t>公顷，其中公园绿地面积6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89.5</w:t>
      </w:r>
      <w:r>
        <w:rPr>
          <w:rFonts w:ascii="Times New Roman" w:hAnsi="Times New Roman" w:eastAsia="仿宋_GB2312"/>
          <w:color w:val="auto"/>
          <w:sz w:val="32"/>
          <w:szCs w:val="32"/>
        </w:rPr>
        <w:t>公顷。建成区绿化覆盖率达47.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%。 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全年共分配政府投资建设公租房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套，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享受城镇住房补贴户数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发放补贴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97.5万元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、资源环境和安全生产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全年</w:t>
      </w:r>
      <w:r>
        <w:rPr>
          <w:rFonts w:ascii="Times New Roman" w:hAnsi="Times New Roman" w:eastAsia="仿宋_GB2312"/>
          <w:color w:val="auto"/>
          <w:sz w:val="32"/>
          <w:szCs w:val="32"/>
        </w:rPr>
        <w:t>全社会用水量2.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2"/>
          <w:szCs w:val="32"/>
        </w:rPr>
        <w:t>亿立方米。其中，生活用水0.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color w:val="auto"/>
          <w:sz w:val="32"/>
          <w:szCs w:val="32"/>
        </w:rPr>
        <w:t>亿立方米，工业用水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0.96</w:t>
      </w:r>
      <w:r>
        <w:rPr>
          <w:rFonts w:ascii="Times New Roman" w:hAnsi="Times New Roman" w:eastAsia="仿宋_GB2312"/>
          <w:color w:val="auto"/>
          <w:sz w:val="32"/>
          <w:szCs w:val="32"/>
        </w:rPr>
        <w:t>亿立方米，农业用水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0.97</w:t>
      </w:r>
      <w:r>
        <w:rPr>
          <w:rFonts w:ascii="Times New Roman" w:hAnsi="Times New Roman" w:eastAsia="仿宋_GB2312"/>
          <w:color w:val="auto"/>
          <w:sz w:val="32"/>
          <w:szCs w:val="32"/>
        </w:rPr>
        <w:t>亿立方米。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全年环境空气质量良好天数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239</w:t>
      </w:r>
      <w:r>
        <w:rPr>
          <w:rFonts w:ascii="Times New Roman" w:hAnsi="Times New Roman" w:eastAsia="仿宋_GB2312"/>
          <w:color w:val="auto"/>
          <w:sz w:val="32"/>
          <w:szCs w:val="32"/>
        </w:rPr>
        <w:t>天，良好率达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65.3</w:t>
      </w:r>
      <w:r>
        <w:rPr>
          <w:rFonts w:ascii="Times New Roman" w:hAnsi="Times New Roman" w:eastAsia="仿宋_GB2312"/>
          <w:color w:val="auto"/>
          <w:sz w:val="32"/>
          <w:szCs w:val="32"/>
        </w:rPr>
        <w:t>%。大气主要污染物中，二氧化硫(SO2)、二氧化氮(NO2)、可吸入颗粒物(PM10)、细颗粒物(PM2.5)分别比上年改善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15.0</w:t>
      </w:r>
      <w:r>
        <w:rPr>
          <w:rFonts w:ascii="Times New Roman" w:hAnsi="Times New Roman" w:eastAsia="仿宋_GB2312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2.6</w:t>
      </w:r>
      <w:r>
        <w:rPr>
          <w:rFonts w:ascii="Times New Roman" w:hAnsi="Times New Roman" w:eastAsia="仿宋_GB2312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13.8</w:t>
      </w:r>
      <w:r>
        <w:rPr>
          <w:rFonts w:ascii="Times New Roman" w:hAnsi="Times New Roman" w:eastAsia="仿宋_GB2312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10.0</w:t>
      </w:r>
      <w:r>
        <w:rPr>
          <w:rFonts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。五级以上天数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11天，比上年减少12天。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全年累计发生各类生产安全事故21起，亿元国内生产总值生产安全事故死亡人数0.007人，道路交通事故万车死亡人数1.95人，煤矿百万吨死亡人数0人。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>、人口、居民生活和民生保障</w:t>
      </w:r>
    </w:p>
    <w:p>
      <w:pPr>
        <w:spacing w:line="640" w:lineRule="exact"/>
        <w:ind w:firstLine="642"/>
        <w:jc w:val="both"/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全年出生人口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3814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人，死亡人口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3678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人。人口出生率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6.5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‰，比上年下降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2.3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个千分点。人口死亡率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6.2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‰，比上年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提高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0.6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个千分点</w:t>
      </w:r>
      <w:r>
        <w:rPr>
          <w:rFonts w:hint="eastAsia" w:eastAsia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人口自然增长率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0.2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‰，比上年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下降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2.9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个千分点。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全年居民人均可支配收入达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40036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元，比上年增长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.1%。其中，城镇居民人均可支配收入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47982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2.6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%；农村居民人均可支配收入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24133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5.2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%。居民人均消费支出达25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936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元，比上年增长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%。其中，城镇居民人均消费支出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31282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1.8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%；农村居民人均消费支出15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563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.7%。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</w:rPr>
        <w:t>全区养老保险、城镇职工医疗保险、城乡居民医疗保险、失业保险参保人数分别达到38.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</w:rPr>
        <w:t>万人、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13.7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</w:rPr>
        <w:t>万人、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39.9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</w:rPr>
        <w:t>万人、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auto"/>
          <w:kern w:val="0"/>
          <w:sz w:val="32"/>
          <w:szCs w:val="32"/>
          <w:shd w:val="clear" w:color="auto" w:fill="FFFFFF"/>
        </w:rPr>
        <w:t>万人。</w:t>
      </w:r>
      <w:r>
        <w:rPr>
          <w:rFonts w:ascii="Times New Roman" w:hAnsi="Times New Roman" w:eastAsia="仿宋_GB2312"/>
          <w:color w:val="auto"/>
          <w:sz w:val="32"/>
          <w:szCs w:val="32"/>
        </w:rPr>
        <w:t>城镇居民月最低生活保障标准由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600</w:t>
      </w:r>
      <w:r>
        <w:rPr>
          <w:rFonts w:ascii="Times New Roman" w:hAnsi="Times New Roman" w:eastAsia="仿宋_GB2312"/>
          <w:color w:val="auto"/>
          <w:sz w:val="32"/>
          <w:szCs w:val="32"/>
        </w:rPr>
        <w:t>元提高至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720</w:t>
      </w:r>
      <w:r>
        <w:rPr>
          <w:rFonts w:ascii="Times New Roman" w:hAnsi="Times New Roman" w:eastAsia="仿宋_GB2312"/>
          <w:color w:val="auto"/>
          <w:sz w:val="32"/>
          <w:szCs w:val="32"/>
        </w:rPr>
        <w:t>元，保障人数2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2"/>
          <w:szCs w:val="32"/>
        </w:rPr>
        <w:t>人。农民年最低生活保障标准达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6480</w:t>
      </w:r>
      <w:r>
        <w:rPr>
          <w:rFonts w:ascii="Times New Roman" w:hAnsi="Times New Roman" w:eastAsia="仿宋_GB2312"/>
          <w:color w:val="auto"/>
          <w:sz w:val="32"/>
          <w:szCs w:val="32"/>
        </w:rPr>
        <w:t>元，保障人数24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96</w:t>
      </w:r>
      <w:r>
        <w:rPr>
          <w:rFonts w:ascii="Times New Roman" w:hAnsi="Times New Roman" w:eastAsia="仿宋_GB2312"/>
          <w:color w:val="auto"/>
          <w:sz w:val="32"/>
          <w:szCs w:val="32"/>
        </w:rPr>
        <w:t>人。全年共计发放生活保障支出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1356.9</w:t>
      </w:r>
      <w:r>
        <w:rPr>
          <w:rFonts w:ascii="Times New Roman" w:hAnsi="Times New Roman" w:eastAsia="仿宋_GB2312"/>
          <w:color w:val="auto"/>
          <w:sz w:val="32"/>
          <w:szCs w:val="32"/>
        </w:rPr>
        <w:t>万元。拥有各类收养性社会福利单位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</w:rPr>
        <w:t>个，各类社会福利单位床位数2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580</w:t>
      </w:r>
      <w:r>
        <w:rPr>
          <w:rFonts w:ascii="Times New Roman" w:hAnsi="Times New Roman" w:eastAsia="仿宋_GB2312"/>
          <w:color w:val="auto"/>
          <w:sz w:val="32"/>
          <w:szCs w:val="32"/>
        </w:rPr>
        <w:t>张，收养1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386</w:t>
      </w:r>
      <w:r>
        <w:rPr>
          <w:rFonts w:ascii="Times New Roman" w:hAnsi="Times New Roman" w:eastAsia="仿宋_GB2312"/>
          <w:color w:val="auto"/>
          <w:sz w:val="32"/>
          <w:szCs w:val="32"/>
        </w:rPr>
        <w:t>人。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注：1、本公报中的部分数据为快报数或初步统计数。部分数据因四舍五入的原因，存在着与分项合计不等的情况。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全区</w:t>
      </w:r>
      <w:r>
        <w:rPr>
          <w:rFonts w:ascii="Times New Roman" w:hAnsi="Times New Roman" w:eastAsia="仿宋_GB2312"/>
          <w:color w:val="auto"/>
          <w:sz w:val="32"/>
          <w:szCs w:val="32"/>
        </w:rPr>
        <w:t>生产总值、各产业增加值绝对数按现价计算，增长速度按不变价计算。</w:t>
      </w:r>
    </w:p>
    <w:sectPr>
      <w:footerReference r:id="rId3" w:type="default"/>
      <w:pgSz w:w="11906" w:h="16838"/>
      <w:pgMar w:top="2154" w:right="1531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E1C86"/>
    <w:multiLevelType w:val="singleLevel"/>
    <w:tmpl w:val="03AE1C8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5F7B"/>
    <w:rsid w:val="02AC367E"/>
    <w:rsid w:val="02E840BB"/>
    <w:rsid w:val="031510ED"/>
    <w:rsid w:val="032D4E9B"/>
    <w:rsid w:val="034C4C8E"/>
    <w:rsid w:val="04395390"/>
    <w:rsid w:val="062C1ED7"/>
    <w:rsid w:val="066D77AA"/>
    <w:rsid w:val="06723010"/>
    <w:rsid w:val="06873066"/>
    <w:rsid w:val="079C5507"/>
    <w:rsid w:val="07B8000D"/>
    <w:rsid w:val="09B22EAE"/>
    <w:rsid w:val="09BC4036"/>
    <w:rsid w:val="0A3A53B9"/>
    <w:rsid w:val="0B4F0978"/>
    <w:rsid w:val="0BDA2348"/>
    <w:rsid w:val="0CAA40E9"/>
    <w:rsid w:val="0CBF6A9D"/>
    <w:rsid w:val="0CEC34FA"/>
    <w:rsid w:val="0CF042C8"/>
    <w:rsid w:val="0DFC79F1"/>
    <w:rsid w:val="0E661676"/>
    <w:rsid w:val="0F4F4E4F"/>
    <w:rsid w:val="0FF81818"/>
    <w:rsid w:val="100A791D"/>
    <w:rsid w:val="108152E5"/>
    <w:rsid w:val="115733F5"/>
    <w:rsid w:val="12644D00"/>
    <w:rsid w:val="133575D4"/>
    <w:rsid w:val="14065A19"/>
    <w:rsid w:val="14AD6E8D"/>
    <w:rsid w:val="150540B8"/>
    <w:rsid w:val="15A3569E"/>
    <w:rsid w:val="166934CA"/>
    <w:rsid w:val="178860C9"/>
    <w:rsid w:val="19054559"/>
    <w:rsid w:val="1A612438"/>
    <w:rsid w:val="1AE9708B"/>
    <w:rsid w:val="1BA102C4"/>
    <w:rsid w:val="1C122196"/>
    <w:rsid w:val="1C245325"/>
    <w:rsid w:val="1CB85EE6"/>
    <w:rsid w:val="1CBC3920"/>
    <w:rsid w:val="1DBB753D"/>
    <w:rsid w:val="200F6EBB"/>
    <w:rsid w:val="202A6BE9"/>
    <w:rsid w:val="20E60A65"/>
    <w:rsid w:val="216E60B3"/>
    <w:rsid w:val="217D3F70"/>
    <w:rsid w:val="21CC14FF"/>
    <w:rsid w:val="22911823"/>
    <w:rsid w:val="22C85276"/>
    <w:rsid w:val="230D53E9"/>
    <w:rsid w:val="23121BBB"/>
    <w:rsid w:val="23E466C0"/>
    <w:rsid w:val="24E57402"/>
    <w:rsid w:val="261B60BD"/>
    <w:rsid w:val="26F81963"/>
    <w:rsid w:val="27B06E9A"/>
    <w:rsid w:val="288C03F1"/>
    <w:rsid w:val="28915BCF"/>
    <w:rsid w:val="29F25584"/>
    <w:rsid w:val="29F47626"/>
    <w:rsid w:val="2A906AA5"/>
    <w:rsid w:val="2AD5693A"/>
    <w:rsid w:val="2ADF2EB0"/>
    <w:rsid w:val="2BD9679F"/>
    <w:rsid w:val="2EB6475C"/>
    <w:rsid w:val="2F1B5144"/>
    <w:rsid w:val="305E5EDB"/>
    <w:rsid w:val="309D03EB"/>
    <w:rsid w:val="31135339"/>
    <w:rsid w:val="31271EED"/>
    <w:rsid w:val="31296A21"/>
    <w:rsid w:val="318E7F24"/>
    <w:rsid w:val="31B82D46"/>
    <w:rsid w:val="321A5680"/>
    <w:rsid w:val="325B2F17"/>
    <w:rsid w:val="32AB10F4"/>
    <w:rsid w:val="33EA6D6B"/>
    <w:rsid w:val="342C4894"/>
    <w:rsid w:val="345D4436"/>
    <w:rsid w:val="347B64D1"/>
    <w:rsid w:val="355715F2"/>
    <w:rsid w:val="359946D5"/>
    <w:rsid w:val="35AF4442"/>
    <w:rsid w:val="35DE6F2A"/>
    <w:rsid w:val="35F87B34"/>
    <w:rsid w:val="363B3C79"/>
    <w:rsid w:val="364A7FFC"/>
    <w:rsid w:val="37A63140"/>
    <w:rsid w:val="37E9363C"/>
    <w:rsid w:val="386A60E8"/>
    <w:rsid w:val="38E870A6"/>
    <w:rsid w:val="3929516F"/>
    <w:rsid w:val="39847B7B"/>
    <w:rsid w:val="398C1464"/>
    <w:rsid w:val="3AB4171C"/>
    <w:rsid w:val="3BB979BE"/>
    <w:rsid w:val="3BD4428E"/>
    <w:rsid w:val="3BD465C8"/>
    <w:rsid w:val="3C670F14"/>
    <w:rsid w:val="3D056BD2"/>
    <w:rsid w:val="3E020B1F"/>
    <w:rsid w:val="3E093B53"/>
    <w:rsid w:val="3E7B080D"/>
    <w:rsid w:val="3E8F7D39"/>
    <w:rsid w:val="3F9D3050"/>
    <w:rsid w:val="3FA44750"/>
    <w:rsid w:val="3FAC5830"/>
    <w:rsid w:val="3FC90F94"/>
    <w:rsid w:val="407342FC"/>
    <w:rsid w:val="408D14D8"/>
    <w:rsid w:val="41661D99"/>
    <w:rsid w:val="41A64011"/>
    <w:rsid w:val="41AF298B"/>
    <w:rsid w:val="42FC3CE9"/>
    <w:rsid w:val="441F6675"/>
    <w:rsid w:val="448B4330"/>
    <w:rsid w:val="44F801BD"/>
    <w:rsid w:val="45854E04"/>
    <w:rsid w:val="45B6430C"/>
    <w:rsid w:val="45D142AC"/>
    <w:rsid w:val="45FD5055"/>
    <w:rsid w:val="46D32F33"/>
    <w:rsid w:val="46D63FEE"/>
    <w:rsid w:val="49ED3B37"/>
    <w:rsid w:val="4A000E60"/>
    <w:rsid w:val="4A2801C5"/>
    <w:rsid w:val="4A74782C"/>
    <w:rsid w:val="4ACC287C"/>
    <w:rsid w:val="4B762C53"/>
    <w:rsid w:val="4BE80A36"/>
    <w:rsid w:val="4CC1577E"/>
    <w:rsid w:val="4D3A179F"/>
    <w:rsid w:val="4F7E4FD9"/>
    <w:rsid w:val="4F821343"/>
    <w:rsid w:val="4FB54140"/>
    <w:rsid w:val="4FD8239C"/>
    <w:rsid w:val="50680AD6"/>
    <w:rsid w:val="50C375D1"/>
    <w:rsid w:val="510C6994"/>
    <w:rsid w:val="52127E44"/>
    <w:rsid w:val="5261537A"/>
    <w:rsid w:val="536A7AE7"/>
    <w:rsid w:val="5469677B"/>
    <w:rsid w:val="554B2AF2"/>
    <w:rsid w:val="559C3E55"/>
    <w:rsid w:val="55E75908"/>
    <w:rsid w:val="568E152E"/>
    <w:rsid w:val="56914DD2"/>
    <w:rsid w:val="57270B0C"/>
    <w:rsid w:val="5746601E"/>
    <w:rsid w:val="588102C7"/>
    <w:rsid w:val="5A811B13"/>
    <w:rsid w:val="5B7475F4"/>
    <w:rsid w:val="5CCC66F3"/>
    <w:rsid w:val="5CE52D03"/>
    <w:rsid w:val="5D101583"/>
    <w:rsid w:val="5D1F2C4D"/>
    <w:rsid w:val="5E074C46"/>
    <w:rsid w:val="5E373650"/>
    <w:rsid w:val="5F4A623A"/>
    <w:rsid w:val="5F84266C"/>
    <w:rsid w:val="5F844E81"/>
    <w:rsid w:val="5FAB5246"/>
    <w:rsid w:val="610560F4"/>
    <w:rsid w:val="640D7A8F"/>
    <w:rsid w:val="65A24BBE"/>
    <w:rsid w:val="666D303B"/>
    <w:rsid w:val="674502A1"/>
    <w:rsid w:val="689241B4"/>
    <w:rsid w:val="68B47866"/>
    <w:rsid w:val="69282248"/>
    <w:rsid w:val="69BE4811"/>
    <w:rsid w:val="6AD01804"/>
    <w:rsid w:val="6C2B6B02"/>
    <w:rsid w:val="6D597230"/>
    <w:rsid w:val="6D5F31BB"/>
    <w:rsid w:val="6DA43C53"/>
    <w:rsid w:val="6DEB2825"/>
    <w:rsid w:val="6E430734"/>
    <w:rsid w:val="6FBE5FD4"/>
    <w:rsid w:val="719E7684"/>
    <w:rsid w:val="71B479EA"/>
    <w:rsid w:val="72AE45DF"/>
    <w:rsid w:val="73894455"/>
    <w:rsid w:val="74107A31"/>
    <w:rsid w:val="74114F88"/>
    <w:rsid w:val="74B45CC1"/>
    <w:rsid w:val="74CE5A40"/>
    <w:rsid w:val="74D97420"/>
    <w:rsid w:val="756F4793"/>
    <w:rsid w:val="75B87C17"/>
    <w:rsid w:val="75BE63C5"/>
    <w:rsid w:val="76700959"/>
    <w:rsid w:val="76CB51E2"/>
    <w:rsid w:val="7700358D"/>
    <w:rsid w:val="77146D86"/>
    <w:rsid w:val="773A4243"/>
    <w:rsid w:val="788C0C10"/>
    <w:rsid w:val="78B96C4D"/>
    <w:rsid w:val="78FA2743"/>
    <w:rsid w:val="79777872"/>
    <w:rsid w:val="7AE26D3E"/>
    <w:rsid w:val="7D38423E"/>
    <w:rsid w:val="7E4F21AE"/>
    <w:rsid w:val="7E743E0D"/>
    <w:rsid w:val="7F4156E8"/>
    <w:rsid w:val="7FE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rFonts w:hint="eastAsia" w:ascii="宋体" w:hAnsi="宋体" w:eastAsia="宋体" w:cs="宋体"/>
      <w:color w:val="3D3D3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2021-04-06T07:44:00Z</cp:lastPrinted>
  <dcterms:modified xsi:type="dcterms:W3CDTF">2021-05-14T00:48:52Z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241537197_btnclosed</vt:lpwstr>
  </property>
  <property fmtid="{D5CDD505-2E9C-101B-9397-08002B2CF9AE}" pid="4" name="ICV">
    <vt:lpwstr>4B2F1F8F36594032B8EDD051E922B612</vt:lpwstr>
  </property>
</Properties>
</file>