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jc w:val="center"/>
        <w:rPr>
          <w:rFonts w:ascii="黑体" w:hAnsi="黑体" w:eastAsia="黑体"/>
          <w:sz w:val="36"/>
        </w:rPr>
      </w:pPr>
    </w:p>
    <w:p>
      <w:pPr>
        <w:spacing w:after="156" w:afterLines="50"/>
        <w:jc w:val="center"/>
        <w:rPr>
          <w:rFonts w:hint="eastAsia" w:ascii="方正小标宋简体" w:hAnsi="黑体" w:eastAsia="方正小标宋简体"/>
          <w:sz w:val="40"/>
        </w:rPr>
      </w:pPr>
      <w:r>
        <w:rPr>
          <w:rFonts w:hint="eastAsia" w:ascii="方正小标宋简体" w:hAnsi="黑体" w:eastAsia="方正小标宋简体"/>
          <w:sz w:val="40"/>
        </w:rPr>
        <w:t>临淄区区级政府部门职责边界清单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43"/>
        <w:gridCol w:w="1984"/>
        <w:gridCol w:w="354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边界事项名称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提报部门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涉及部门、单位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校外培训机构治理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区教育和体育局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区教育和体育局、区民政局、区市场监督管理局、区人力资源和社会保障局、市公安局临淄分局、区消防救援大队、区委宣传部、区文化和旅游局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2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社区教育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区教育和体育局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区教育和体育局、区民政局、区财政局、区人力资源和社会保障局、区文化和旅游局、区科协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乡村振兴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区农业农村局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区委农办、区农业农村局、区发展和改革局、区人力资源和社会保障局、区委组织部、区委宣传部、区文化和旅游局、市生态环境局临淄分局、区住房和城乡建设局、区民政局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本级文物保护单位保护范围和建设控制地带的划定公布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区文化和旅游局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区文化和旅游局、区自然资源局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娱乐场所经营活动监管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区文化和旅游局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区文化和旅游局、市公安局临淄分局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擅自从事娱乐场所经营活动的监管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区文化和旅游局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区文化和旅游局、市公安局临淄分局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职业卫生监管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区卫生健康局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卫生健康局、区人力资源和社会保障局、区总工会、区应急管理局、区发展和改革局、市生态环境局临淄分局、区财政局、区民政局、市医疗保障局临淄分局、区住房和城乡建设局、区交通运输局、区文化和旅游局、区市场监督管理局、区农业农村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防汛抗旱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区应急管理局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应急管理局、区委宣传部、区住房和城乡建设局、区水利局、区综合行政执法局、市公安局临淄分局、区发展和改革局、区教育和体育局、区工业和信息化局、区财政局、区自然资源局、区交通运输局、区农业农村局、区商务局、区文化和旅游局、区卫生健康局、区市场监督管理局、区供销社、区融媒体中心、区气象局、临淄消防大队、临淄供电公司、中国联通临淄区分公司、中国移动临淄分公司、中国电信临淄分公司、人保财险临淄支公司、区人武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对社会事务类审批事项的办理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区行政审批服务局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区行政审批服务局、区卫生健康局、区文化和旅游局、区司法局、区委统战部（区政府侨务办公室）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广告监管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区市场监督管理局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区市场监督管理局、市公安局临淄分局、区行政审批服务局、区卫生健康局、区文化和旅游局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11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旅游市场监督管理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区市场监督管理局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区市场监督管理局、区文化和旅游局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203</w:t>
            </w:r>
          </w:p>
        </w:tc>
      </w:tr>
    </w:tbl>
    <w:p>
      <w:pPr>
        <w:spacing w:before="156" w:beforeLines="50"/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</w:t>
      </w:r>
      <w:r>
        <w:rPr>
          <w:rFonts w:ascii="黑体" w:hAnsi="黑体" w:eastAsia="黑体"/>
          <w:sz w:val="24"/>
          <w:szCs w:val="24"/>
        </w:rPr>
        <w:t>：编码前</w:t>
      </w:r>
      <w:bookmarkStart w:id="0" w:name="_GoBack"/>
      <w:bookmarkEnd w:id="0"/>
      <w:r>
        <w:rPr>
          <w:rFonts w:ascii="黑体" w:hAnsi="黑体" w:eastAsia="黑体"/>
          <w:sz w:val="24"/>
          <w:szCs w:val="24"/>
        </w:rPr>
        <w:t>加</w:t>
      </w:r>
      <w:r>
        <w:rPr>
          <w:rFonts w:hint="eastAsia" w:ascii="黑体" w:hAnsi="黑体" w:eastAsia="黑体" w:cs="宋体"/>
          <w:kern w:val="0"/>
          <w:sz w:val="24"/>
          <w:szCs w:val="24"/>
        </w:rPr>
        <w:t>★事项</w:t>
      </w:r>
      <w:r>
        <w:rPr>
          <w:rFonts w:ascii="黑体" w:hAnsi="黑体" w:eastAsia="黑体" w:cs="宋体"/>
          <w:kern w:val="0"/>
          <w:sz w:val="24"/>
          <w:szCs w:val="24"/>
        </w:rPr>
        <w:t>为部门“</w:t>
      </w:r>
      <w:r>
        <w:rPr>
          <w:rFonts w:hint="eastAsia" w:ascii="黑体" w:hAnsi="黑体" w:eastAsia="黑体" w:cs="宋体"/>
          <w:kern w:val="0"/>
          <w:sz w:val="24"/>
          <w:szCs w:val="24"/>
        </w:rPr>
        <w:t>三定</w:t>
      </w:r>
      <w:r>
        <w:rPr>
          <w:rFonts w:ascii="黑体" w:hAnsi="黑体" w:eastAsia="黑体" w:cs="宋体"/>
          <w:kern w:val="0"/>
          <w:sz w:val="24"/>
          <w:szCs w:val="24"/>
        </w:rPr>
        <w:t>”</w:t>
      </w:r>
      <w:r>
        <w:rPr>
          <w:rFonts w:hint="eastAsia" w:ascii="黑体" w:hAnsi="黑体" w:eastAsia="黑体" w:cs="宋体"/>
          <w:kern w:val="0"/>
          <w:sz w:val="24"/>
          <w:szCs w:val="24"/>
        </w:rPr>
        <w:t>规定</w:t>
      </w:r>
      <w:r>
        <w:rPr>
          <w:rFonts w:ascii="黑体" w:hAnsi="黑体" w:eastAsia="黑体" w:cs="宋体"/>
          <w:kern w:val="0"/>
          <w:sz w:val="24"/>
          <w:szCs w:val="24"/>
        </w:rPr>
        <w:t>明确的事项</w:t>
      </w:r>
      <w:r>
        <w:rPr>
          <w:rFonts w:hint="eastAsia" w:ascii="黑体" w:hAnsi="黑体" w:eastAsia="黑体" w:cs="宋体"/>
          <w:kern w:val="0"/>
          <w:sz w:val="24"/>
          <w:szCs w:val="24"/>
        </w:rPr>
        <w:t>。</w:t>
      </w:r>
    </w:p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</w:rPr>
    </w:pPr>
    <w:sdt>
      <w:sdtPr>
        <w:id w:val="29071752"/>
        <w:docPartObj>
          <w:docPartGallery w:val="AutoText"/>
        </w:docPartObj>
      </w:sdtPr>
      <w:sdtEndPr>
        <w:rPr>
          <w:rFonts w:hint="eastAsia" w:ascii="仿宋_GB2312" w:eastAsia="仿宋_GB2312"/>
          <w:sz w:val="28"/>
        </w:rPr>
      </w:sdtEndPr>
      <w:sdtContent>
        <w:r>
          <w:rPr>
            <w:rFonts w:ascii="仿宋_GB2312" w:eastAsia="仿宋_GB2312"/>
            <w:sz w:val="28"/>
          </w:rPr>
          <w:t xml:space="preserve">- </w:t>
        </w: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15</w:t>
        </w:r>
        <w:r>
          <w:rPr>
            <w:rFonts w:hint="eastAsia" w:ascii="仿宋_GB2312" w:eastAsia="仿宋_GB2312"/>
            <w:sz w:val="28"/>
          </w:rPr>
          <w:fldChar w:fldCharType="end"/>
        </w:r>
        <w:r>
          <w:rPr>
            <w:rFonts w:ascii="仿宋_GB2312" w:eastAsia="仿宋_GB2312"/>
            <w:sz w:val="28"/>
          </w:rPr>
          <w:t xml:space="preserve"> -</w:t>
        </w:r>
      </w:sdtContent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4697287"/>
      <w:docPartObj>
        <w:docPartGallery w:val="AutoText"/>
      </w:docPartObj>
    </w:sdtPr>
    <w:sdtEndPr>
      <w:rPr>
        <w:rFonts w:hint="eastAsia" w:ascii="仿宋_GB2312" w:eastAsia="仿宋_GB2312"/>
        <w:sz w:val="28"/>
      </w:rPr>
    </w:sdtEndPr>
    <w:sdtContent>
      <w:p>
        <w:pPr>
          <w:pStyle w:val="2"/>
          <w:rPr>
            <w:rFonts w:ascii="仿宋_GB2312" w:eastAsia="仿宋_GB2312"/>
            <w:sz w:val="28"/>
          </w:rPr>
        </w:pPr>
        <w:r>
          <w:rPr>
            <w:rFonts w:ascii="仿宋_GB2312" w:eastAsia="仿宋_GB2312"/>
            <w:sz w:val="28"/>
          </w:rPr>
          <w:t xml:space="preserve">- </w:t>
        </w: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14</w:t>
        </w:r>
        <w:r>
          <w:rPr>
            <w:rFonts w:hint="eastAsia" w:ascii="仿宋_GB2312" w:eastAsia="仿宋_GB2312"/>
            <w:sz w:val="28"/>
          </w:rPr>
          <w:fldChar w:fldCharType="end"/>
        </w:r>
        <w:r>
          <w:rPr>
            <w:rFonts w:ascii="仿宋_GB2312" w:eastAsia="仿宋_GB2312"/>
            <w:sz w:val="28"/>
          </w:rPr>
          <w:t xml:space="preserve"> 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F"/>
    <w:rsid w:val="00073794"/>
    <w:rsid w:val="00090438"/>
    <w:rsid w:val="000D2E52"/>
    <w:rsid w:val="000E0DE3"/>
    <w:rsid w:val="001432C3"/>
    <w:rsid w:val="00156122"/>
    <w:rsid w:val="001A6A0C"/>
    <w:rsid w:val="002A7472"/>
    <w:rsid w:val="002C338F"/>
    <w:rsid w:val="002C53E6"/>
    <w:rsid w:val="003372F5"/>
    <w:rsid w:val="00350C8E"/>
    <w:rsid w:val="00354B2B"/>
    <w:rsid w:val="00392838"/>
    <w:rsid w:val="003A06FF"/>
    <w:rsid w:val="003C7EF1"/>
    <w:rsid w:val="00456CCD"/>
    <w:rsid w:val="00460318"/>
    <w:rsid w:val="004841F9"/>
    <w:rsid w:val="004B065D"/>
    <w:rsid w:val="004B7C4E"/>
    <w:rsid w:val="005052BE"/>
    <w:rsid w:val="00511BCD"/>
    <w:rsid w:val="005E59FE"/>
    <w:rsid w:val="006036FD"/>
    <w:rsid w:val="006C7C9F"/>
    <w:rsid w:val="009479FD"/>
    <w:rsid w:val="00985947"/>
    <w:rsid w:val="00993B15"/>
    <w:rsid w:val="009B6B56"/>
    <w:rsid w:val="00A0419F"/>
    <w:rsid w:val="00A85B3A"/>
    <w:rsid w:val="00AE195E"/>
    <w:rsid w:val="00B6653F"/>
    <w:rsid w:val="00CB46DF"/>
    <w:rsid w:val="00CD1A8E"/>
    <w:rsid w:val="00CD5124"/>
    <w:rsid w:val="00D0330A"/>
    <w:rsid w:val="00DD01FF"/>
    <w:rsid w:val="00DD4D80"/>
    <w:rsid w:val="00DE1438"/>
    <w:rsid w:val="00DF2FAD"/>
    <w:rsid w:val="00E07A9A"/>
    <w:rsid w:val="00E5498C"/>
    <w:rsid w:val="00E63BCB"/>
    <w:rsid w:val="00FE73B9"/>
    <w:rsid w:val="23C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2">
    <w:name w:val="xl64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3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0">
    <w:name w:val="xl72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仿宋_GB2312" w:hAnsi="宋体" w:eastAsia="仿宋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6F2A0-A979-4D02-BB12-53EE0E88C4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1679</Words>
  <Characters>9575</Characters>
  <Lines>79</Lines>
  <Paragraphs>22</Paragraphs>
  <TotalTime>3</TotalTime>
  <ScaleCrop>false</ScaleCrop>
  <LinksUpToDate>false</LinksUpToDate>
  <CharactersWithSpaces>11232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2020-06-22T02:41:00Z</dcterms:created>
  <dc:creator>微软用户</dc:creator>
  <cp:lastModifiedBy></cp:lastModifiedBy>
  <dcterms:modified xsi:type="dcterms:W3CDTF">2020-11-30T07:24:54Z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