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6CAE3">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临淄区卫生健康局2025年政府信息公开工作年度报告</w:t>
      </w:r>
    </w:p>
    <w:p w14:paraId="169C05FB">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仿宋_GB2312" w:hAnsi="仿宋_GB2312" w:eastAsia="仿宋_GB2312" w:cs="仿宋_GB2312"/>
          <w:sz w:val="32"/>
          <w:szCs w:val="32"/>
          <w:lang w:val="en-US" w:eastAsia="zh-CN"/>
        </w:rPr>
      </w:pPr>
    </w:p>
    <w:p w14:paraId="1347C00F">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本年度报告中所列数据的统计期限自2025年1月1日起，至2025年12月31日止。如对报告内容有疑问，请与临淄区卫生健康局联系（地址：临淄区晏婴路199号；邮编：255400；电话：0533-7181093；电子邮箱：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"mailto:linzqwjjbgs@zb.shandong.cn）。" </w:instrText>
      </w:r>
      <w:r>
        <w:rPr>
          <w:rFonts w:hint="eastAsia" w:ascii="仿宋_GB2312" w:hAnsi="仿宋_GB2312" w:eastAsia="仿宋_GB2312" w:cs="仿宋_GB2312"/>
          <w:sz w:val="32"/>
          <w:szCs w:val="32"/>
          <w:lang w:val="en-US" w:eastAsia="zh-CN"/>
        </w:rPr>
        <w:fldChar w:fldCharType="separate"/>
      </w:r>
      <w:r>
        <w:rPr>
          <w:rStyle w:val="7"/>
          <w:rFonts w:hint="eastAsia" w:ascii="仿宋_GB2312" w:hAnsi="仿宋_GB2312" w:eastAsia="仿宋_GB2312" w:cs="仿宋_GB2312"/>
          <w:sz w:val="32"/>
          <w:szCs w:val="32"/>
          <w:lang w:val="en-US" w:eastAsia="zh-CN"/>
        </w:rPr>
        <w:t>linzqwjjbgs@zb.shandong.cn</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end"/>
      </w:r>
    </w:p>
    <w:p w14:paraId="08D95D2F">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一、总体情况</w:t>
      </w:r>
    </w:p>
    <w:p w14:paraId="4F136FCB">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临淄区卫生健康局认真贯彻落实各项关于推进政务公开的部署要求，紧紧围绕卫生健康重点工作任务，按照“公开为常态、不公开为例外”的工作原则，积极回应社会关切，持续提升政务公开的标准化、规范化水平。</w:t>
      </w:r>
    </w:p>
    <w:p w14:paraId="1DC7A9A0">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（一）主动公开方面。</w:t>
      </w:r>
      <w:r>
        <w:rPr>
          <w:rFonts w:hint="eastAsia" w:ascii="仿宋_GB2312" w:hAnsi="仿宋_GB2312" w:eastAsia="仿宋_GB2312" w:cs="仿宋_GB2312"/>
          <w:sz w:val="32"/>
          <w:szCs w:val="32"/>
          <w:lang w:val="en-US" w:eastAsia="zh-CN"/>
        </w:rPr>
        <w:t>主动公开政府信息1764条，其中，政府门户网站主动公开各类信息678条，“健康临淄”官方微信公众号推送信息1086篇。包括人事信息、财政信息、公告公示、工作部署等多方面内容。同时，推进重点领域信息公开，公开了医疗资源配置、公共卫生监督检查、医疗卫生管理等信息。一是人事信息。及时更新局机关及本系统各单位领导班子成员分工调整情况，依法依规公开公示卫生健康系统事业单位招考、招聘等相关信息。二是财政信息。编制发布2024年度单位、部门决算及2025年单位、部门预算。三是医疗资源配置信息。每季度公开全区在册医疗卫生机构、</w:t>
      </w:r>
      <w:r>
        <w:rPr>
          <w:rFonts w:ascii="仿宋_GB2312" w:hAnsi="宋体" w:eastAsia="仿宋_GB2312" w:cs="仿宋_GB2312"/>
          <w:i w:val="0"/>
          <w:iCs w:val="0"/>
          <w:caps w:val="0"/>
          <w:color w:val="000000"/>
          <w:spacing w:val="0"/>
          <w:sz w:val="32"/>
          <w:szCs w:val="32"/>
          <w:shd w:val="clear" w:fill="FFFFFF"/>
        </w:rPr>
        <w:t>开放病床</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医疗卫生人员</w:t>
      </w:r>
      <w:r>
        <w:rPr>
          <w:rFonts w:hint="eastAsia" w:ascii="仿宋_GB2312" w:hAnsi="宋体" w:eastAsia="仿宋_GB2312" w:cs="仿宋_GB2312"/>
          <w:i w:val="0"/>
          <w:iCs w:val="0"/>
          <w:caps w:val="0"/>
          <w:color w:val="000000"/>
          <w:spacing w:val="0"/>
          <w:sz w:val="32"/>
          <w:szCs w:val="32"/>
          <w:shd w:val="clear" w:fill="FFFFFF"/>
          <w:lang w:val="en-US" w:eastAsia="zh-CN"/>
        </w:rPr>
        <w:t>等情况。</w:t>
      </w:r>
      <w:r>
        <w:rPr>
          <w:rFonts w:hint="eastAsia" w:ascii="仿宋_GB2312" w:hAnsi="仿宋_GB2312" w:eastAsia="仿宋_GB2312" w:cs="仿宋_GB2312"/>
          <w:sz w:val="32"/>
          <w:szCs w:val="32"/>
          <w:lang w:val="en-US" w:eastAsia="zh-CN"/>
        </w:rPr>
        <w:t>四是公共卫生监督检查。公示计划生育、生活饮用水、公共场所、学校卫生、食品安全、医疗机构等监督检查情况并发布2024年度监督检查总结及2025年度监督检查计划。五是医疗卫生管理。公示辖区内诊所备案、备案变动、备案凭证撤销等信息共45条。</w:t>
      </w:r>
    </w:p>
    <w:p w14:paraId="33462581">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（二）依申请公开工作方面。</w:t>
      </w:r>
      <w:r>
        <w:rPr>
          <w:rFonts w:hint="eastAsia" w:ascii="仿宋_GB2312" w:hAnsi="仿宋_GB2312" w:eastAsia="仿宋_GB2312" w:cs="仿宋_GB2312"/>
          <w:sz w:val="32"/>
          <w:szCs w:val="32"/>
          <w:lang w:val="en-US" w:eastAsia="zh-CN"/>
        </w:rPr>
        <w:t>2025年，收到政府信息公开申请0件，与去年相比减少1件。全年无涉及政府信息公开行政复议、行政诉讼。</w:t>
      </w:r>
    </w:p>
    <w:p w14:paraId="02E403DD">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（三）政府信息管理方面。</w:t>
      </w:r>
      <w:r>
        <w:rPr>
          <w:rFonts w:hint="eastAsia" w:ascii="仿宋_GB2312" w:hAnsi="仿宋_GB2312" w:eastAsia="仿宋_GB2312" w:cs="仿宋_GB2312"/>
          <w:sz w:val="32"/>
          <w:szCs w:val="32"/>
          <w:lang w:val="en-US" w:eastAsia="zh-CN"/>
        </w:rPr>
        <w:t>一是全区卫健系统各单位均明确一名具体工作人员，成立工作群统筹推进工作任务，形成了办公室协调落实，相关单位及业务科室各司其职、各负其责的工作网络。二是组织开展区属医疗卫生单位及基层医疗卫生机构政务公开培训和集中办公1次，强化政务公开意识与能力。三是加强保密审查，严格落实审核制度，做好信息数据填报，推进政府信息公开工作合规、透明。</w:t>
      </w:r>
    </w:p>
    <w:p w14:paraId="7498DE8A">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（四）平台建设方面。</w:t>
      </w:r>
      <w:r>
        <w:rPr>
          <w:rFonts w:hint="eastAsia" w:ascii="仿宋_GB2312" w:hAnsi="仿宋_GB2312" w:eastAsia="仿宋_GB2312" w:cs="仿宋_GB2312"/>
          <w:sz w:val="32"/>
          <w:szCs w:val="32"/>
          <w:lang w:val="en-US" w:eastAsia="zh-CN"/>
        </w:rPr>
        <w:t>一是依托区人民政府网站发布信息。明确专人负责网站日常检查维护，及时公开业务工作及群众关心问题，严禁涉密信息发布。二是及时答复12345市民热线。2025年，受理12345热线群众诉求2423件，及时回复率100%。三是加强微信公众号建设。优化“健康临淄”微信公众号维护，新设“‘医’说就懂”、“‘医’线动态”、“‘医’心‘医’意”、“‘医’路星光”等专栏，把健康科普、民生政策解读等内容推送到群众面前。四是加强电视台、广播电台等主流媒体合作。参加“五大战略 五城联建”新闻发布会1场，依托“临淄融媒”发布青少年健康主题宣传短片1部，</w:t>
      </w:r>
      <w:r>
        <w:rPr>
          <w:rFonts w:hint="eastAsia" w:ascii="仿宋_GB2312" w:hAnsi="仿宋_GB2312" w:eastAsia="仿宋_GB2312" w:cs="仿宋_GB2312"/>
          <w:sz w:val="32"/>
          <w:szCs w:val="32"/>
          <w:highlight w:val="none"/>
          <w:lang w:val="en-US" w:eastAsia="zh-CN"/>
        </w:rPr>
        <w:t>临淄电视台“健康临淄”栏目全年累计播出134期。</w:t>
      </w:r>
    </w:p>
    <w:p w14:paraId="47114511">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（五）监督保障方面。</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建立健全信息公开工作机制，完善政府信息公开保密审查机制，规范信息的采集、审核和发布流程，做好公文类信息公开属性源头认定和发布审查工作。</w:t>
      </w:r>
      <w:r>
        <w:rPr>
          <w:rFonts w:hint="eastAsia" w:ascii="仿宋_GB2312" w:hAnsi="仿宋_GB2312" w:eastAsia="仿宋_GB2312" w:cs="仿宋_GB2312"/>
          <w:sz w:val="32"/>
          <w:szCs w:val="32"/>
          <w:lang w:val="en-US" w:eastAsia="zh-CN"/>
        </w:rPr>
        <w:t>二是做好全区卫健系统公共企事业单位信息公开指导与监督工作，定期开展全面检查与随机抽查，及时根据上级部门监测、评估等反馈情况，迅速落实整改举措，保障信息公开工作规范性。</w:t>
      </w:r>
    </w:p>
    <w:p w14:paraId="22C7EC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uto"/>
        <w:ind w:left="0" w:right="0" w:firstLine="640" w:firstLineChars="200"/>
        <w:jc w:val="both"/>
        <w:textAlignment w:val="auto"/>
        <w:rPr>
          <w:rFonts w:hint="default" w:ascii="仿宋_GB2312" w:hAnsi="宋体" w:eastAsia="仿宋_GB2312" w:cs="宋体"/>
          <w:color w:val="FF0000"/>
          <w:kern w:val="0"/>
          <w:sz w:val="21"/>
          <w:szCs w:val="21"/>
          <w:lang w:val="en-US" w:eastAsia="zh-CN" w:bidi="ar-SA"/>
        </w:rPr>
      </w:pPr>
      <w:r>
        <w:rPr>
          <w:rFonts w:hint="eastAsia" w:ascii="黑体" w:hAnsi="黑体" w:eastAsia="黑体" w:cs="黑体"/>
          <w:b w:val="0"/>
          <w:bCs/>
          <w:i w:val="0"/>
          <w:caps w:val="0"/>
          <w:color w:val="333333"/>
          <w:spacing w:val="0"/>
          <w:sz w:val="32"/>
          <w:szCs w:val="32"/>
          <w:shd w:val="clear" w:color="auto" w:fill="FFFFFF"/>
        </w:rPr>
        <w:t>二、主动公开政府信息情况</w:t>
      </w:r>
    </w:p>
    <w:tbl>
      <w:tblPr>
        <w:tblStyle w:val="5"/>
        <w:tblW w:w="8824" w:type="dxa"/>
        <w:jc w:val="center"/>
        <w:tblLayout w:type="fixed"/>
        <w:tblCellMar>
          <w:top w:w="0" w:type="dxa"/>
          <w:left w:w="108" w:type="dxa"/>
          <w:bottom w:w="0" w:type="dxa"/>
          <w:right w:w="108" w:type="dxa"/>
        </w:tblCellMar>
      </w:tblPr>
      <w:tblGrid>
        <w:gridCol w:w="2206"/>
        <w:gridCol w:w="2206"/>
        <w:gridCol w:w="2206"/>
        <w:gridCol w:w="2206"/>
      </w:tblGrid>
      <w:tr w14:paraId="495CE5CF">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67765D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430820B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DF8D74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38B32B3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4557D63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442852E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FE1387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DD2E819">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020DBBE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4DF5E3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1CBB3E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62245A4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00BE4D9">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2DA3F1B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1DDDE1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493481E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6AAAB75C">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4" w:space="0"/>
              <w:right w:val="single" w:color="000000" w:sz="8" w:space="0"/>
            </w:tcBorders>
            <w:shd w:val="clear" w:color="000000" w:fill="C6D9F1"/>
            <w:noWrap w:val="0"/>
            <w:vAlign w:val="center"/>
          </w:tcPr>
          <w:p w14:paraId="7ABC46B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055BC6FE">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8" w:space="0"/>
            </w:tcBorders>
            <w:noWrap w:val="0"/>
            <w:vAlign w:val="center"/>
          </w:tcPr>
          <w:p w14:paraId="5F418B4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4" w:space="0"/>
              <w:left w:val="nil"/>
              <w:bottom w:val="single" w:color="auto" w:sz="4" w:space="0"/>
              <w:right w:val="single" w:color="auto" w:sz="4" w:space="0"/>
            </w:tcBorders>
            <w:noWrap w:val="0"/>
            <w:vAlign w:val="center"/>
          </w:tcPr>
          <w:p w14:paraId="7116F49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1CA0A11">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8" w:space="0"/>
              <w:bottom w:val="single" w:color="auto" w:sz="8" w:space="0"/>
              <w:right w:val="single" w:color="auto" w:sz="8" w:space="0"/>
            </w:tcBorders>
            <w:noWrap w:val="0"/>
            <w:vAlign w:val="center"/>
          </w:tcPr>
          <w:p w14:paraId="049236F5">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4" w:space="0"/>
              <w:left w:val="nil"/>
              <w:bottom w:val="single" w:color="auto" w:sz="8" w:space="0"/>
              <w:right w:val="single" w:color="000000" w:sz="8" w:space="0"/>
            </w:tcBorders>
            <w:noWrap w:val="0"/>
            <w:vAlign w:val="center"/>
          </w:tcPr>
          <w:p w14:paraId="59AC5CC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66</w:t>
            </w:r>
          </w:p>
        </w:tc>
      </w:tr>
      <w:tr w14:paraId="2AF3E332">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806076C">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E2C189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80160A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1630716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7A9D8B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4" w:space="0"/>
              <w:right w:val="single" w:color="auto" w:sz="8" w:space="0"/>
            </w:tcBorders>
            <w:noWrap w:val="0"/>
            <w:vAlign w:val="center"/>
          </w:tcPr>
          <w:p w14:paraId="13ADD041">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44AB6D9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50</w:t>
            </w:r>
          </w:p>
        </w:tc>
      </w:tr>
      <w:tr w14:paraId="01E24D23">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8" w:space="0"/>
              <w:bottom w:val="single" w:color="auto" w:sz="8" w:space="0"/>
              <w:right w:val="single" w:color="auto" w:sz="8" w:space="0"/>
            </w:tcBorders>
            <w:noWrap w:val="0"/>
            <w:vAlign w:val="center"/>
          </w:tcPr>
          <w:p w14:paraId="1F5218AF">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78F67E5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64837BAD">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1BEA69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BC92E8B">
        <w:tblPrEx>
          <w:tblCellMar>
            <w:top w:w="0" w:type="dxa"/>
            <w:left w:w="108" w:type="dxa"/>
            <w:bottom w:w="0" w:type="dxa"/>
            <w:right w:w="108" w:type="dxa"/>
          </w:tblCellMar>
        </w:tblPrEx>
        <w:trPr>
          <w:trHeight w:val="732" w:hRule="atLeast"/>
          <w:jc w:val="center"/>
        </w:trPr>
        <w:tc>
          <w:tcPr>
            <w:tcW w:w="2206" w:type="dxa"/>
            <w:tcBorders>
              <w:top w:val="single" w:color="auto" w:sz="4" w:space="0"/>
              <w:left w:val="single" w:color="auto" w:sz="4" w:space="0"/>
              <w:bottom w:val="single" w:color="auto" w:sz="4" w:space="0"/>
              <w:right w:val="single" w:color="auto" w:sz="4" w:space="0"/>
            </w:tcBorders>
            <w:noWrap w:val="0"/>
            <w:vAlign w:val="center"/>
          </w:tcPr>
          <w:p w14:paraId="091B9F3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14:paraId="7457D89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04512BA">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8" w:space="0"/>
              <w:bottom w:val="single" w:color="auto" w:sz="8" w:space="0"/>
              <w:right w:val="single" w:color="auto" w:sz="8" w:space="0"/>
            </w:tcBorders>
            <w:noWrap w:val="0"/>
            <w:vAlign w:val="center"/>
          </w:tcPr>
          <w:p w14:paraId="05463F81">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7438B87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246AEE95">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1569A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1658412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r>
              <w:rPr>
                <w:rFonts w:hint="eastAsia" w:ascii="楷体_GB2312" w:hAnsi="黑体" w:eastAsia="楷体_GB2312"/>
                <w:color w:val="auto"/>
                <w:kern w:val="0"/>
                <w:szCs w:val="21"/>
              </w:rPr>
              <w:t>（本列数据的勾稽关系为：第一项加第二项之和，等于第三项加第四项之和）</w:t>
            </w:r>
          </w:p>
        </w:tc>
        <w:tc>
          <w:tcPr>
            <w:tcW w:w="4448" w:type="dxa"/>
            <w:gridSpan w:val="10"/>
            <w:noWrap w:val="0"/>
            <w:tcMar>
              <w:left w:w="108" w:type="dxa"/>
              <w:right w:w="108" w:type="dxa"/>
            </w:tcMar>
            <w:vAlign w:val="center"/>
          </w:tcPr>
          <w:p w14:paraId="0A1AE75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申请人情况</w:t>
            </w:r>
          </w:p>
        </w:tc>
      </w:tr>
      <w:tr w14:paraId="2BA9D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307E964F">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p>
        </w:tc>
        <w:tc>
          <w:tcPr>
            <w:tcW w:w="747" w:type="dxa"/>
            <w:vMerge w:val="restart"/>
            <w:noWrap w:val="0"/>
            <w:tcMar>
              <w:left w:w="108" w:type="dxa"/>
              <w:right w:w="108" w:type="dxa"/>
            </w:tcMar>
            <w:vAlign w:val="center"/>
          </w:tcPr>
          <w:p w14:paraId="0A986D9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自然人</w:t>
            </w:r>
          </w:p>
        </w:tc>
        <w:tc>
          <w:tcPr>
            <w:tcW w:w="3000" w:type="dxa"/>
            <w:gridSpan w:val="7"/>
            <w:noWrap w:val="0"/>
            <w:tcMar>
              <w:left w:w="108" w:type="dxa"/>
              <w:right w:w="108" w:type="dxa"/>
            </w:tcMar>
            <w:vAlign w:val="center"/>
          </w:tcPr>
          <w:p w14:paraId="2A446A2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gridSpan w:val="2"/>
            <w:vMerge w:val="restart"/>
            <w:noWrap w:val="0"/>
            <w:tcMar>
              <w:left w:w="108" w:type="dxa"/>
              <w:right w:w="108" w:type="dxa"/>
            </w:tcMar>
            <w:vAlign w:val="center"/>
          </w:tcPr>
          <w:p w14:paraId="155AB83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r>
              <w:rPr>
                <w:rFonts w:hint="eastAsia" w:ascii="黑体" w:hAnsi="黑体" w:eastAsia="黑体"/>
                <w:color w:val="auto"/>
                <w:kern w:val="0"/>
                <w:szCs w:val="21"/>
              </w:rPr>
              <w:t>总计</w:t>
            </w:r>
          </w:p>
        </w:tc>
      </w:tr>
      <w:tr w14:paraId="64CDD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2B92FC33">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p>
        </w:tc>
        <w:tc>
          <w:tcPr>
            <w:tcW w:w="747" w:type="dxa"/>
            <w:vMerge w:val="continue"/>
            <w:noWrap w:val="0"/>
            <w:tcMar>
              <w:left w:w="108" w:type="dxa"/>
              <w:right w:w="108" w:type="dxa"/>
            </w:tcMar>
            <w:vAlign w:val="center"/>
          </w:tcPr>
          <w:p w14:paraId="72F25477">
            <w:pPr>
              <w:keepNext w:val="0"/>
              <w:keepLines w:val="0"/>
              <w:pageBreakBefore w:val="0"/>
              <w:kinsoku/>
              <w:wordWrap/>
              <w:overflowPunct/>
              <w:topLinePunct w:val="0"/>
              <w:autoSpaceDE/>
              <w:autoSpaceDN/>
              <w:bidi w:val="0"/>
              <w:adjustRightInd/>
              <w:snapToGrid/>
              <w:spacing w:line="420" w:lineRule="auto"/>
              <w:jc w:val="center"/>
              <w:textAlignment w:val="auto"/>
              <w:rPr>
                <w:rFonts w:ascii="黑体" w:hAnsi="黑体" w:eastAsia="黑体"/>
                <w:color w:val="auto"/>
                <w:szCs w:val="21"/>
              </w:rPr>
            </w:pPr>
          </w:p>
        </w:tc>
        <w:tc>
          <w:tcPr>
            <w:tcW w:w="540" w:type="dxa"/>
            <w:gridSpan w:val="2"/>
            <w:noWrap w:val="0"/>
            <w:tcMar>
              <w:left w:w="108" w:type="dxa"/>
              <w:right w:w="108" w:type="dxa"/>
            </w:tcMar>
            <w:vAlign w:val="center"/>
          </w:tcPr>
          <w:p w14:paraId="6F328143">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color w:val="auto"/>
                <w:szCs w:val="21"/>
              </w:rPr>
            </w:pPr>
            <w:r>
              <w:rPr>
                <w:rFonts w:hint="eastAsia" w:ascii="黑体" w:hAnsi="黑体" w:eastAsia="黑体"/>
                <w:color w:val="auto"/>
                <w:kern w:val="0"/>
                <w:szCs w:val="21"/>
              </w:rPr>
              <w:t>商业企业</w:t>
            </w:r>
          </w:p>
        </w:tc>
        <w:tc>
          <w:tcPr>
            <w:tcW w:w="540" w:type="dxa"/>
            <w:gridSpan w:val="2"/>
            <w:noWrap w:val="0"/>
            <w:tcMar>
              <w:left w:w="108" w:type="dxa"/>
              <w:right w:w="108" w:type="dxa"/>
            </w:tcMar>
            <w:vAlign w:val="center"/>
          </w:tcPr>
          <w:p w14:paraId="21870C8D">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color w:val="auto"/>
                <w:szCs w:val="21"/>
              </w:rPr>
            </w:pPr>
            <w:r>
              <w:rPr>
                <w:rFonts w:hint="eastAsia" w:ascii="黑体" w:hAnsi="黑体" w:eastAsia="黑体"/>
                <w:color w:val="auto"/>
                <w:kern w:val="0"/>
                <w:szCs w:val="21"/>
              </w:rPr>
              <w:t>科研机构</w:t>
            </w:r>
          </w:p>
        </w:tc>
        <w:tc>
          <w:tcPr>
            <w:tcW w:w="720" w:type="dxa"/>
            <w:noWrap w:val="0"/>
            <w:tcMar>
              <w:left w:w="108" w:type="dxa"/>
              <w:right w:w="108" w:type="dxa"/>
            </w:tcMar>
            <w:vAlign w:val="center"/>
          </w:tcPr>
          <w:p w14:paraId="5F642221">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color w:val="auto"/>
                <w:szCs w:val="21"/>
              </w:rPr>
            </w:pPr>
            <w:r>
              <w:rPr>
                <w:rFonts w:hint="eastAsia" w:ascii="黑体" w:hAnsi="黑体" w:eastAsia="黑体"/>
                <w:color w:val="auto"/>
                <w:kern w:val="0"/>
                <w:szCs w:val="21"/>
              </w:rPr>
              <w:t>社会公益组织</w:t>
            </w:r>
          </w:p>
        </w:tc>
        <w:tc>
          <w:tcPr>
            <w:tcW w:w="675" w:type="dxa"/>
            <w:noWrap w:val="0"/>
            <w:tcMar>
              <w:left w:w="108" w:type="dxa"/>
              <w:right w:w="108" w:type="dxa"/>
            </w:tcMar>
            <w:vAlign w:val="center"/>
          </w:tcPr>
          <w:p w14:paraId="0F3BB810">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color w:val="auto"/>
                <w:szCs w:val="21"/>
              </w:rPr>
            </w:pPr>
            <w:r>
              <w:rPr>
                <w:rFonts w:hint="eastAsia" w:ascii="黑体" w:hAnsi="黑体" w:eastAsia="黑体"/>
                <w:color w:val="auto"/>
                <w:kern w:val="0"/>
                <w:szCs w:val="21"/>
              </w:rPr>
              <w:t>法律服务机构</w:t>
            </w:r>
          </w:p>
        </w:tc>
        <w:tc>
          <w:tcPr>
            <w:tcW w:w="525" w:type="dxa"/>
            <w:noWrap w:val="0"/>
            <w:tcMar>
              <w:left w:w="108" w:type="dxa"/>
              <w:right w:w="108" w:type="dxa"/>
            </w:tcMar>
            <w:vAlign w:val="center"/>
          </w:tcPr>
          <w:p w14:paraId="42802C29">
            <w:pPr>
              <w:keepNext w:val="0"/>
              <w:keepLines w:val="0"/>
              <w:pageBreakBefore w:val="0"/>
              <w:widowControl/>
              <w:kinsoku/>
              <w:wordWrap/>
              <w:overflowPunct/>
              <w:topLinePunct w:val="0"/>
              <w:autoSpaceDE/>
              <w:autoSpaceDN/>
              <w:bidi w:val="0"/>
              <w:adjustRightInd/>
              <w:snapToGrid/>
              <w:spacing w:line="420" w:lineRule="auto"/>
              <w:ind w:left="-63" w:leftChars="-30" w:right="-134" w:rightChars="-64"/>
              <w:jc w:val="center"/>
              <w:textAlignment w:val="auto"/>
              <w:rPr>
                <w:rFonts w:ascii="黑体" w:hAnsi="黑体" w:eastAsia="黑体"/>
                <w:color w:val="auto"/>
                <w:szCs w:val="21"/>
              </w:rPr>
            </w:pPr>
            <w:r>
              <w:rPr>
                <w:rFonts w:hint="eastAsia" w:ascii="黑体" w:hAnsi="黑体" w:eastAsia="黑体"/>
                <w:color w:val="auto"/>
                <w:kern w:val="0"/>
                <w:szCs w:val="21"/>
              </w:rPr>
              <w:t>其他</w:t>
            </w:r>
          </w:p>
        </w:tc>
        <w:tc>
          <w:tcPr>
            <w:tcW w:w="701" w:type="dxa"/>
            <w:gridSpan w:val="2"/>
            <w:vMerge w:val="continue"/>
            <w:noWrap w:val="0"/>
            <w:tcMar>
              <w:left w:w="108" w:type="dxa"/>
              <w:right w:w="108" w:type="dxa"/>
            </w:tcMar>
            <w:vAlign w:val="center"/>
          </w:tcPr>
          <w:p w14:paraId="7FA3FA42">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color w:val="auto"/>
                <w:szCs w:val="21"/>
              </w:rPr>
            </w:pPr>
          </w:p>
        </w:tc>
      </w:tr>
      <w:tr w14:paraId="2D8F8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A32D27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47" w:type="dxa"/>
            <w:noWrap w:val="0"/>
            <w:tcMar>
              <w:left w:w="108" w:type="dxa"/>
              <w:right w:w="108" w:type="dxa"/>
            </w:tcMar>
            <w:vAlign w:val="center"/>
          </w:tcPr>
          <w:p w14:paraId="52AD43F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431CE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A1409A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4E2A602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37C96F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EF59C3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11C6D3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23A30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03FFFDA">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47" w:type="dxa"/>
            <w:shd w:val="clear" w:color="auto" w:fill="auto"/>
            <w:noWrap w:val="0"/>
            <w:tcMar>
              <w:left w:w="108" w:type="dxa"/>
              <w:right w:w="108" w:type="dxa"/>
            </w:tcMar>
            <w:vAlign w:val="center"/>
          </w:tcPr>
          <w:p w14:paraId="5C37C99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7E98A4D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32B1714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20" w:type="dxa"/>
            <w:shd w:val="clear" w:color="auto" w:fill="auto"/>
            <w:noWrap w:val="0"/>
            <w:tcMar>
              <w:left w:w="108" w:type="dxa"/>
              <w:right w:w="108" w:type="dxa"/>
            </w:tcMar>
            <w:vAlign w:val="center"/>
          </w:tcPr>
          <w:p w14:paraId="3EBC659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675" w:type="dxa"/>
            <w:shd w:val="clear" w:color="auto" w:fill="auto"/>
            <w:noWrap w:val="0"/>
            <w:tcMar>
              <w:left w:w="108" w:type="dxa"/>
              <w:right w:w="108" w:type="dxa"/>
            </w:tcMar>
            <w:vAlign w:val="center"/>
          </w:tcPr>
          <w:p w14:paraId="4715A8D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25" w:type="dxa"/>
            <w:shd w:val="clear" w:color="auto" w:fill="auto"/>
            <w:noWrap w:val="0"/>
            <w:tcMar>
              <w:left w:w="108" w:type="dxa"/>
              <w:right w:w="108" w:type="dxa"/>
            </w:tcMar>
            <w:vAlign w:val="center"/>
          </w:tcPr>
          <w:p w14:paraId="18B8574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01" w:type="dxa"/>
            <w:gridSpan w:val="2"/>
            <w:shd w:val="clear" w:color="auto" w:fill="auto"/>
            <w:noWrap w:val="0"/>
            <w:tcMar>
              <w:left w:w="108" w:type="dxa"/>
              <w:right w:w="108" w:type="dxa"/>
            </w:tcMar>
            <w:vAlign w:val="center"/>
          </w:tcPr>
          <w:p w14:paraId="616CBAA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r>
      <w:tr w14:paraId="5C82A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342C9BF">
            <w:pPr>
              <w:keepNext w:val="0"/>
              <w:keepLines w:val="0"/>
              <w:pageBreakBefore w:val="0"/>
              <w:widowControl w:val="0"/>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三</w:t>
            </w:r>
            <w:r>
              <w:rPr>
                <w:rFonts w:hint="eastAsia" w:ascii="黑体" w:hAnsi="黑体" w:eastAsia="黑体"/>
                <w:color w:val="auto"/>
                <w:kern w:val="0"/>
                <w:szCs w:val="21"/>
                <w:lang w:eastAsia="zh-CN"/>
              </w:rPr>
              <w:t>、</w:t>
            </w:r>
            <w:r>
              <w:rPr>
                <w:rFonts w:hint="eastAsia" w:ascii="黑体" w:hAnsi="黑体" w:eastAsia="黑体"/>
                <w:color w:val="auto"/>
                <w:kern w:val="0"/>
                <w:szCs w:val="21"/>
              </w:rPr>
              <w:t>本年度办理结果</w:t>
            </w:r>
          </w:p>
        </w:tc>
        <w:tc>
          <w:tcPr>
            <w:tcW w:w="4677" w:type="dxa"/>
            <w:gridSpan w:val="2"/>
            <w:noWrap w:val="0"/>
            <w:tcMar>
              <w:left w:w="108" w:type="dxa"/>
              <w:right w:w="108" w:type="dxa"/>
            </w:tcMar>
            <w:vAlign w:val="center"/>
          </w:tcPr>
          <w:p w14:paraId="096E058F">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（一）予以公开</w:t>
            </w:r>
          </w:p>
        </w:tc>
        <w:tc>
          <w:tcPr>
            <w:tcW w:w="752" w:type="dxa"/>
            <w:gridSpan w:val="2"/>
            <w:shd w:val="clear" w:color="auto" w:fill="auto"/>
            <w:noWrap w:val="0"/>
            <w:tcMar>
              <w:left w:w="108" w:type="dxa"/>
              <w:right w:w="108" w:type="dxa"/>
            </w:tcMar>
            <w:vAlign w:val="center"/>
          </w:tcPr>
          <w:p w14:paraId="30AE7BD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4D6DAAC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35" w:type="dxa"/>
            <w:shd w:val="clear" w:color="auto" w:fill="auto"/>
            <w:noWrap w:val="0"/>
            <w:tcMar>
              <w:left w:w="108" w:type="dxa"/>
              <w:right w:w="108" w:type="dxa"/>
            </w:tcMar>
            <w:vAlign w:val="center"/>
          </w:tcPr>
          <w:p w14:paraId="7F4C952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20" w:type="dxa"/>
            <w:shd w:val="clear" w:color="auto" w:fill="auto"/>
            <w:noWrap w:val="0"/>
            <w:tcMar>
              <w:left w:w="108" w:type="dxa"/>
              <w:right w:w="108" w:type="dxa"/>
            </w:tcMar>
            <w:vAlign w:val="center"/>
          </w:tcPr>
          <w:p w14:paraId="05030A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675" w:type="dxa"/>
            <w:shd w:val="clear" w:color="auto" w:fill="auto"/>
            <w:noWrap w:val="0"/>
            <w:tcMar>
              <w:left w:w="108" w:type="dxa"/>
              <w:right w:w="108" w:type="dxa"/>
            </w:tcMar>
            <w:vAlign w:val="center"/>
          </w:tcPr>
          <w:p w14:paraId="0C0D9A9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26" w:type="dxa"/>
            <w:gridSpan w:val="2"/>
            <w:shd w:val="clear" w:color="auto" w:fill="auto"/>
            <w:noWrap w:val="0"/>
            <w:tcMar>
              <w:left w:w="108" w:type="dxa"/>
              <w:right w:w="108" w:type="dxa"/>
            </w:tcMar>
            <w:vAlign w:val="center"/>
          </w:tcPr>
          <w:p w14:paraId="542AE9E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00" w:type="dxa"/>
            <w:shd w:val="clear" w:color="auto" w:fill="auto"/>
            <w:noWrap w:val="0"/>
            <w:tcMar>
              <w:left w:w="108" w:type="dxa"/>
              <w:right w:w="108" w:type="dxa"/>
            </w:tcMar>
            <w:vAlign w:val="center"/>
          </w:tcPr>
          <w:p w14:paraId="33C874E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r>
      <w:tr w14:paraId="78767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C4FE11C">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4677" w:type="dxa"/>
            <w:gridSpan w:val="2"/>
            <w:noWrap w:val="0"/>
            <w:tcMar>
              <w:left w:w="108" w:type="dxa"/>
              <w:right w:w="108" w:type="dxa"/>
            </w:tcMar>
            <w:vAlign w:val="center"/>
          </w:tcPr>
          <w:p w14:paraId="35B329E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752" w:type="dxa"/>
            <w:gridSpan w:val="2"/>
            <w:shd w:val="clear" w:color="auto" w:fill="auto"/>
            <w:noWrap w:val="0"/>
            <w:tcMar>
              <w:left w:w="108" w:type="dxa"/>
              <w:right w:w="108" w:type="dxa"/>
            </w:tcMar>
            <w:vAlign w:val="center"/>
          </w:tcPr>
          <w:p w14:paraId="3B8A79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40" w:type="dxa"/>
            <w:gridSpan w:val="2"/>
            <w:shd w:val="clear" w:color="auto" w:fill="auto"/>
            <w:noWrap w:val="0"/>
            <w:tcMar>
              <w:left w:w="108" w:type="dxa"/>
              <w:right w:w="108" w:type="dxa"/>
            </w:tcMar>
            <w:vAlign w:val="center"/>
          </w:tcPr>
          <w:p w14:paraId="5ECC492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35" w:type="dxa"/>
            <w:shd w:val="clear" w:color="auto" w:fill="auto"/>
            <w:noWrap w:val="0"/>
            <w:tcMar>
              <w:left w:w="108" w:type="dxa"/>
              <w:right w:w="108" w:type="dxa"/>
            </w:tcMar>
            <w:vAlign w:val="center"/>
          </w:tcPr>
          <w:p w14:paraId="1F792D2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20" w:type="dxa"/>
            <w:shd w:val="clear" w:color="auto" w:fill="auto"/>
            <w:noWrap w:val="0"/>
            <w:tcMar>
              <w:left w:w="108" w:type="dxa"/>
              <w:right w:w="108" w:type="dxa"/>
            </w:tcMar>
            <w:vAlign w:val="center"/>
          </w:tcPr>
          <w:p w14:paraId="5CE5878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675" w:type="dxa"/>
            <w:shd w:val="clear" w:color="auto" w:fill="auto"/>
            <w:noWrap w:val="0"/>
            <w:tcMar>
              <w:left w:w="108" w:type="dxa"/>
              <w:right w:w="108" w:type="dxa"/>
            </w:tcMar>
            <w:vAlign w:val="center"/>
          </w:tcPr>
          <w:p w14:paraId="6764A7C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526" w:type="dxa"/>
            <w:gridSpan w:val="2"/>
            <w:shd w:val="clear" w:color="auto" w:fill="auto"/>
            <w:noWrap w:val="0"/>
            <w:tcMar>
              <w:left w:w="108" w:type="dxa"/>
              <w:right w:w="108" w:type="dxa"/>
            </w:tcMar>
            <w:vAlign w:val="center"/>
          </w:tcPr>
          <w:p w14:paraId="7C4A1D5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c>
          <w:tcPr>
            <w:tcW w:w="700" w:type="dxa"/>
            <w:shd w:val="clear" w:color="auto" w:fill="auto"/>
            <w:noWrap w:val="0"/>
            <w:tcMar>
              <w:left w:w="108" w:type="dxa"/>
              <w:right w:w="108" w:type="dxa"/>
            </w:tcMar>
            <w:vAlign w:val="center"/>
          </w:tcPr>
          <w:p w14:paraId="6101190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stheme="minorBidi"/>
                <w:color w:val="auto"/>
                <w:kern w:val="2"/>
                <w:sz w:val="21"/>
                <w:szCs w:val="21"/>
                <w:lang w:val="en-US" w:eastAsia="zh-CN" w:bidi="ar-SA"/>
              </w:rPr>
            </w:pPr>
            <w:r>
              <w:rPr>
                <w:rFonts w:hint="eastAsia" w:ascii="仿宋_GB2312" w:hAnsi="Times New Roman" w:eastAsia="仿宋_GB2312"/>
                <w:color w:val="auto"/>
                <w:szCs w:val="21"/>
                <w:lang w:val="en-US" w:eastAsia="zh-CN"/>
              </w:rPr>
              <w:t>0</w:t>
            </w:r>
          </w:p>
        </w:tc>
      </w:tr>
      <w:tr w14:paraId="7CF51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C8E891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514FC198">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14:paraId="02BEF06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747" w:type="dxa"/>
            <w:noWrap w:val="0"/>
            <w:tcMar>
              <w:left w:w="108" w:type="dxa"/>
              <w:right w:w="108" w:type="dxa"/>
            </w:tcMar>
            <w:vAlign w:val="center"/>
          </w:tcPr>
          <w:p w14:paraId="56557BD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5C7DB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A39086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13E1DE6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7318C5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F4BC9F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6A0128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EFDC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F7BF2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70CE575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701D8CC">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747" w:type="dxa"/>
            <w:noWrap w:val="0"/>
            <w:tcMar>
              <w:left w:w="108" w:type="dxa"/>
              <w:right w:w="108" w:type="dxa"/>
            </w:tcMar>
            <w:vAlign w:val="center"/>
          </w:tcPr>
          <w:p w14:paraId="01ACA66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41FDEC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1A1FF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010A0BD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C5D384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AE0CC3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1E42C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86B2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0B03F8E">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2274869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DB4ADED">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747" w:type="dxa"/>
            <w:noWrap w:val="0"/>
            <w:tcMar>
              <w:left w:w="108" w:type="dxa"/>
              <w:right w:w="108" w:type="dxa"/>
            </w:tcMar>
            <w:vAlign w:val="center"/>
          </w:tcPr>
          <w:p w14:paraId="6FD4116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0AD48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C34341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005BE0E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3A37D34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26AFCFC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61716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3C970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749737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1D1733D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3E8C69A2">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747" w:type="dxa"/>
            <w:noWrap w:val="0"/>
            <w:tcMar>
              <w:left w:w="108" w:type="dxa"/>
              <w:right w:w="108" w:type="dxa"/>
            </w:tcMar>
            <w:vAlign w:val="center"/>
          </w:tcPr>
          <w:p w14:paraId="4800AF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E00951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ACD450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CB3A54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6AA53F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177066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89F095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5745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5E0665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5C7AC04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0A75A15B">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747" w:type="dxa"/>
            <w:noWrap w:val="0"/>
            <w:tcMar>
              <w:left w:w="108" w:type="dxa"/>
              <w:right w:w="108" w:type="dxa"/>
            </w:tcMar>
            <w:vAlign w:val="center"/>
          </w:tcPr>
          <w:p w14:paraId="4E30FC3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56F946B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136C2C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6B251B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D9EDF0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0912154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66FC4C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80A2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54DCF5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0A548C3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3591AD8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747" w:type="dxa"/>
            <w:noWrap w:val="0"/>
            <w:tcMar>
              <w:left w:w="108" w:type="dxa"/>
              <w:right w:w="108" w:type="dxa"/>
            </w:tcMar>
            <w:vAlign w:val="center"/>
          </w:tcPr>
          <w:p w14:paraId="34FCE0E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B95F71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A8C328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E765C3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367820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1B9F646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3EBBE8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C146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5B7EAFE">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02868B8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355943E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747" w:type="dxa"/>
            <w:noWrap w:val="0"/>
            <w:tcMar>
              <w:left w:w="108" w:type="dxa"/>
              <w:right w:w="108" w:type="dxa"/>
            </w:tcMar>
            <w:vAlign w:val="center"/>
          </w:tcPr>
          <w:p w14:paraId="10337B6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0D77C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2F917C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AE562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03687C3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61AC365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9BC22D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87AC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8D5E39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026E151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1202A58A">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747" w:type="dxa"/>
            <w:noWrap w:val="0"/>
            <w:tcMar>
              <w:left w:w="108" w:type="dxa"/>
              <w:right w:w="108" w:type="dxa"/>
            </w:tcMar>
            <w:vAlign w:val="center"/>
          </w:tcPr>
          <w:p w14:paraId="196D563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49F3C0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B26A8E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DFF535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7F72D3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1B83AB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320A5E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4F82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C78B58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2837EE13">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14:paraId="4107E7F2">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747" w:type="dxa"/>
            <w:noWrap w:val="0"/>
            <w:tcMar>
              <w:left w:w="108" w:type="dxa"/>
              <w:right w:w="108" w:type="dxa"/>
            </w:tcMar>
            <w:vAlign w:val="center"/>
          </w:tcPr>
          <w:p w14:paraId="0C6A5F4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A4C70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BFEB7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6152E9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A88968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0065305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EA4214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6204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05DF43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35CEA04C">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p>
        </w:tc>
        <w:tc>
          <w:tcPr>
            <w:tcW w:w="2976" w:type="dxa"/>
            <w:noWrap w:val="0"/>
            <w:tcMar>
              <w:left w:w="108" w:type="dxa"/>
              <w:right w:w="108" w:type="dxa"/>
            </w:tcMar>
            <w:vAlign w:val="center"/>
          </w:tcPr>
          <w:p w14:paraId="4916690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747" w:type="dxa"/>
            <w:noWrap w:val="0"/>
            <w:tcMar>
              <w:left w:w="108" w:type="dxa"/>
              <w:right w:w="108" w:type="dxa"/>
            </w:tcMar>
            <w:vAlign w:val="center"/>
          </w:tcPr>
          <w:p w14:paraId="4630AFE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97914D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E00ED2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A9E865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F344A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BB72BF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225B65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E2A0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705AEE9">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5A989367">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p>
        </w:tc>
        <w:tc>
          <w:tcPr>
            <w:tcW w:w="2976" w:type="dxa"/>
            <w:noWrap w:val="0"/>
            <w:tcMar>
              <w:left w:w="108" w:type="dxa"/>
              <w:right w:w="108" w:type="dxa"/>
            </w:tcMar>
            <w:vAlign w:val="center"/>
          </w:tcPr>
          <w:p w14:paraId="4EA19E63">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747" w:type="dxa"/>
            <w:noWrap w:val="0"/>
            <w:tcMar>
              <w:left w:w="108" w:type="dxa"/>
              <w:right w:w="108" w:type="dxa"/>
            </w:tcMar>
            <w:vAlign w:val="center"/>
          </w:tcPr>
          <w:p w14:paraId="6E60BAF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C5126E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72F810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5D3517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566A16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5C69A2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9C8261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31B9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54E077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45033ADD">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14:paraId="349B9E25">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747" w:type="dxa"/>
            <w:noWrap w:val="0"/>
            <w:tcMar>
              <w:left w:w="108" w:type="dxa"/>
              <w:right w:w="108" w:type="dxa"/>
            </w:tcMar>
            <w:vAlign w:val="center"/>
          </w:tcPr>
          <w:p w14:paraId="2B2FF4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ADDDE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193AFF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4FF2336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49980F8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CBB9E7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620F54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4317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4E37C5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6CC19E6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6BF7725D">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47" w:type="dxa"/>
            <w:noWrap w:val="0"/>
            <w:tcMar>
              <w:left w:w="108" w:type="dxa"/>
              <w:right w:w="108" w:type="dxa"/>
            </w:tcMar>
            <w:vAlign w:val="center"/>
          </w:tcPr>
          <w:p w14:paraId="294AB57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2AB00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C36669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5854FA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7D4A12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5308759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E2FF5B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01E6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BEF137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5DAB5ED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3E810DE">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47" w:type="dxa"/>
            <w:noWrap w:val="0"/>
            <w:tcMar>
              <w:left w:w="108" w:type="dxa"/>
              <w:right w:w="108" w:type="dxa"/>
            </w:tcMar>
            <w:vAlign w:val="center"/>
          </w:tcPr>
          <w:p w14:paraId="45407B4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7BD82F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7D82B4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13C9B1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352A44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1E911F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356C2B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2962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5FAE8662">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19997B3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4EF5ED0D">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47" w:type="dxa"/>
            <w:noWrap w:val="0"/>
            <w:tcMar>
              <w:left w:w="108" w:type="dxa"/>
              <w:right w:w="108" w:type="dxa"/>
            </w:tcMar>
            <w:vAlign w:val="center"/>
          </w:tcPr>
          <w:p w14:paraId="715EFB2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9C93C8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E5C57F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E3E4B5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1B49E1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9FC602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81720F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8827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60F589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2288D9D2">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2976" w:type="dxa"/>
            <w:noWrap w:val="0"/>
            <w:tcMar>
              <w:left w:w="108" w:type="dxa"/>
              <w:right w:w="108" w:type="dxa"/>
            </w:tcMar>
            <w:vAlign w:val="center"/>
          </w:tcPr>
          <w:p w14:paraId="268812E3">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szCs w:val="21"/>
              </w:rPr>
            </w:pPr>
            <w:r>
              <w:rPr>
                <w:rFonts w:hint="eastAsia" w:ascii="仿宋_GB2312" w:hAnsi="黑体" w:eastAsia="仿宋_GB2312"/>
                <w:color w:val="auto"/>
                <w:kern w:val="0"/>
                <w:szCs w:val="21"/>
              </w:rPr>
              <w:t>5.要求行政机关确认或重新出具已获取信息</w:t>
            </w:r>
          </w:p>
        </w:tc>
        <w:tc>
          <w:tcPr>
            <w:tcW w:w="747" w:type="dxa"/>
            <w:noWrap w:val="0"/>
            <w:tcMar>
              <w:left w:w="108" w:type="dxa"/>
              <w:right w:w="108" w:type="dxa"/>
            </w:tcMar>
            <w:vAlign w:val="center"/>
          </w:tcPr>
          <w:p w14:paraId="1570858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310C51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53A18E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F54247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44B7B5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82138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765EB7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F7B9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82F13C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restart"/>
            <w:noWrap w:val="0"/>
            <w:tcMar>
              <w:left w:w="108" w:type="dxa"/>
              <w:right w:w="108" w:type="dxa"/>
            </w:tcMar>
            <w:vAlign w:val="center"/>
          </w:tcPr>
          <w:p w14:paraId="46CEA458">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14:paraId="7867A4B7">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47" w:type="dxa"/>
            <w:noWrap w:val="0"/>
            <w:tcMar>
              <w:left w:w="108" w:type="dxa"/>
              <w:right w:w="108" w:type="dxa"/>
            </w:tcMar>
            <w:vAlign w:val="center"/>
          </w:tcPr>
          <w:p w14:paraId="40894EB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5A74C9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283A47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C4C3B2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3649A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F79B82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994C47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59BC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A659B0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415C239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p>
        </w:tc>
        <w:tc>
          <w:tcPr>
            <w:tcW w:w="2976" w:type="dxa"/>
            <w:noWrap w:val="0"/>
            <w:vAlign w:val="center"/>
          </w:tcPr>
          <w:p w14:paraId="25DF40D5">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47" w:type="dxa"/>
            <w:noWrap w:val="0"/>
            <w:tcMar>
              <w:left w:w="108" w:type="dxa"/>
              <w:right w:w="108" w:type="dxa"/>
            </w:tcMar>
            <w:vAlign w:val="center"/>
          </w:tcPr>
          <w:p w14:paraId="569AF16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477DF0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1FE1E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24067B2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BA6E1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62D34AE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6E0F066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3E41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28184D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1701" w:type="dxa"/>
            <w:vMerge w:val="continue"/>
            <w:noWrap w:val="0"/>
            <w:tcMar>
              <w:left w:w="108" w:type="dxa"/>
              <w:right w:w="108" w:type="dxa"/>
            </w:tcMar>
            <w:vAlign w:val="center"/>
          </w:tcPr>
          <w:p w14:paraId="440B893F">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p>
        </w:tc>
        <w:tc>
          <w:tcPr>
            <w:tcW w:w="2976" w:type="dxa"/>
            <w:noWrap w:val="0"/>
            <w:vAlign w:val="center"/>
          </w:tcPr>
          <w:p w14:paraId="2101EFB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color w:val="auto"/>
                <w:kern w:val="0"/>
                <w:szCs w:val="21"/>
              </w:rPr>
            </w:pPr>
            <w:r>
              <w:rPr>
                <w:rFonts w:hint="eastAsia" w:ascii="仿宋_GB2312" w:hAnsi="楷体" w:eastAsia="仿宋_GB2312"/>
                <w:color w:val="auto"/>
              </w:rPr>
              <w:t>3.其他</w:t>
            </w:r>
          </w:p>
        </w:tc>
        <w:tc>
          <w:tcPr>
            <w:tcW w:w="747" w:type="dxa"/>
            <w:noWrap w:val="0"/>
            <w:tcMar>
              <w:left w:w="108" w:type="dxa"/>
              <w:right w:w="108" w:type="dxa"/>
            </w:tcMar>
            <w:vAlign w:val="center"/>
          </w:tcPr>
          <w:p w14:paraId="3D2297E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CA1EC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EE86C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707B647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EE7210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1FAF1AE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2EA01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14:paraId="082C5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78B630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color w:val="auto"/>
                <w:szCs w:val="21"/>
              </w:rPr>
            </w:pPr>
          </w:p>
        </w:tc>
        <w:tc>
          <w:tcPr>
            <w:tcW w:w="4677" w:type="dxa"/>
            <w:gridSpan w:val="2"/>
            <w:noWrap w:val="0"/>
            <w:tcMar>
              <w:left w:w="108" w:type="dxa"/>
              <w:right w:w="108" w:type="dxa"/>
            </w:tcMar>
            <w:vAlign w:val="center"/>
          </w:tcPr>
          <w:p w14:paraId="6DBC4E1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r>
              <w:rPr>
                <w:rFonts w:hint="eastAsia" w:ascii="黑体" w:hAnsi="黑体" w:eastAsia="黑体"/>
                <w:color w:val="auto"/>
                <w:kern w:val="0"/>
                <w:szCs w:val="21"/>
              </w:rPr>
              <w:t>（七）总计</w:t>
            </w:r>
          </w:p>
        </w:tc>
        <w:tc>
          <w:tcPr>
            <w:tcW w:w="747" w:type="dxa"/>
            <w:noWrap w:val="0"/>
            <w:tcMar>
              <w:left w:w="108" w:type="dxa"/>
              <w:right w:w="108" w:type="dxa"/>
            </w:tcMar>
            <w:vAlign w:val="center"/>
          </w:tcPr>
          <w:p w14:paraId="1D3D8DB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F300A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61DFD7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0ED420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31C426E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3BDB688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75AB9F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14:paraId="35955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630CD01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47" w:type="dxa"/>
            <w:noWrap w:val="0"/>
            <w:tcMar>
              <w:left w:w="108" w:type="dxa"/>
              <w:right w:w="108" w:type="dxa"/>
            </w:tcMar>
            <w:vAlign w:val="center"/>
          </w:tcPr>
          <w:p w14:paraId="244A3BD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32362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144ECA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46B3F27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ABF7E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7654FD0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04032D8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14:paraId="35DD460E">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FCF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074" w:type="dxa"/>
            <w:gridSpan w:val="5"/>
            <w:noWrap w:val="0"/>
            <w:tcMar>
              <w:left w:w="108" w:type="dxa"/>
              <w:right w:w="108" w:type="dxa"/>
            </w:tcMar>
            <w:vAlign w:val="center"/>
          </w:tcPr>
          <w:p w14:paraId="02727AE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noWrap w:val="0"/>
            <w:tcMar>
              <w:left w:w="108" w:type="dxa"/>
              <w:right w:w="108" w:type="dxa"/>
            </w:tcMar>
            <w:vAlign w:val="center"/>
          </w:tcPr>
          <w:p w14:paraId="1D1630F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行政诉讼</w:t>
            </w:r>
          </w:p>
        </w:tc>
      </w:tr>
      <w:tr w14:paraId="4E85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14:paraId="3C36317A">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3D0A8DD6">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noWrap w:val="0"/>
            <w:tcMar>
              <w:left w:w="108" w:type="dxa"/>
              <w:right w:w="108" w:type="dxa"/>
            </w:tcMar>
            <w:vAlign w:val="center"/>
          </w:tcPr>
          <w:p w14:paraId="3F4DECD0">
            <w:pPr>
              <w:keepNext w:val="0"/>
              <w:keepLines w:val="0"/>
              <w:pageBreakBefore w:val="0"/>
              <w:widowControl/>
              <w:kinsoku/>
              <w:wordWrap/>
              <w:overflowPunct/>
              <w:topLinePunct w:val="0"/>
              <w:autoSpaceDE/>
              <w:autoSpaceDN/>
              <w:bidi w:val="0"/>
              <w:adjustRightInd/>
              <w:snapToGrid/>
              <w:spacing w:line="420" w:lineRule="auto"/>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noWrap w:val="0"/>
            <w:tcMar>
              <w:left w:w="108" w:type="dxa"/>
              <w:right w:w="108" w:type="dxa"/>
            </w:tcMar>
            <w:vAlign w:val="center"/>
          </w:tcPr>
          <w:p w14:paraId="114B82C5">
            <w:pPr>
              <w:keepNext w:val="0"/>
              <w:keepLines w:val="0"/>
              <w:pageBreakBefore w:val="0"/>
              <w:widowControl/>
              <w:kinsoku/>
              <w:wordWrap/>
              <w:overflowPunct/>
              <w:topLinePunct w:val="0"/>
              <w:autoSpaceDE/>
              <w:autoSpaceDN/>
              <w:bidi w:val="0"/>
              <w:adjustRightInd/>
              <w:snapToGrid/>
              <w:spacing w:line="420" w:lineRule="auto"/>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noWrap w:val="0"/>
            <w:tcMar>
              <w:left w:w="108" w:type="dxa"/>
              <w:right w:w="108" w:type="dxa"/>
            </w:tcMar>
            <w:vAlign w:val="center"/>
          </w:tcPr>
          <w:p w14:paraId="64D59CE7">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1862F00C">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noWrap w:val="0"/>
            <w:tcMar>
              <w:left w:w="108" w:type="dxa"/>
              <w:right w:w="108" w:type="dxa"/>
            </w:tcMar>
            <w:vAlign w:val="center"/>
          </w:tcPr>
          <w:p w14:paraId="4974572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kern w:val="0"/>
                <w:sz w:val="20"/>
                <w:szCs w:val="20"/>
              </w:rPr>
            </w:pPr>
            <w:r>
              <w:rPr>
                <w:rFonts w:ascii="黑体" w:hAnsi="黑体" w:eastAsia="黑体"/>
                <w:kern w:val="0"/>
                <w:sz w:val="20"/>
                <w:szCs w:val="20"/>
              </w:rPr>
              <w:t>总</w:t>
            </w:r>
          </w:p>
          <w:p w14:paraId="4D612B0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计</w:t>
            </w:r>
          </w:p>
        </w:tc>
        <w:tc>
          <w:tcPr>
            <w:tcW w:w="2970" w:type="dxa"/>
            <w:gridSpan w:val="5"/>
            <w:noWrap w:val="0"/>
            <w:tcMar>
              <w:left w:w="108" w:type="dxa"/>
              <w:right w:w="108" w:type="dxa"/>
            </w:tcMar>
            <w:vAlign w:val="center"/>
          </w:tcPr>
          <w:p w14:paraId="1E47E3E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noWrap w:val="0"/>
            <w:tcMar>
              <w:left w:w="108" w:type="dxa"/>
              <w:right w:w="108" w:type="dxa"/>
            </w:tcMar>
            <w:vAlign w:val="center"/>
          </w:tcPr>
          <w:p w14:paraId="0B9B99C1">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0CEF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14:paraId="5BA6E01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noWrap w:val="0"/>
            <w:tcMar>
              <w:left w:w="108" w:type="dxa"/>
              <w:right w:w="108" w:type="dxa"/>
            </w:tcMar>
            <w:vAlign w:val="center"/>
          </w:tcPr>
          <w:p w14:paraId="27DE0AF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noWrap w:val="0"/>
            <w:tcMar>
              <w:left w:w="108" w:type="dxa"/>
              <w:right w:w="108" w:type="dxa"/>
            </w:tcMar>
            <w:vAlign w:val="center"/>
          </w:tcPr>
          <w:p w14:paraId="4F1BCA6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noWrap w:val="0"/>
            <w:tcMar>
              <w:left w:w="108" w:type="dxa"/>
              <w:right w:w="108" w:type="dxa"/>
            </w:tcMar>
            <w:vAlign w:val="center"/>
          </w:tcPr>
          <w:p w14:paraId="5E47544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58" w:type="dxa"/>
            <w:vMerge w:val="continue"/>
            <w:noWrap w:val="0"/>
            <w:tcMar>
              <w:left w:w="108" w:type="dxa"/>
              <w:right w:w="108" w:type="dxa"/>
            </w:tcMar>
            <w:vAlign w:val="center"/>
          </w:tcPr>
          <w:p w14:paraId="3CEDC2E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550" w:type="dxa"/>
            <w:noWrap w:val="0"/>
            <w:tcMar>
              <w:left w:w="108" w:type="dxa"/>
              <w:right w:w="108" w:type="dxa"/>
            </w:tcMar>
            <w:vAlign w:val="center"/>
          </w:tcPr>
          <w:p w14:paraId="6CFC3D36">
            <w:pPr>
              <w:keepNext w:val="0"/>
              <w:keepLines w:val="0"/>
              <w:pageBreakBefore w:val="0"/>
              <w:widowControl/>
              <w:kinsoku/>
              <w:wordWrap/>
              <w:overflowPunct/>
              <w:topLinePunct w:val="0"/>
              <w:autoSpaceDE/>
              <w:autoSpaceDN/>
              <w:bidi w:val="0"/>
              <w:adjustRightInd/>
              <w:snapToGrid/>
              <w:spacing w:line="420" w:lineRule="auto"/>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17B52C7A">
            <w:pPr>
              <w:keepNext w:val="0"/>
              <w:keepLines w:val="0"/>
              <w:pageBreakBefore w:val="0"/>
              <w:widowControl/>
              <w:kinsoku/>
              <w:wordWrap/>
              <w:overflowPunct/>
              <w:topLinePunct w:val="0"/>
              <w:autoSpaceDE/>
              <w:autoSpaceDN/>
              <w:bidi w:val="0"/>
              <w:adjustRightInd/>
              <w:snapToGrid/>
              <w:spacing w:line="420" w:lineRule="auto"/>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noWrap w:val="0"/>
            <w:tcMar>
              <w:left w:w="108" w:type="dxa"/>
              <w:right w:w="108" w:type="dxa"/>
            </w:tcMar>
            <w:vAlign w:val="center"/>
          </w:tcPr>
          <w:p w14:paraId="61067B12">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3B64DC09">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noWrap w:val="0"/>
            <w:tcMar>
              <w:left w:w="108" w:type="dxa"/>
              <w:right w:w="108" w:type="dxa"/>
            </w:tcMar>
            <w:vAlign w:val="center"/>
          </w:tcPr>
          <w:p w14:paraId="3DFA0CC6">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6FBA7319">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noWrap w:val="0"/>
            <w:tcMar>
              <w:left w:w="108" w:type="dxa"/>
              <w:right w:w="108" w:type="dxa"/>
            </w:tcMar>
            <w:vAlign w:val="center"/>
          </w:tcPr>
          <w:p w14:paraId="74967D8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c>
          <w:tcPr>
            <w:tcW w:w="605" w:type="dxa"/>
            <w:noWrap w:val="0"/>
            <w:tcMar>
              <w:left w:w="108" w:type="dxa"/>
              <w:right w:w="108" w:type="dxa"/>
            </w:tcMar>
            <w:vAlign w:val="center"/>
          </w:tcPr>
          <w:p w14:paraId="20D7052D">
            <w:pPr>
              <w:keepNext w:val="0"/>
              <w:keepLines w:val="0"/>
              <w:pageBreakBefore w:val="0"/>
              <w:widowControl/>
              <w:kinsoku/>
              <w:wordWrap/>
              <w:overflowPunct/>
              <w:topLinePunct w:val="0"/>
              <w:autoSpaceDE/>
              <w:autoSpaceDN/>
              <w:bidi w:val="0"/>
              <w:adjustRightInd/>
              <w:snapToGrid/>
              <w:spacing w:line="420" w:lineRule="auto"/>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6DBA9ACE">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370717B2">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noWrap w:val="0"/>
            <w:tcMar>
              <w:left w:w="108" w:type="dxa"/>
              <w:right w:w="108" w:type="dxa"/>
            </w:tcMar>
            <w:vAlign w:val="center"/>
          </w:tcPr>
          <w:p w14:paraId="4780566B">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3059AAAE">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noWrap w:val="0"/>
            <w:tcMar>
              <w:left w:w="108" w:type="dxa"/>
              <w:right w:w="108" w:type="dxa"/>
            </w:tcMar>
            <w:vAlign w:val="center"/>
          </w:tcPr>
          <w:p w14:paraId="5CDDF3FD">
            <w:pPr>
              <w:keepNext w:val="0"/>
              <w:keepLines w:val="0"/>
              <w:pageBreakBefore w:val="0"/>
              <w:widowControl/>
              <w:kinsoku/>
              <w:wordWrap/>
              <w:overflowPunct/>
              <w:topLinePunct w:val="0"/>
              <w:autoSpaceDE/>
              <w:autoSpaceDN/>
              <w:bidi w:val="0"/>
              <w:adjustRightInd/>
              <w:snapToGrid/>
              <w:spacing w:line="420" w:lineRule="auto"/>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noWrap w:val="0"/>
            <w:tcMar>
              <w:left w:w="108" w:type="dxa"/>
              <w:right w:w="108" w:type="dxa"/>
            </w:tcMar>
            <w:vAlign w:val="center"/>
          </w:tcPr>
          <w:p w14:paraId="5D91EED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r>
      <w:tr w14:paraId="1EC8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04" w:type="dxa"/>
            <w:noWrap w:val="0"/>
            <w:tcMar>
              <w:left w:w="108" w:type="dxa"/>
              <w:right w:w="108" w:type="dxa"/>
            </w:tcMar>
            <w:vAlign w:val="center"/>
          </w:tcPr>
          <w:p w14:paraId="51C1BE1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24CF72B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178B761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3A0D69F6">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noWrap w:val="0"/>
            <w:tcMar>
              <w:left w:w="108" w:type="dxa"/>
              <w:right w:w="108" w:type="dxa"/>
            </w:tcMar>
            <w:vAlign w:val="center"/>
          </w:tcPr>
          <w:p w14:paraId="0BFC87A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noWrap w:val="0"/>
            <w:tcMar>
              <w:left w:w="108" w:type="dxa"/>
              <w:right w:w="108" w:type="dxa"/>
            </w:tcMar>
            <w:vAlign w:val="center"/>
          </w:tcPr>
          <w:p w14:paraId="78F3631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681B476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7D87690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75BC8BC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183E38C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261450C7">
            <w:pPr>
              <w:keepNext w:val="0"/>
              <w:keepLines w:val="0"/>
              <w:pageBreakBefore w:val="0"/>
              <w:widowControl/>
              <w:kinsoku/>
              <w:wordWrap/>
              <w:overflowPunct/>
              <w:topLinePunct w:val="0"/>
              <w:autoSpaceDE/>
              <w:autoSpaceDN/>
              <w:bidi w:val="0"/>
              <w:adjustRightInd/>
              <w:snapToGrid/>
              <w:spacing w:line="420" w:lineRule="auto"/>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3CF78F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31C4B680">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5ACA5B9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7D9FECF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398A2CDE">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14:paraId="2503CA64">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2025年在省、市</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各级政府指导下，我</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政务公开工作虽然取得积极成效，但仍存在政务公开与业务工作融合度不</w:t>
      </w:r>
      <w:r>
        <w:rPr>
          <w:rFonts w:hint="eastAsia" w:ascii="仿宋_GB2312" w:hAnsi="仿宋_GB2312" w:eastAsia="仿宋_GB2312" w:cs="仿宋_GB2312"/>
          <w:sz w:val="32"/>
          <w:szCs w:val="32"/>
          <w:lang w:val="en-US" w:eastAsia="zh-CN"/>
        </w:rPr>
        <w:t>紧密，</w:t>
      </w:r>
      <w:r>
        <w:rPr>
          <w:rFonts w:hint="default" w:ascii="仿宋_GB2312" w:hAnsi="仿宋_GB2312" w:eastAsia="仿宋_GB2312" w:cs="仿宋_GB2312"/>
          <w:sz w:val="32"/>
          <w:szCs w:val="32"/>
          <w:lang w:val="en-US" w:eastAsia="zh-CN"/>
        </w:rPr>
        <w:t>社会参与度不</w:t>
      </w:r>
      <w:r>
        <w:rPr>
          <w:rFonts w:hint="eastAsia" w:ascii="仿宋_GB2312" w:hAnsi="仿宋_GB2312" w:eastAsia="仿宋_GB2312" w:cs="仿宋_GB2312"/>
          <w:sz w:val="32"/>
          <w:szCs w:val="32"/>
          <w:lang w:val="en-US" w:eastAsia="zh-CN"/>
        </w:rPr>
        <w:t>高、</w:t>
      </w:r>
      <w:r>
        <w:rPr>
          <w:rFonts w:hint="default" w:ascii="仿宋_GB2312" w:hAnsi="仿宋_GB2312" w:eastAsia="仿宋_GB2312" w:cs="仿宋_GB2312"/>
          <w:sz w:val="32"/>
          <w:szCs w:val="32"/>
          <w:lang w:val="en-US" w:eastAsia="zh-CN"/>
        </w:rPr>
        <w:t>向社会公众征集意见信息较少</w:t>
      </w:r>
      <w:r>
        <w:rPr>
          <w:rFonts w:hint="eastAsia" w:ascii="仿宋_GB2312" w:hAnsi="仿宋_GB2312" w:eastAsia="仿宋_GB2312" w:cs="仿宋_GB2312"/>
          <w:sz w:val="32"/>
          <w:szCs w:val="32"/>
          <w:lang w:val="en-US" w:eastAsia="zh-CN"/>
        </w:rPr>
        <w:t>的问题</w:t>
      </w:r>
      <w:r>
        <w:rPr>
          <w:rFonts w:hint="default" w:ascii="仿宋_GB2312" w:hAnsi="仿宋_GB2312" w:eastAsia="仿宋_GB2312" w:cs="仿宋_GB2312"/>
          <w:sz w:val="32"/>
          <w:szCs w:val="32"/>
          <w:lang w:val="en-US" w:eastAsia="zh-CN"/>
        </w:rPr>
        <w:t>。</w:t>
      </w:r>
    </w:p>
    <w:p w14:paraId="0E1B98F6">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针对存在问题，</w:t>
      </w:r>
      <w:r>
        <w:rPr>
          <w:rFonts w:hint="default" w:ascii="仿宋_GB2312" w:hAnsi="仿宋_GB2312" w:eastAsia="仿宋_GB2312" w:cs="仿宋_GB2312"/>
          <w:sz w:val="32"/>
          <w:szCs w:val="32"/>
          <w:lang w:val="en-US" w:eastAsia="zh-CN"/>
        </w:rPr>
        <w:t>一是强化</w:t>
      </w:r>
      <w:r>
        <w:rPr>
          <w:rFonts w:hint="eastAsia" w:ascii="仿宋_GB2312" w:hAnsi="仿宋_GB2312" w:eastAsia="仿宋_GB2312" w:cs="仿宋_GB2312"/>
          <w:sz w:val="32"/>
          <w:szCs w:val="32"/>
          <w:lang w:val="en-US" w:eastAsia="zh-CN"/>
        </w:rPr>
        <w:t>信息</w:t>
      </w:r>
      <w:r>
        <w:rPr>
          <w:rFonts w:hint="default" w:ascii="仿宋_GB2312" w:hAnsi="仿宋_GB2312" w:eastAsia="仿宋_GB2312" w:cs="仿宋_GB2312"/>
          <w:sz w:val="32"/>
          <w:szCs w:val="32"/>
          <w:lang w:val="en-US" w:eastAsia="zh-CN"/>
        </w:rPr>
        <w:t>公开与业务工作协同</w:t>
      </w:r>
      <w:r>
        <w:rPr>
          <w:rFonts w:hint="eastAsia" w:ascii="仿宋_GB2312" w:hAnsi="仿宋_GB2312" w:eastAsia="仿宋_GB2312" w:cs="仿宋_GB2312"/>
          <w:sz w:val="32"/>
          <w:szCs w:val="32"/>
          <w:lang w:val="en-US" w:eastAsia="zh-CN"/>
        </w:rPr>
        <w:t>联动</w:t>
      </w:r>
      <w:r>
        <w:rPr>
          <w:rFonts w:hint="default"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lang w:val="en-US" w:eastAsia="zh-CN"/>
        </w:rPr>
        <w:t>办公室与</w:t>
      </w:r>
      <w:r>
        <w:rPr>
          <w:rFonts w:hint="default" w:ascii="仿宋_GB2312" w:hAnsi="仿宋_GB2312" w:eastAsia="仿宋_GB2312" w:cs="仿宋_GB2312"/>
          <w:sz w:val="32"/>
          <w:szCs w:val="32"/>
          <w:lang w:val="en-US" w:eastAsia="zh-CN"/>
        </w:rPr>
        <w:t>业务科室</w:t>
      </w:r>
      <w:r>
        <w:rPr>
          <w:rFonts w:hint="eastAsia" w:ascii="仿宋_GB2312" w:hAnsi="仿宋_GB2312" w:eastAsia="仿宋_GB2312" w:cs="仿宋_GB2312"/>
          <w:sz w:val="32"/>
          <w:szCs w:val="32"/>
          <w:lang w:val="en-US" w:eastAsia="zh-CN"/>
        </w:rPr>
        <w:t>沟通交流，建立了信息报送机制</w:t>
      </w:r>
      <w:r>
        <w:rPr>
          <w:rFonts w:hint="default"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val="en-US" w:eastAsia="zh-CN"/>
        </w:rPr>
        <w:t>信息</w:t>
      </w:r>
      <w:r>
        <w:rPr>
          <w:rFonts w:hint="default" w:ascii="仿宋_GB2312" w:hAnsi="仿宋_GB2312" w:eastAsia="仿宋_GB2312" w:cs="仿宋_GB2312"/>
          <w:sz w:val="32"/>
          <w:szCs w:val="32"/>
          <w:lang w:val="en-US" w:eastAsia="zh-CN"/>
        </w:rPr>
        <w:t>公开与业务</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同推进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二是提升公众参与和互动效果，举办“健康在身边”开放日活动</w:t>
      </w:r>
      <w:r>
        <w:rPr>
          <w:rFonts w:hint="eastAsia" w:ascii="仿宋_GB2312" w:hAnsi="仿宋_GB2312" w:eastAsia="仿宋_GB2312" w:cs="仿宋_GB2312"/>
          <w:sz w:val="32"/>
          <w:szCs w:val="32"/>
          <w:lang w:val="en-US" w:eastAsia="zh-CN"/>
        </w:rPr>
        <w:t>1次，征求群众意见5条并全部整改到位。</w:t>
      </w:r>
    </w:p>
    <w:p w14:paraId="4C9F46FB">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3E64BA05">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（一）依申请公开政府信息处理费收费情况。</w:t>
      </w:r>
      <w:r>
        <w:rPr>
          <w:rFonts w:hint="default" w:ascii="仿宋_GB2312" w:hAnsi="仿宋_GB2312" w:eastAsia="仿宋_GB2312" w:cs="仿宋_GB2312"/>
          <w:sz w:val="32"/>
          <w:szCs w:val="32"/>
          <w:lang w:val="en-US" w:eastAsia="zh-CN"/>
        </w:rPr>
        <w:t>本年度未有收取信息处理费情况。</w:t>
      </w:r>
    </w:p>
    <w:p w14:paraId="084BE005">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（二）本年度建议提案办理情况。</w:t>
      </w:r>
      <w:r>
        <w:rPr>
          <w:rFonts w:hint="default" w:ascii="仿宋_GB2312" w:hAnsi="仿宋_GB2312" w:eastAsia="仿宋_GB2312" w:cs="仿宋_GB2312"/>
          <w:sz w:val="32"/>
          <w:szCs w:val="32"/>
          <w:highlight w:val="none"/>
          <w:lang w:val="en-US" w:eastAsia="zh-CN"/>
        </w:rPr>
        <w:t>本年度共办理人大代表建议</w:t>
      </w:r>
      <w:r>
        <w:rPr>
          <w:rFonts w:hint="eastAsia" w:ascii="仿宋_GB2312" w:hAnsi="仿宋_GB2312" w:eastAsia="仿宋_GB2312" w:cs="仿宋_GB2312"/>
          <w:sz w:val="32"/>
          <w:szCs w:val="32"/>
          <w:highlight w:val="none"/>
          <w:lang w:val="en-US" w:eastAsia="zh-CN"/>
        </w:rPr>
        <w:t>11</w:t>
      </w:r>
      <w:r>
        <w:rPr>
          <w:rFonts w:hint="default" w:ascii="仿宋_GB2312" w:hAnsi="仿宋_GB2312" w:eastAsia="仿宋_GB2312" w:cs="仿宋_GB2312"/>
          <w:sz w:val="32"/>
          <w:szCs w:val="32"/>
          <w:highlight w:val="none"/>
          <w:lang w:val="en-US" w:eastAsia="zh-CN"/>
        </w:rPr>
        <w:t>件、政协提案</w:t>
      </w:r>
      <w:r>
        <w:rPr>
          <w:rFonts w:hint="eastAsia" w:ascii="仿宋_GB2312" w:hAnsi="仿宋_GB2312" w:eastAsia="仿宋_GB2312" w:cs="仿宋_GB2312"/>
          <w:sz w:val="32"/>
          <w:szCs w:val="32"/>
          <w:highlight w:val="none"/>
          <w:lang w:val="en-US" w:eastAsia="zh-CN"/>
        </w:rPr>
        <w:t>17</w:t>
      </w:r>
      <w:r>
        <w:rPr>
          <w:rFonts w:hint="default" w:ascii="仿宋_GB2312" w:hAnsi="仿宋_GB2312" w:eastAsia="仿宋_GB2312" w:cs="仿宋_GB2312"/>
          <w:sz w:val="32"/>
          <w:szCs w:val="32"/>
          <w:highlight w:val="none"/>
          <w:lang w:val="en-US" w:eastAsia="zh-CN"/>
        </w:rPr>
        <w:t>件，办复率</w:t>
      </w:r>
      <w:r>
        <w:rPr>
          <w:rFonts w:hint="eastAsia" w:ascii="仿宋_GB2312" w:hAnsi="仿宋_GB2312" w:eastAsia="仿宋_GB2312" w:cs="仿宋_GB2312"/>
          <w:sz w:val="32"/>
          <w:szCs w:val="32"/>
          <w:highlight w:val="none"/>
          <w:lang w:val="en-US" w:eastAsia="zh-CN"/>
        </w:rPr>
        <w:t>100</w:t>
      </w:r>
      <w:r>
        <w:rPr>
          <w:rFonts w:hint="default" w:ascii="仿宋_GB2312" w:hAnsi="仿宋_GB2312" w:eastAsia="仿宋_GB2312" w:cs="仿宋_GB2312"/>
          <w:sz w:val="32"/>
          <w:szCs w:val="32"/>
          <w:highlight w:val="none"/>
          <w:lang w:val="en-US" w:eastAsia="zh-CN"/>
        </w:rPr>
        <w:t>%。</w:t>
      </w:r>
    </w:p>
    <w:p w14:paraId="1E75ABCD">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（三）政务公开工作创新实践情况。</w:t>
      </w:r>
      <w:r>
        <w:rPr>
          <w:rFonts w:hint="eastAsia" w:ascii="仿宋_GB2312" w:hAnsi="仿宋_GB2312" w:eastAsia="仿宋_GB2312" w:cs="仿宋_GB2312"/>
          <w:sz w:val="32"/>
          <w:szCs w:val="32"/>
          <w:lang w:val="en-US" w:eastAsia="zh-CN"/>
        </w:rPr>
        <w:t>在全区卫健系统开展“市民看城市变化提意见建议”系列活动20余场，邀请市民代表走进区属医院和基层医疗卫生机构，引导参观并现场提出意见建议，在沟通交流中不断改善看病就医新体验</w:t>
      </w:r>
      <w:r>
        <w:rPr>
          <w:rFonts w:hint="default" w:ascii="仿宋_GB2312" w:hAnsi="仿宋_GB2312" w:eastAsia="仿宋_GB2312" w:cs="仿宋_GB2312"/>
          <w:sz w:val="32"/>
          <w:szCs w:val="32"/>
          <w:lang w:val="en-US" w:eastAsia="zh-CN"/>
        </w:rPr>
        <w:t>。</w:t>
      </w:r>
    </w:p>
    <w:p w14:paraId="4298D981">
      <w:pPr>
        <w:keepNext w:val="0"/>
        <w:keepLines w:val="0"/>
        <w:pageBreakBefore w:val="0"/>
        <w:widowControl w:val="0"/>
        <w:kinsoku/>
        <w:wordWrap/>
        <w:overflowPunct/>
        <w:topLinePunct w:val="0"/>
        <w:autoSpaceDE/>
        <w:autoSpaceDN/>
        <w:bidi w:val="0"/>
        <w:adjustRightInd/>
        <w:snapToGrid/>
        <w:spacing w:line="42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（四）落实上级年度政务公开工作要点情况。</w:t>
      </w:r>
      <w:r>
        <w:rPr>
          <w:rFonts w:hint="eastAsia" w:ascii="仿宋_GB2312" w:hAnsi="仿宋_GB2312" w:eastAsia="仿宋_GB2312" w:cs="仿宋_GB2312"/>
          <w:sz w:val="32"/>
          <w:szCs w:val="32"/>
          <w:lang w:val="en-US" w:eastAsia="zh-CN"/>
        </w:rPr>
        <w:t>本年度，区卫健局按照《2025年临淄区政务公开工作要点》各项工作要求，严格传达落实文件精神。一是</w:t>
      </w:r>
      <w:r>
        <w:rPr>
          <w:rFonts w:hint="default" w:ascii="仿宋_GB2312" w:hAnsi="仿宋_GB2312" w:eastAsia="仿宋_GB2312" w:cs="仿宋_GB2312"/>
          <w:sz w:val="32"/>
          <w:szCs w:val="32"/>
          <w:lang w:val="en-US" w:eastAsia="zh-CN"/>
        </w:rPr>
        <w:t>夯实基础，推动政务公开标准化、常态化运行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聚焦政务公开</w:t>
      </w:r>
      <w:bookmarkStart w:id="10" w:name="_GoBack"/>
      <w:bookmarkEnd w:id="10"/>
      <w:r>
        <w:rPr>
          <w:rFonts w:hint="default" w:ascii="仿宋_GB2312" w:hAnsi="仿宋_GB2312" w:eastAsia="仿宋_GB2312" w:cs="仿宋_GB2312"/>
          <w:sz w:val="32"/>
          <w:szCs w:val="32"/>
          <w:lang w:val="en-US" w:eastAsia="zh-CN"/>
        </w:rPr>
        <w:t>日常运转，将工作责任精准分解至局机关各科室，对照既定任务清单抓实抓细政府信息公开各项工作，清晰划定工作目标、职责分工与落实举措。统筹系统内各单位，明确配备专职工作人员专责政务公开事务，保障各项公开工作落地见效、规范有序。</w:t>
      </w: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纵深拓展，提升公共企事业单位信息公开质效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续深化公共企事业单位信息公开工作，常态化开展系统内业务培训，健全组织管理体系，强化统筹调度与督导检查。全面推行联络员制度，定期组织公共企事业单位信息公开专项评估，聚焦区属医疗单位网站栏目建设，从严监督指导，确保栏目架构清晰、公开要素完整、内容更新及时。同步完善线下公开阵地、咨询热线等公开渠道，高效回应社会关切，精准满足服务对象与社会公众的多样化信息需求。</w:t>
      </w:r>
      <w:r>
        <w:rPr>
          <w:rFonts w:hint="eastAsia" w:ascii="仿宋_GB2312" w:hAnsi="仿宋_GB2312" w:eastAsia="仿宋_GB2312" w:cs="仿宋_GB2312"/>
          <w:sz w:val="32"/>
          <w:szCs w:val="32"/>
          <w:lang w:val="en-US" w:eastAsia="zh-CN"/>
        </w:rPr>
        <w:t>三是</w:t>
      </w:r>
      <w:r>
        <w:rPr>
          <w:rFonts w:hint="default" w:ascii="仿宋_GB2312" w:hAnsi="仿宋_GB2312" w:eastAsia="仿宋_GB2312" w:cs="仿宋_GB2312"/>
          <w:sz w:val="32"/>
          <w:szCs w:val="32"/>
          <w:lang w:val="en-US" w:eastAsia="zh-CN"/>
        </w:rPr>
        <w:t>赋能提质，锻造专业化政务公开工作队伍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持之以恒加强政务公开队伍能力建设，每年统筹开展集中研讨实训，充分发挥骨干人员传帮带作用，精准帮扶</w:t>
      </w:r>
      <w:r>
        <w:rPr>
          <w:rFonts w:hint="eastAsia" w:ascii="仿宋_GB2312" w:hAnsi="仿宋_GB2312" w:eastAsia="仿宋_GB2312" w:cs="仿宋_GB2312"/>
          <w:sz w:val="32"/>
          <w:szCs w:val="32"/>
          <w:lang w:val="en-US" w:eastAsia="zh-CN"/>
        </w:rPr>
        <w:t>基层医疗机构</w:t>
      </w:r>
      <w:r>
        <w:rPr>
          <w:rFonts w:hint="default" w:ascii="仿宋_GB2312" w:hAnsi="仿宋_GB2312" w:eastAsia="仿宋_GB2312" w:cs="仿宋_GB2312"/>
          <w:sz w:val="32"/>
          <w:szCs w:val="32"/>
          <w:lang w:val="en-US" w:eastAsia="zh-CN"/>
        </w:rPr>
        <w:t>提升政务公开实操能力，全面夯实全区卫生健康系统政务公开队伍专业素养与履职水平。</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57D005-1C78-44C8-824A-C0260CC288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6C6376-5CCE-4D34-84B7-68CD33B54503}"/>
  </w:font>
  <w:font w:name="方正小标宋简体">
    <w:panose1 w:val="02000000000000000000"/>
    <w:charset w:val="86"/>
    <w:family w:val="auto"/>
    <w:pitch w:val="default"/>
    <w:sig w:usb0="00000001" w:usb1="080E0000" w:usb2="00000000" w:usb3="00000000" w:csb0="00040000" w:csb1="00000000"/>
    <w:embedRegular r:id="rId3" w:fontKey="{A9DC9B6F-46A4-4162-879F-FF6FFB9F603F}"/>
  </w:font>
  <w:font w:name="仿宋_GB2312">
    <w:panose1 w:val="02010609030101010101"/>
    <w:charset w:val="86"/>
    <w:family w:val="decorative"/>
    <w:pitch w:val="default"/>
    <w:sig w:usb0="00000001" w:usb1="080E0000" w:usb2="00000000" w:usb3="00000000" w:csb0="00040000" w:csb1="00000000"/>
    <w:embedRegular r:id="rId4" w:fontKey="{D126DFFB-3886-492F-AA68-FA75AC33F32D}"/>
  </w:font>
  <w:font w:name="楷体_GB2312">
    <w:panose1 w:val="02010609030101010101"/>
    <w:charset w:val="86"/>
    <w:family w:val="auto"/>
    <w:pitch w:val="default"/>
    <w:sig w:usb0="00000001" w:usb1="080E0000" w:usb2="00000000" w:usb3="00000000" w:csb0="00040000" w:csb1="00000000"/>
    <w:embedRegular r:id="rId5" w:fontKey="{33F52E46-01A9-4E3F-8A12-97BDC90AC7BD}"/>
  </w:font>
  <w:font w:name="楷体">
    <w:panose1 w:val="02010609060101010101"/>
    <w:charset w:val="86"/>
    <w:family w:val="auto"/>
    <w:pitch w:val="default"/>
    <w:sig w:usb0="800002BF" w:usb1="38CF7CFA" w:usb2="00000016" w:usb3="00000000" w:csb0="00040001" w:csb1="00000000"/>
    <w:embedRegular r:id="rId6" w:fontKey="{ABE72D50-50B5-47D0-9FE1-2D44B1D8FA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1436C"/>
    <w:rsid w:val="0ADF2DE1"/>
    <w:rsid w:val="15561566"/>
    <w:rsid w:val="191F5547"/>
    <w:rsid w:val="1A117562"/>
    <w:rsid w:val="20926201"/>
    <w:rsid w:val="254D31FF"/>
    <w:rsid w:val="28C50E13"/>
    <w:rsid w:val="30075AD5"/>
    <w:rsid w:val="3331436C"/>
    <w:rsid w:val="34716FF9"/>
    <w:rsid w:val="363775C6"/>
    <w:rsid w:val="44112D5D"/>
    <w:rsid w:val="4A0719EE"/>
    <w:rsid w:val="4E82281C"/>
    <w:rsid w:val="5E631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3025</Words>
  <Characters>3155</Characters>
  <Lines>0</Lines>
  <Paragraphs>0</Paragraphs>
  <TotalTime>4</TotalTime>
  <ScaleCrop>false</ScaleCrop>
  <LinksUpToDate>false</LinksUpToDate>
  <CharactersWithSpaces>3156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2026-01-07T01:11:00Z</dcterms:created>
  <dc:creator>Lenovo</dc:creator>
  <cp:lastModifiedBy>一朵行走的李针菇精</cp:lastModifiedBy>
  <dcterms:modified xsi:type="dcterms:W3CDTF">2026-04-20T08:52:30Z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E29A23357B91419AAAEAFC591EDCF8AB_11</vt:lpwstr>
  </property>
  <property fmtid="{D5CDD505-2E9C-101B-9397-08002B2CF9AE}" pid="4" name="KSOTemplateDocerSaveRecord">
    <vt:lpwstr>eyJoZGlkIjoiN2Y1NjI0ZmJlYzcyZDgwMmI2MGJjOWU5NzI1OWJmZjIiLCJ1c2VySWQiOiI0MDMyNzg3MjcifQ==</vt:lpwstr>
  </property>
</Properties>
</file>