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86" w:rsidRDefault="00B50886">
      <w:pPr>
        <w:pStyle w:val="NormalWeb"/>
        <w:widowControl/>
        <w:spacing w:beforeAutospacing="0" w:afterAutospacing="0"/>
        <w:jc w:val="center"/>
        <w:rPr>
          <w:rFonts w:ascii="仿宋_GB2312" w:eastAsia="仿宋_GB2312" w:hAnsi="微软雅黑" w:cs="仿宋_GB2312"/>
          <w:b/>
          <w:bCs/>
          <w:color w:val="333333"/>
          <w:sz w:val="40"/>
          <w:szCs w:val="40"/>
        </w:rPr>
      </w:pPr>
      <w:bookmarkStart w:id="0" w:name="_GoBack"/>
      <w:r>
        <w:rPr>
          <w:rFonts w:ascii="仿宋_GB2312" w:eastAsia="仿宋_GB2312" w:hAnsi="微软雅黑" w:cs="仿宋_GB2312" w:hint="eastAsia"/>
          <w:b/>
          <w:bCs/>
          <w:color w:val="333333"/>
          <w:sz w:val="40"/>
          <w:szCs w:val="40"/>
        </w:rPr>
        <w:t>朱台中心卫生院依法执业承诺书</w:t>
      </w:r>
    </w:p>
    <w:bookmarkEnd w:id="0"/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为落实医疗机构依法执业自我管理主体责任，规范执业行为，依据《医疗机构管理条例》、《中华人民共和国医师法》、《医疗机构依法执业自查管理办法》等法律法规和有关规定要求，本单位在执业期间郑重承诺如下：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、医疗机构主要负责人为本单位依法执业第一责任人，如违反相关执业规定，将依据法律和卫生部《关于打击非法行医专项行动责任追究的意见》，严肃追究医疗机构主要负责人和相关责任人的责任。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严格遵守《中华人民共和国基本医疗卫生与健康促进法》、《医疗机构管理条例》、《中华人民共和国医师法》、《护士条例》、《传染病防治法》、《母婴保健法》、《医疗广告管理办法》、《医疗废物管理条例》等国家卫生法律、法规和医疗技术规范，依法执业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医疗机构必须依法领取《医疗机构执业许可证》，严格按照核准登记的诊疗科目开展诊疗活动，不超范围执业；不出租、出借、转让《医疗机构执业许可证》，不对外出租承包科室。实习生和执业助理医师必须在执业医师的指导下开展相应诊疗活动，不单独执业。所有执业人员必须具有规定的资质并注册登记，不得聘请非卫生技术人员从事医疗卫生技术工作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4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、严格遵守《中华人民共和国献血法》、《医疗机构临床用血管理办法》等法律法规，保证釆供血及临床用血安全。</w:t>
      </w:r>
      <w:r>
        <w:rPr>
          <w:rFonts w:ascii="仿宋_GB2312" w:eastAsia="仿宋_GB2312" w:hAnsi="微软雅黑" w:cs="仿宋_GB2312"/>
          <w:color w:val="333333"/>
          <w:sz w:val="32"/>
          <w:szCs w:val="32"/>
        </w:rPr>
        <w:t>.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、符合规范化医疗机构的建设要求，医疗机构招牌与卫生健康行政部门核发的医疗机构名称相符。坚决杜绝假专家、假医生坐诊；医疗广告依法上报审批，不刊播发布违法、虚假医疗广告。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、严格执行母婴保健、计划生育等有关法律法规，禁止非医学需要的胎儿性别鉴定和选择性别的人工终</w:t>
      </w:r>
      <w:r>
        <w:rPr>
          <w:rFonts w:ascii="仿宋_GB2312" w:eastAsia="仿宋_GB2312" w:hAnsi="微软雅黑" w:cs="仿宋_GB2312"/>
          <w:color w:val="333333"/>
          <w:sz w:val="32"/>
          <w:szCs w:val="32"/>
        </w:rPr>
        <w:t>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止妊娠。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依法做好传染病防治工作。按法律、法规、规范和程序做好疫情的登记、报告和处理，绝不隐瞒、谎报、缓报传染病疫情。发生突发公共卫生事件等，按法定程序及时报告，按照相关技术规范进行处置，并自觉服从卫生健康部门的监督指导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严格执行消毒、隔离和无菌操作等制度，加强医疗机构消毒与管理工作，严防交叉感染。对于医疗废弃物的处理，应严格按照国务院《医疗废物管理条例》和《医疗卫生机构医疗废物管理办法》有关规定，统一畐医疗废弃物集中处置单位处理。严格按照分类放置一密封暂存一交接登记一集中处理等顺序，作好医疗废弃物处理工作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、采购消毒产品时，应依法索取生产企业卫生许可证、产品备案凭证或卫生许可批件、产品卫生质量合格证明等。标签标识符合相关要求。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、严格遵守《医疗质量管理办法》，加强医疗质量管理，规范各类诊疗行为，提高诊疗服务水平，确保医疗安全。规范各种医疗文书书写，严格按照《处方管理办法》《病历书写基本规范》等规定执行。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、自觉接受卫生监督执法部门的日常监管，按照规定及时申请校验。若有任何变更，须报区卫生健康局批准同意后，方可从事执业活动。</w:t>
      </w:r>
    </w:p>
    <w:p w:rsidR="00B50886" w:rsidRDefault="00B50886">
      <w:pPr>
        <w:pStyle w:val="NormalWeb"/>
        <w:widowControl/>
        <w:spacing w:beforeAutospacing="0" w:afterAutospacing="0"/>
        <w:ind w:firstLine="640"/>
        <w:jc w:val="both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</w:rPr>
        <w:t>以上责任书一式两份，区卫生健康综合监督执法大队和医疗机构各执一份，如有违反，将依法追究医疗机构及相关责任人法律责任。</w:t>
      </w:r>
    </w:p>
    <w:p w:rsidR="00B50886" w:rsidRDefault="00B50886"/>
    <w:sectPr w:rsidR="00B50886" w:rsidSect="00123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U4Njc0OGJlMmJjNzY4NjhmYTIxZmM4ZDUzOGY4YjYifQ=="/>
  </w:docVars>
  <w:rsids>
    <w:rsidRoot w:val="0012349A"/>
    <w:rsid w:val="0012349A"/>
    <w:rsid w:val="002A14C0"/>
    <w:rsid w:val="008E4B8F"/>
    <w:rsid w:val="00B50886"/>
    <w:rsid w:val="00BE59C2"/>
    <w:rsid w:val="43A6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9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349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181</Words>
  <Characters>1032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2022-10-10T11:53:00Z</dcterms:created>
  <dcterms:modified xsi:type="dcterms:W3CDTF">2022-10-10T14:48:00Z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7A67E611484844E8B0BAF08E83F3100D</vt:lpwstr>
  </property>
</Properties>
</file>