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关于印发《临淄区应急管理局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4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年度“双随机、一公开”抽查工作计划》的通知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6"/>
        <w:textAlignment w:val="auto"/>
        <w:rPr>
          <w:rStyle w:val="8"/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局机关各科室、服务中心、执法大队：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为贯彻落实省、市、区关于“双随机、一公开”监管工作部署要求，进一步加强事中事后监管，实现差异化精准执法，提高执法效能，结合我局执法工作实际，现制定202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年度“双随机、一公开”抽查工作计划如下：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一、总体要求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认真贯彻落实党的二十大精神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按照区委、区政府的决策部署，严格执行《安全生产法》等相关法律、法规、规章，转变监管理念，创新监管方式，规范执法行为，解决执法随意、执法不严问题，切实消除安全隐患，促进全区安全生产形势持续稳定向好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二、工作目标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（一）完善随机抽查工作机制，在进一步强化随机抽查工作标准化、规范化建设的基础上，实现应急管理系统内部“双随机、一公开”监管常态化。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（二）深入推进部门联合抽查，在首先完成省级派发双随机任务的基础上，积极协调其他相关监管部门，合理制定部门联合双随机抽查计划。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（三）健全随机抽查方式，提高双随机抽查的精准性和问题发现率，确保随机抽查的震慑力。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（四）抽查检查结果100%公示，抽查检查发现问题后续监管到位，切实消除安全隐患，有效遏制重特大事故。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三、主要任务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（一）持续完善执法检查人员和抽查对象名录库。动态调整监察对象名录库和执法检查人员名录库，实现对检查对象的精准抽取和执法人员的精准匹配，促进执法资源的科学分配和合理使用。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深入推进联合抽查。依据监管职责和监管重点，明确配合单位及内部牵头发起科室和相关参与科室，严格执行年度“双随机、一公开”部门联合抽查计划，涉查对象占区应急局本年度双随机检查对象总数的30%，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三）提升“双随机、一公开”监管效能。完善双随机抽查后续处置机制，对抽查发现的违法违规行为，加强随机抽查与后续监管的有效衔接，依法定程序及时移交有处置权限的机构和相关部门，涉嫌犯罪的及时移送司法机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四、抽查企业数量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根据我局应急监管工作实际，本年度拟抽取10家企业实施“双随机、一公开”抽查。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五、检查实施部门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（一）部门联合双随机。结合省应急厅、市应急局派发和区应急局发起的双随机任务，由应急管理部门牵头，联合临淄公安分局、区气象局、区自然资源局和区消防大队部门等相关配合实施。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（二）系统内部双随机。省应急厅、市应急局和区应急局派发、发起的系统内部双随机任务，由区应急局派员实施完成。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六、检查时间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省应急厅、市应急局派发的双随机抽查任务，按照上级规定时限按期完成；区级发起的双随机任务，202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年11月底前完成。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七、检查内容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区应急管理局按照《山东省应急厅部门联合“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”抽查事项清单》有关检查内容进行执法检查。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其他配合部门根据其监管工作实际所确定的检查内容进行执法检查。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88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2"/>
          <w:sz w:val="32"/>
          <w:szCs w:val="32"/>
        </w:rPr>
        <w:t>八、工作要求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严格抽查检查网上运行，年度内所有双随机执法任务，均应运用省“双随机、一公开”监管平台。对于省级派发双随机抽查任务，要及时通过监管平台实现任务认领、执法人员匹配和检查结果录入；本级发起的双随机抽查任务，要通过监管平台进行任务发起、检查对象抽取、执法人员匹配和检查结果录入等操作。对于部门联合双随机抽查任务，要及时协调相关部门共同实施，并督促其按期将检查结果录入监管平台，实现抽查结果部门间互认共享。同时，做好区政府网站“双随机、一公开”栏年度抽查计划、抽查结果、工作指引、抽查事项清单公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w w:val="9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临淄区应急管理局2024年度“双随机、一公开”抽查事项清单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w w:val="9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临淄区应急管理局2024年度部门内部双随机抽查工作计划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w w:val="96"/>
          <w:sz w:val="32"/>
          <w:szCs w:val="32"/>
        </w:rPr>
        <w:t>临淄区应急管理局2024年度部门联合双随机抽查工作计划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淄博市临淄区应急管理局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819"/>
        <w:gridCol w:w="957"/>
        <w:gridCol w:w="3938"/>
        <w:gridCol w:w="936"/>
        <w:gridCol w:w="698"/>
        <w:gridCol w:w="819"/>
        <w:gridCol w:w="1038"/>
        <w:gridCol w:w="858"/>
        <w:gridCol w:w="3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bookmarkStart w:id="0" w:name="RANGE!A1:J7"/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临淄区应急管理局202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年度“双随机、一公开”抽查事项清单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权责清单事项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抽查内容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检查对象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事项类别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检查方式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抽查比例及频次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检查部门及实施层级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</w:rPr>
              <w:t>检查依据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对非煤矿山企业的监督检查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对金属、非金属地下矿山安全生产情况的行政检查</w:t>
            </w:r>
          </w:p>
        </w:tc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矿山企业相关证照情况（采矿许可证、工商营业执照、安全生产许可证）；2.建设项目安全“三同时”情况（勘察、设计、施工、监理、安全评价、验收等）；3.安全基础管理情况（安全生产管理制度制定及落实，安全投人，安全管理机构设置及人员配备，主要负责人、安全管理人员考核合格和特种作业人员持证上岗及全员培训、岗位操作规程、应急管理等）；4.现场安全管理情况（安全出口、主通风机运行监控、自救器和便携式气体检测仪配备、井下人员定位系统运行、顶板监测管控和采空区普查治理监测、探放水制度落实水害隐患治理、提升设备定期检测检验、井下排水、淘汰危及安全生产工艺设备、图纸真实性）；5.安全风险分级管控和隐患排查治理体系运行情况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金属、非金属地下矿山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2.《矿山安全法》第三十四条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3.《非煤矿矿山企业安全生产许可证实施办法》（国家安全监管总局令第20号，2015年5月26日修正）第三十三条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4.《金属非金属矿山重大生产安全事故隐患判定标准（试行）》</w:t>
            </w:r>
          </w:p>
        </w:tc>
      </w:tr>
      <w:tr>
        <w:trPr>
          <w:trHeight w:val="416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对非煤矿山企业落实领导带班下井制度情况的监督检查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对非煤矿山企业落实领导带班下井制度情况的监督检查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1.领导带班下井制度建立、健全、考核、奖惩情况；2.领导带班下井月度计划制定、公告、公示、落实情况；3.带班下井交接班记录、带班下井登记档案填写情况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金属、非金属地下矿山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2.《金属非金属地下矿山企业领导带班下井及监督检查暂行规定》（国家安全监管总局令第34号2015年5月26日修正）第五条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对非煤矿山外包工程的安全生产监督检查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对非煤矿山外包工程的行政检查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1.行政许可和施工资质管理；2.安全生产管理协议签订情况；3.主要负责人、安全生产管理人员和特种作业人员培训及持证上岗情况；4.从业人员安全生产教育和培训情况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非煤矿山外包工程单位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1.《非煤矿矿山企业安全生产许可证实施办法》（国家安全监管总局令第20号，2015年5月26日修正）第三十三条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2.《非煤矿山外包工程安全管理暂行办法》（国家安全监管总局令第62号，2015年5月26日修正）第二十九条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对尾矿库生产经营单位安全生产的监督检查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对尾矿库生产经营单位或尾矿库管理单位的行政检查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企业相关证照情况（工商营业执照、安全生产许可证）；2.建设项目安全“三同时”情况（勘察、设计、施工、监理、安全评价、验收等）；3.安全生产管理机构和人员配备情况；4.领导带班、管理制度和责任制落实情况；5.从业人员培训和持证上岗情况；6.安全投入、工伤保险情况；7.应急预案、应急器材和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2.《尾矿库安全监督管理规定》（国家安全监管总局令第38号，2015年5月修订）第三十五条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对小型露天采石场的监督检查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对小型露天采石场的监督检查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企业相关证照情况（工商营业执照、安全生产许可证）；2.建设项目安全“三同时”情况（勘察、设计、施工、监理、安全评价、验收等）；3.安全生产管理机构和人员配备情况；4.领导带班、管理制度和责任制落实情况；5.从业人员培训和持证上岗情况；6.安全投入、工伤保险情况；7.应急预案、应急器材和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小型露天采石场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2.《小型露天采石场安全管理与监督检查规定》（国家安全监管总局令第39号，国家安全监管总局令第78号修正）第三条、第二十九条、第三十条、第三十一条、第三十二条、第三十三条、第三十四</w:t>
            </w:r>
          </w:p>
        </w:tc>
      </w:tr>
      <w:tr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对工贸企业有限空间作业的监督检查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对工贸企业有限空间作业的监督检查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1.有限空间作业安全管理制度制定情况；2.有限空间辨识及管理台账、检测记录情况；3.劳动防护用品配备情况；4.应急救援演练、专项安全培训等情况；5.与承包单位有限空间作业的协调管理情况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工贸企业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《工贸企业有限空间作业安全管理与监督暂行规定》（国家安全监管总局令第59号，2015年5月29日修正）第二十四条、第二十五条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对冶金企业和有色金属企业安全生产工作的监督检查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对冶金企业安全生产情况的行政检查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基础管理情况（安全生产管理制度，安全投入，安全管理机构设置及人员配备，主要负责人、安全管理人员考核合格和特种作业人员持证上岗及全员培训、岗位操作规程等）；2.钢铁企业安全生产执法检查8项重点事项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冶金企业（炼钢、炼铁、铁合金冶炼）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1.《冶金企业和有色金属企业安全生产规定》（国家安全监管总局令第91号）第五条第二款、第四十条、第四十一条、第四十二条、第四十三条、第四十四条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2.《工贸行业重大生产安全事故隐患判定标准（2017版）》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对有色企业安全生产情况的行政检查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员管理情况；2.建设项目安全评价及建设项目安全设施“三同时”情况；3.起重机使用情况；4.人员聚集场所设置情况；5.防积水情况；6.有色金属铸造、浇铸流程紧急排放和应急储存设施情况；7.应急预案、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有色金属企业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1.《冶金企业和有色金属企业安全生产规定》（国家安全监管总局令第91号）第五条第二款、第四十条、第四十一条、第四十二条、第四十三条、第四十四条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2.《工贸行业重大生产安全事故隐患判定标准（2017版）》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对食品生产企业安全生产的监督检查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对食品生产企业安全生产的监督检查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生产管理机构和人员情况；2.组织保障、管理制度和责任制落实情况；3.从业人员培训和持证上岗情况；4.有限空间作业管理情况；5.高温设备安全保护措施配备情况；6.安全风险较高场所监测报警装置和防爆装置设置情况；7.液氨使用安全情况；8.涉爆粉尘管理情况；9.应急预案、应急器材和应急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2.《食品生产企业安全生产监督管理暂行规定》（国家安全监管总局令第66号，第80号修正）第二十二条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3.《工贸行业重大生产安全事故隐患判定标准（2017版）》</w:t>
            </w:r>
          </w:p>
        </w:tc>
      </w:tr>
      <w:tr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对地质勘探单位安全生产的监督检查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对地质勘探单位安全生产的监督检查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1.安全生产管理机构设立和专职安全生产管理人员配备情况；2.特种作业人员持证上岗情况；3.从事坑探工程作业人员安全生产教育和培训情况；4.安全生产制度和规程建立情况；5.安全生产费用提取和使用情况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地质勘探单位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2.《金属与非金属矿产资源地质勘探安全生产监督管理暂行规定》（国家安全监管总局令第35号，2015年5月26日修正）第二十二条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对生产经营单位安全培训及特种作业人员持证上岗情况的监督检查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对生产经营单位安全培训情况的行政检查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培训经费投入和使用情况；2.制定安全培训制度、年度培训计划并实施，建立安全培训管理档案情况；3.对从业人员安全生产教育和培训情况的检查；4.主要负责人、安全生产管理人员和特种作业人员培训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2.《生产经营单位安全培训规定》（国家安全监管总局令第3号）第二十五条第一款、第二十六条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3.《安全生产培训管理办法》（国家安全监管总局令第44号，2013年8月29日第一次修正,2015年5月29日第二次修正）第三十条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对生产、储存、使用、经营危险化学品单位的安全生产监督检查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对一般危险化学品生产、储存、经营的行政检查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生产许可情况；2.履行建设项目安全设施“三同时”情况；3.企业主要负责人、安全管理人员安全生产教育情况（人员培训和特种作业人员持证上岗情况）；4.安全生产规章制度、操作规程建立情况；5.经营和储存场所、设施、建筑物符合相关国家标准、行业标准情况；6.编制事故应急预案并进行演练情况；7.外包工程管理情况；8.劳动防护用品佩戴和使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危险化学品生产、储存、经营企业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2.《危险化学品安全管理条例》（国务院令第344号）第六条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3.《危险化学品经营许可证管理办法》（国家安全监管总局令第55号）第二十五条、第二十六条、第二十七条、第二十九条、第三十条、第三十一条、第三十二条、第三十三条、第三十四条、第三十五条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对危险化学品重大危险源的监督检查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对危险化学品重大危险源的监督检查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隐患排查治理制度落实情况；2.危险化学品储罐区和储存仓库可燃气体及有毒气体报警系统、安全仪表连锁系统（SIS）、紧急停车系统（ESD）、视频监控系统、液位上下限报警系统、容器超压报警系统、紧急切断装置、安全阀切断阀、泄压排放系统、万向管道充装系统、防爆电气设备、冷却降温设施等安全运行情况；3.按标准分区分类储存危险化学品、危险化学品罐区装卸安全管理等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存在重大危险源的危险化学品企业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1.《安全生产法》（2021年第三次修正）第六十五条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2.《危险化学品重大危险源监督管理暂行规定》（国家安全监管总局令第40号）第三十条</w:t>
            </w:r>
          </w:p>
        </w:tc>
      </w:tr>
      <w:tr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对危险化学品管道安全生产的监督检查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对危险化学品管道安全生产的监督检查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1.建立、健全有关危险化学品管道安全生产的规章制度和操作规程情况；2.落实建设项目“三同时”情况；3.管道检测、维护情况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危化品生产、储存企业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《危险化学品输送管道安全管理规定》（国家安全监管总局令第43号，2015年5月27日修正）第四条、第三十条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对生产、经营非药品类易制毒化学品的监督检查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对非药品类易制毒化学品经营的行政检查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1.非药品类易制毒化学品许可、备案制度的执行情况；2.非药品类易制毒化学品管理制度的建立和落实情况；3.非药品类易制毒化学品销售情况；4.非药品类易制毒化学品教育培训情况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非药品类易制毒化学品生产、经营企业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1.《易制毒化学品管理条例》（国务院令第445号，2016年2月修改）第三十二条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2.《非药品类易制毒化学品生产、经营许可办法》（国家安全监管总局令第5号）第四条第二款、第二十五条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对危险化学品登记情况的监督检查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对危险化学品登记情况的监督检查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1.危化品登记证书的有效性；2.危化品登记证书载明情况和实际情况的一致性；3.化学品安全技术说明书、安全标签配备使用情况；4.危化品管理档案建立情况；5.应急咨询电话设立情况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危险化学品生产、进口企业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1.《危险化学品安全管理条例》（国务院令第344号）第六条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2.《危险化学品登记管理办法》（国家安全监管总局令第53号）第二十四条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对烟花爆竹生产经营单位的监督检查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对烟花爆竹批发、零售单位的行政检查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全许可情况；2.安全生产责任制等安全管理制度、操作规程建立及落实情况；3.从业人员培训及持证上岗情况；4.流向管理情况；5.仓储库房、零售场所等建设合规性情况；6.“三同时”落实情况；7.应急预案、应急器材和应急演练情况；8.风险管控及隐患排查治理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烟花爆竹零售店（点）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1.《烟花爆竹生产经营安全规定》（国家安全监管总局令第93号）第二十九条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2.《烟花爆竹经营许可实施办法》（国家安全监管总局令第7号）第四条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3.《烟花爆竹零售店（点）安全技术规范》（AQ4128-2019）</w:t>
            </w:r>
          </w:p>
        </w:tc>
      </w:tr>
      <w:tr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对生产经营单位应急预案工作的监督检查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对生产经营单位应急预案工作的监督检查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对产经营单位应急预案编制、发布、备案、教育培训及演练情况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1.《安全生产法》（2021年第三次修正）第九十七条第（二）项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2.《生产安全事故应急条例》（国务院令第708号）第八条第三款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3.《生产安全事故应急预案管理办法》（国家安全监管总局令第17与）第三十五条、第三十六条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4.《山东省生产安全事故应急办法》（山东省人民政府令第341号）第三十二条、第三十三条、第三十四条、第三十五条、第三十六条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对安全培训机构开展安全培训活动情况的监督检查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对安全生产教育培训机构的开展安全培训活动情况的行政检查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1.具备从事安全培训工作所需要的条件的情况；2.建立培训管理制度和教师配备的情况；3.培训大纲、建立培训档案和培训保障的情况；4.培训收费的情况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安全生产教育培训机构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全年抽查比例不低于10%，每年抽查1次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《安全生产培训管理办法》（国家安全监管总局令第44号，2013年8月29日第一次修正,2015年5月29日第二次修正）第二十九条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对本系统注册安全工程师的执业活动的监督检查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对本系统注册安全工程师的执业活动的监督检查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本系统注册安全工程师的执业活动情况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已经注册的注册安全工程师（煤矿安全、建筑施工安全、道路运输安全类别除外）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查阅资料、现场检查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全年抽查比例不低于5%，每年抽查1次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县级应急管理部门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《注册安全工程师管理规定》（国家安全监管总局令第11号，2013年8月修订）第二十八条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临淄区应急管理局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年度部门内部双随机抽查工作计划</w:t>
      </w: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9"/>
        <w:gridCol w:w="1276"/>
        <w:gridCol w:w="2268"/>
        <w:gridCol w:w="1275"/>
        <w:gridCol w:w="1276"/>
        <w:gridCol w:w="1276"/>
        <w:gridCol w:w="1417"/>
        <w:gridCol w:w="141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09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部门</w:t>
            </w:r>
          </w:p>
        </w:tc>
        <w:tc>
          <w:tcPr>
            <w:tcW w:w="1276" w:type="dxa"/>
          </w:tcPr>
          <w:p>
            <w:pPr>
              <w:spacing w:line="280" w:lineRule="exact"/>
              <w:ind w:firstLine="200" w:firstLineChars="100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抽查事项</w:t>
            </w:r>
          </w:p>
        </w:tc>
        <w:tc>
          <w:tcPr>
            <w:tcW w:w="2268" w:type="dxa"/>
          </w:tcPr>
          <w:p>
            <w:pPr>
              <w:spacing w:line="280" w:lineRule="exact"/>
              <w:ind w:firstLine="600" w:firstLineChars="300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抽查内容</w:t>
            </w:r>
          </w:p>
        </w:tc>
        <w:tc>
          <w:tcPr>
            <w:tcW w:w="1275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抽查对象</w:t>
            </w:r>
          </w:p>
        </w:tc>
        <w:tc>
          <w:tcPr>
            <w:tcW w:w="1276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事项类别</w:t>
            </w:r>
          </w:p>
        </w:tc>
        <w:tc>
          <w:tcPr>
            <w:tcW w:w="1276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检查方式</w:t>
            </w:r>
          </w:p>
        </w:tc>
        <w:tc>
          <w:tcPr>
            <w:tcW w:w="1417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抽查比例及频次</w:t>
            </w:r>
          </w:p>
        </w:tc>
        <w:tc>
          <w:tcPr>
            <w:tcW w:w="1418" w:type="dxa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检查部门及实施层级</w:t>
            </w:r>
          </w:p>
        </w:tc>
        <w:tc>
          <w:tcPr>
            <w:tcW w:w="2329" w:type="dxa"/>
          </w:tcPr>
          <w:p>
            <w:pPr>
              <w:spacing w:line="280" w:lineRule="exact"/>
              <w:ind w:firstLine="600" w:firstLineChars="300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对非煤矿山企业落实领导带班下井制度情况的监督检查</w:t>
            </w:r>
          </w:p>
        </w:tc>
        <w:tc>
          <w:tcPr>
            <w:tcW w:w="226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1.领导带班下井制度建立、健全、考核、奖惩情况。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2.领导带班下井月度计划制定、公告、公示、落实情况。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3.带班下井交接班记录、带班下井登记档案填写情况。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金属、非金属地下矿山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计划内100%，每年至少1次</w:t>
            </w:r>
          </w:p>
        </w:tc>
        <w:tc>
          <w:tcPr>
            <w:tcW w:w="141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400" w:firstLineChars="2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1.《安全生产法》（2021年第三次修正）第六十五条。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2.《金属非金属地下矿山企业领导带班下井及监督检查暂行规定》（国家安全监管总局令第34号2015年5月26日修正）第五条。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对生产经营单位安全培训情况的行政检查</w:t>
            </w:r>
          </w:p>
        </w:tc>
        <w:tc>
          <w:tcPr>
            <w:tcW w:w="226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1.安全培训经费投入和使用情况。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2.制定安全培训制度、年度培训计划并实施，建立安全培训管理档案情况。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3.对从业人员安全生产教育和培训情况的检查。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4.主要负责人、安全生产管理人员和特种作业人员培训情况。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生产经营单位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计划内100%，每年至少1次</w:t>
            </w:r>
          </w:p>
        </w:tc>
        <w:tc>
          <w:tcPr>
            <w:tcW w:w="141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400" w:firstLineChars="2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1.《安全生产法》（2021年第三次修正）第六十五条。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2.《生产经营单位安全培训规定》（国家安全监管总局令第3号）第二十五条第一款、第二十六条。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3.《安全生产培训管理办法》（国家安全监管总局令第44号，2013年8月29日第一次修正,2015年5月29日第二次修正）第三十条。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区应急局</w:t>
            </w:r>
          </w:p>
        </w:tc>
        <w:tc>
          <w:tcPr>
            <w:tcW w:w="1276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对一般危险化学品生产、储存的行政检查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1.安全生产许可情况。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2.履行建设项目安全设施“三同时”情况。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3.企业主要负责人、安全管理人员安全生产教育情况（人员培训和持证上岗情况）。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4.编制事故应急预案并进行演练情况。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5.外包工程管理情况。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6.劳动防护用品佩戴和使用情况。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危险化学品生产、储存企业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重点检查事项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查阅资料、现场检查</w:t>
            </w:r>
          </w:p>
        </w:tc>
        <w:tc>
          <w:tcPr>
            <w:tcW w:w="1417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计划内100%，每年至少1次</w:t>
            </w:r>
          </w:p>
        </w:tc>
        <w:tc>
          <w:tcPr>
            <w:tcW w:w="1418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ind w:firstLine="200" w:firstLineChars="100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区级</w:t>
            </w:r>
          </w:p>
        </w:tc>
        <w:tc>
          <w:tcPr>
            <w:tcW w:w="232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1.《安全生产法》（2021年第三次修正）第六十五条。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2.《危险化学品安全管理条例》（国务院令第344号）第六条。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p>
      <w:pPr>
        <w:spacing w:line="520" w:lineRule="exact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临淄区应急管理局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年度部门联合双随机抽查工作计划</w:t>
      </w:r>
    </w:p>
    <w:p>
      <w:pPr>
        <w:spacing w:line="52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560"/>
        <w:gridCol w:w="2375"/>
        <w:gridCol w:w="1310"/>
        <w:gridCol w:w="1985"/>
        <w:gridCol w:w="1355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抽查领域</w:t>
            </w:r>
          </w:p>
        </w:tc>
        <w:tc>
          <w:tcPr>
            <w:tcW w:w="1560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抽查事项</w:t>
            </w:r>
          </w:p>
        </w:tc>
        <w:tc>
          <w:tcPr>
            <w:tcW w:w="2375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检查对象</w:t>
            </w:r>
          </w:p>
        </w:tc>
        <w:tc>
          <w:tcPr>
            <w:tcW w:w="1310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事项类别</w:t>
            </w:r>
          </w:p>
        </w:tc>
        <w:tc>
          <w:tcPr>
            <w:tcW w:w="1985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发起部门</w:t>
            </w:r>
          </w:p>
        </w:tc>
        <w:tc>
          <w:tcPr>
            <w:tcW w:w="1355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配合部门</w:t>
            </w:r>
          </w:p>
        </w:tc>
        <w:tc>
          <w:tcPr>
            <w:tcW w:w="1550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检查主体</w:t>
            </w:r>
          </w:p>
        </w:tc>
        <w:tc>
          <w:tcPr>
            <w:tcW w:w="1550" w:type="dxa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易制毒化学品企业专项抽查</w:t>
            </w:r>
          </w:p>
        </w:tc>
        <w:tc>
          <w:tcPr>
            <w:tcW w:w="156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对非药品类易制毒化学品经营的行政检查</w:t>
            </w:r>
          </w:p>
        </w:tc>
        <w:tc>
          <w:tcPr>
            <w:tcW w:w="237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第三类非药品类易制毒化学品生产经营单位</w:t>
            </w:r>
          </w:p>
        </w:tc>
        <w:tc>
          <w:tcPr>
            <w:tcW w:w="131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</w:t>
            </w:r>
          </w:p>
        </w:tc>
        <w:tc>
          <w:tcPr>
            <w:tcW w:w="135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公安部门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临淄区应急管理局、淄博市公安局临淄分局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11月底前完成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非煤矿山企业专项抽查</w:t>
            </w:r>
          </w:p>
        </w:tc>
        <w:tc>
          <w:tcPr>
            <w:tcW w:w="156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对金属、非金属地下矿山安全生产情况的行政检查</w:t>
            </w:r>
          </w:p>
        </w:tc>
        <w:tc>
          <w:tcPr>
            <w:tcW w:w="237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金属、非金属地下矿山</w:t>
            </w:r>
          </w:p>
        </w:tc>
        <w:tc>
          <w:tcPr>
            <w:tcW w:w="131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一般检查</w:t>
            </w:r>
          </w:p>
        </w:tc>
        <w:tc>
          <w:tcPr>
            <w:tcW w:w="198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</w:t>
            </w:r>
          </w:p>
        </w:tc>
        <w:tc>
          <w:tcPr>
            <w:tcW w:w="1355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自然资源部门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临淄区应急管理局、临淄区自然资源局</w:t>
            </w:r>
          </w:p>
        </w:tc>
        <w:tc>
          <w:tcPr>
            <w:tcW w:w="1550" w:type="dxa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11月底前完成</w:t>
            </w:r>
          </w:p>
        </w:tc>
      </w:tr>
    </w:tbl>
    <w:p>
      <w:pPr>
        <w:spacing w:line="520" w:lineRule="exact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spacing w:line="520" w:lineRule="exact"/>
        <w:ind w:firstLine="560" w:firstLineChars="200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WFlOWI0NmIzMDg0ZGE0OWE1NjNiNDRjMjkwN2MifQ=="/>
  </w:docVars>
  <w:rsids>
    <w:rsidRoot w:val="000E2D7D"/>
    <w:rsid w:val="0007768B"/>
    <w:rsid w:val="00091A48"/>
    <w:rsid w:val="000A284F"/>
    <w:rsid w:val="000D639D"/>
    <w:rsid w:val="000E2D7D"/>
    <w:rsid w:val="001009F0"/>
    <w:rsid w:val="00103D50"/>
    <w:rsid w:val="00165B15"/>
    <w:rsid w:val="001F3007"/>
    <w:rsid w:val="0022565A"/>
    <w:rsid w:val="002373FC"/>
    <w:rsid w:val="0029088D"/>
    <w:rsid w:val="002E012B"/>
    <w:rsid w:val="003407D6"/>
    <w:rsid w:val="003575F7"/>
    <w:rsid w:val="00411D65"/>
    <w:rsid w:val="00424D93"/>
    <w:rsid w:val="00461C59"/>
    <w:rsid w:val="005402BC"/>
    <w:rsid w:val="005569A6"/>
    <w:rsid w:val="005D131A"/>
    <w:rsid w:val="005E4ACC"/>
    <w:rsid w:val="005E7E71"/>
    <w:rsid w:val="005F1177"/>
    <w:rsid w:val="006E75F4"/>
    <w:rsid w:val="007C7182"/>
    <w:rsid w:val="0084232B"/>
    <w:rsid w:val="008816CD"/>
    <w:rsid w:val="00920E6A"/>
    <w:rsid w:val="00937966"/>
    <w:rsid w:val="00A6454F"/>
    <w:rsid w:val="00A67BD3"/>
    <w:rsid w:val="00A94020"/>
    <w:rsid w:val="00AD2AAF"/>
    <w:rsid w:val="00B70F5F"/>
    <w:rsid w:val="00BD51A8"/>
    <w:rsid w:val="00BE6BCA"/>
    <w:rsid w:val="00C06BEC"/>
    <w:rsid w:val="00C66504"/>
    <w:rsid w:val="00CC1771"/>
    <w:rsid w:val="00D03F89"/>
    <w:rsid w:val="00D24FFE"/>
    <w:rsid w:val="00D66DA1"/>
    <w:rsid w:val="00D96727"/>
    <w:rsid w:val="00DA04FB"/>
    <w:rsid w:val="00DD15D5"/>
    <w:rsid w:val="00E83EA8"/>
    <w:rsid w:val="00EB6171"/>
    <w:rsid w:val="00F2540E"/>
    <w:rsid w:val="00F309E8"/>
    <w:rsid w:val="00F4440D"/>
    <w:rsid w:val="09534CB0"/>
    <w:rsid w:val="0A00497C"/>
    <w:rsid w:val="0E7C659C"/>
    <w:rsid w:val="0F49663D"/>
    <w:rsid w:val="245C2C9F"/>
    <w:rsid w:val="314B20D2"/>
    <w:rsid w:val="31B7469B"/>
    <w:rsid w:val="3C371BD0"/>
    <w:rsid w:val="423C1CEE"/>
    <w:rsid w:val="42F23CCA"/>
    <w:rsid w:val="450D1DF0"/>
    <w:rsid w:val="45725A27"/>
    <w:rsid w:val="53B45E5D"/>
    <w:rsid w:val="5B0C5ADD"/>
    <w:rsid w:val="605E78A2"/>
    <w:rsid w:val="64251AC9"/>
    <w:rsid w:val="67CE0D8B"/>
    <w:rsid w:val="785F71E6"/>
    <w:rsid w:val="7AB636E5"/>
    <w:rsid w:val="AFFEA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4242</Words>
  <Characters>4448</Characters>
  <Lines>34</Lines>
  <Paragraphs>9</Paragraphs>
  <TotalTime>147</TotalTime>
  <ScaleCrop>false</ScaleCrop>
  <LinksUpToDate>false</LinksUpToDate>
  <CharactersWithSpaces>4560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2023-02-24T08:44:00Z</dcterms:created>
  <dc:creator>Lenovo</dc:creator>
  <cp:lastModifiedBy>administrator</cp:lastModifiedBy>
  <cp:lastPrinted>2024-02-26T08:49:00Z</cp:lastPrinted>
  <dcterms:modified xsi:type="dcterms:W3CDTF">2024-03-19T10:27:29Z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834AB83CC28A4528A7D3B1D0C9DD4A44</vt:lpwstr>
  </property>
</Properties>
</file>