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640" w:lineRule="exact"/>
        <w:jc w:val="center"/>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rPr>
        <w:t>临淄区</w:t>
      </w:r>
      <w:r>
        <w:rPr>
          <w:rFonts w:hint="eastAsia" w:ascii="方正小标宋简体" w:hAnsi="黑体" w:eastAsia="方正小标宋简体"/>
          <w:sz w:val="44"/>
          <w:szCs w:val="44"/>
          <w:lang w:eastAsia="zh-CN"/>
        </w:rPr>
        <w:t>综合行政执法局</w:t>
      </w:r>
    </w:p>
    <w:p>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20</w:t>
      </w:r>
      <w:r>
        <w:rPr>
          <w:rFonts w:ascii="方正小标宋简体" w:hAnsi="黑体" w:eastAsia="方正小标宋简体"/>
          <w:sz w:val="44"/>
          <w:szCs w:val="44"/>
        </w:rPr>
        <w:t>2</w:t>
      </w:r>
      <w:r>
        <w:rPr>
          <w:rFonts w:hint="eastAsia" w:ascii="方正小标宋简体" w:hAnsi="黑体" w:eastAsia="方正小标宋简体"/>
          <w:sz w:val="44"/>
          <w:szCs w:val="44"/>
          <w:lang w:val="en-US" w:eastAsia="zh-CN"/>
        </w:rPr>
        <w:t>2</w:t>
      </w:r>
      <w:r>
        <w:rPr>
          <w:rFonts w:hint="eastAsia" w:ascii="方正小标宋简体" w:hAnsi="黑体" w:eastAsia="方正小标宋简体"/>
          <w:sz w:val="44"/>
          <w:szCs w:val="44"/>
        </w:rPr>
        <w:t>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ascii="仿宋体" w:hAnsi="仿宋体" w:cs="仿宋体"/>
          <w:sz w:val="24"/>
          <w:szCs w:val="24"/>
        </w:rPr>
      </w:pPr>
      <w:r>
        <w:rPr>
          <w:rFonts w:ascii="仿宋" w:hAnsi="仿宋" w:eastAsia="仿宋" w:cs="仿宋"/>
          <w:i w:val="0"/>
          <w:caps w:val="0"/>
          <w:color w:val="000000"/>
          <w:spacing w:val="0"/>
          <w:sz w:val="32"/>
          <w:szCs w:val="32"/>
          <w:bdr w:val="none" w:color="auto" w:sz="0" w:space="0"/>
          <w:shd w:val="clear" w:fill="FFFFFF"/>
        </w:rPr>
        <w:t>本报告按照《国务院办公厅政府信息与政务公开办公室关于印发</w:t>
      </w:r>
      <w:r>
        <w:rPr>
          <w:rFonts w:hint="eastAsia" w:ascii="仿宋" w:hAnsi="仿宋" w:eastAsia="仿宋" w:cs="仿宋"/>
          <w:i w:val="0"/>
          <w:caps w:val="0"/>
          <w:color w:val="000000"/>
          <w:spacing w:val="0"/>
          <w:sz w:val="32"/>
          <w:szCs w:val="32"/>
          <w:bdr w:val="none" w:color="auto" w:sz="0" w:space="0"/>
          <w:shd w:val="clear" w:fill="FFFFFF"/>
        </w:rPr>
        <w:t>&lt;中华人民共和国政府</w:t>
      </w:r>
      <w:bookmarkStart w:id="0" w:name="_GoBack"/>
      <w:bookmarkEnd w:id="0"/>
      <w:r>
        <w:rPr>
          <w:rFonts w:hint="eastAsia" w:ascii="仿宋" w:hAnsi="仿宋" w:eastAsia="仿宋" w:cs="仿宋"/>
          <w:i w:val="0"/>
          <w:caps w:val="0"/>
          <w:color w:val="000000"/>
          <w:spacing w:val="0"/>
          <w:sz w:val="32"/>
          <w:szCs w:val="32"/>
          <w:bdr w:val="none" w:color="auto" w:sz="0" w:space="0"/>
          <w:shd w:val="clear" w:fill="FFFFFF"/>
        </w:rPr>
        <w:t>信息公开工作年度报告格式&gt;的通知》(国办公开办函〔2021〕30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202</w:t>
      </w:r>
      <w:r>
        <w:rPr>
          <w:rFonts w:hint="eastAsia" w:ascii="仿宋" w:hAnsi="仿宋" w:eastAsia="仿宋" w:cs="仿宋"/>
          <w:i w:val="0"/>
          <w:caps w:val="0"/>
          <w:color w:val="000000"/>
          <w:spacing w:val="0"/>
          <w:sz w:val="32"/>
          <w:szCs w:val="32"/>
          <w:bdr w:val="none" w:color="auto" w:sz="0" w:space="0"/>
          <w:shd w:val="clear" w:fill="FFFFFF"/>
          <w:lang w:val="en-US" w:eastAsia="zh-CN"/>
        </w:rPr>
        <w:t>2</w:t>
      </w:r>
      <w:r>
        <w:rPr>
          <w:rFonts w:hint="eastAsia" w:ascii="仿宋" w:hAnsi="仿宋" w:eastAsia="仿宋" w:cs="仿宋"/>
          <w:i w:val="0"/>
          <w:caps w:val="0"/>
          <w:color w:val="000000"/>
          <w:spacing w:val="0"/>
          <w:sz w:val="32"/>
          <w:szCs w:val="32"/>
          <w:bdr w:val="none" w:color="auto" w:sz="0" w:space="0"/>
          <w:shd w:val="clear" w:fill="FFFFFF"/>
        </w:rPr>
        <w:t>年1月1日到12月31日止。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default" w:ascii="仿宋体" w:hAnsi="仿宋体" w:cs="仿宋体"/>
          <w:sz w:val="24"/>
          <w:szCs w:val="24"/>
        </w:rPr>
      </w:pPr>
      <w:r>
        <w:rPr>
          <w:rFonts w:ascii="黑体" w:hAnsi="宋体" w:eastAsia="黑体" w:cs="黑体"/>
          <w:i w:val="0"/>
          <w:caps w:val="0"/>
          <w:color w:val="000000"/>
          <w:spacing w:val="0"/>
          <w:sz w:val="32"/>
          <w:szCs w:val="32"/>
          <w:bdr w:val="none" w:color="auto" w:sz="0" w:space="0"/>
          <w:shd w:val="clear" w:fill="FFFFFF"/>
        </w:rPr>
        <w:t> 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default" w:ascii="仿宋体" w:hAnsi="仿宋体" w:cs="仿宋体"/>
          <w:color w:val="auto"/>
          <w:sz w:val="24"/>
          <w:szCs w:val="24"/>
        </w:rPr>
      </w:pPr>
      <w:r>
        <w:rPr>
          <w:rFonts w:ascii="楷体" w:hAnsi="楷体" w:eastAsia="楷体" w:cs="楷体"/>
          <w:i w:val="0"/>
          <w:caps w:val="0"/>
          <w:color w:val="000000"/>
          <w:spacing w:val="0"/>
          <w:sz w:val="32"/>
          <w:szCs w:val="32"/>
          <w:bdr w:val="none" w:color="auto" w:sz="0" w:space="0"/>
          <w:shd w:val="clear" w:fill="FFFFFF"/>
        </w:rPr>
        <w:t>（一）主动公开</w:t>
      </w:r>
      <w:r>
        <w:rPr>
          <w:rFonts w:ascii="楷体" w:hAnsi="楷体" w:eastAsia="楷体" w:cs="楷体"/>
          <w:i w:val="0"/>
          <w:caps w:val="0"/>
          <w:color w:val="auto"/>
          <w:spacing w:val="0"/>
          <w:sz w:val="32"/>
          <w:szCs w:val="32"/>
          <w:bdr w:val="none" w:color="auto" w:sz="0" w:space="0"/>
          <w:shd w:val="clear" w:fill="FFFFFF"/>
        </w:rPr>
        <w:t>。</w:t>
      </w:r>
      <w:r>
        <w:rPr>
          <w:rFonts w:hint="eastAsia" w:ascii="仿宋" w:hAnsi="仿宋" w:eastAsia="仿宋" w:cs="仿宋"/>
          <w:i w:val="0"/>
          <w:caps w:val="0"/>
          <w:color w:val="auto"/>
          <w:spacing w:val="0"/>
          <w:sz w:val="32"/>
          <w:szCs w:val="32"/>
          <w:bdr w:val="none" w:color="auto" w:sz="0" w:space="0"/>
          <w:shd w:val="clear" w:fill="FFFFFF"/>
        </w:rPr>
        <w:t>202</w:t>
      </w:r>
      <w:r>
        <w:rPr>
          <w:rFonts w:hint="eastAsia" w:ascii="仿宋" w:hAnsi="仿宋" w:eastAsia="仿宋" w:cs="仿宋"/>
          <w:i w:val="0"/>
          <w:caps w:val="0"/>
          <w:color w:val="auto"/>
          <w:spacing w:val="0"/>
          <w:sz w:val="32"/>
          <w:szCs w:val="32"/>
          <w:bdr w:val="none" w:color="auto" w:sz="0" w:space="0"/>
          <w:shd w:val="clear" w:fill="FFFFFF"/>
          <w:lang w:val="en-US" w:eastAsia="zh-CN"/>
        </w:rPr>
        <w:t>2</w:t>
      </w:r>
      <w:r>
        <w:rPr>
          <w:rFonts w:hint="eastAsia" w:ascii="仿宋" w:hAnsi="仿宋" w:eastAsia="仿宋" w:cs="仿宋"/>
          <w:i w:val="0"/>
          <w:caps w:val="0"/>
          <w:color w:val="auto"/>
          <w:spacing w:val="0"/>
          <w:sz w:val="32"/>
          <w:szCs w:val="32"/>
          <w:bdr w:val="none" w:color="auto" w:sz="0" w:space="0"/>
          <w:shd w:val="clear" w:fill="FFFFFF"/>
        </w:rPr>
        <w:t>年度本机关主动公开政府信息</w:t>
      </w:r>
      <w:r>
        <w:rPr>
          <w:rFonts w:hint="eastAsia" w:ascii="仿宋" w:hAnsi="仿宋" w:eastAsia="仿宋" w:cs="仿宋"/>
          <w:i w:val="0"/>
          <w:caps w:val="0"/>
          <w:color w:val="auto"/>
          <w:spacing w:val="0"/>
          <w:sz w:val="32"/>
          <w:szCs w:val="32"/>
          <w:bdr w:val="none" w:color="auto" w:sz="0" w:space="0"/>
          <w:shd w:val="clear" w:fill="FFFFFF"/>
          <w:lang w:val="en-US" w:eastAsia="zh-CN"/>
        </w:rPr>
        <w:t>60</w:t>
      </w:r>
      <w:r>
        <w:rPr>
          <w:rFonts w:hint="eastAsia" w:ascii="仿宋" w:hAnsi="仿宋" w:eastAsia="仿宋" w:cs="仿宋"/>
          <w:i w:val="0"/>
          <w:caps w:val="0"/>
          <w:color w:val="auto"/>
          <w:spacing w:val="0"/>
          <w:sz w:val="32"/>
          <w:szCs w:val="32"/>
          <w:bdr w:val="none" w:color="auto" w:sz="0" w:space="0"/>
          <w:shd w:val="clear" w:fill="FFFFFF"/>
        </w:rPr>
        <w:t>条，具体情况如下：其中业务工作</w:t>
      </w:r>
      <w:r>
        <w:rPr>
          <w:rFonts w:hint="eastAsia" w:ascii="仿宋" w:hAnsi="仿宋" w:eastAsia="仿宋" w:cs="仿宋"/>
          <w:i w:val="0"/>
          <w:caps w:val="0"/>
          <w:color w:val="auto"/>
          <w:spacing w:val="0"/>
          <w:sz w:val="32"/>
          <w:szCs w:val="32"/>
          <w:bdr w:val="none" w:color="auto" w:sz="0" w:space="0"/>
          <w:shd w:val="clear" w:fill="FFFFFF"/>
          <w:lang w:val="en-US" w:eastAsia="zh-CN"/>
        </w:rPr>
        <w:t>4</w:t>
      </w:r>
      <w:r>
        <w:rPr>
          <w:rFonts w:hint="eastAsia" w:ascii="仿宋" w:hAnsi="仿宋" w:eastAsia="仿宋" w:cs="仿宋"/>
          <w:i w:val="0"/>
          <w:caps w:val="0"/>
          <w:color w:val="auto"/>
          <w:spacing w:val="0"/>
          <w:sz w:val="32"/>
          <w:szCs w:val="32"/>
          <w:bdr w:val="none" w:color="auto" w:sz="0" w:space="0"/>
          <w:shd w:val="clear" w:fill="FFFFFF"/>
        </w:rPr>
        <w:t>条、机构职能</w:t>
      </w:r>
      <w:r>
        <w:rPr>
          <w:rFonts w:hint="eastAsia" w:ascii="仿宋" w:hAnsi="仿宋" w:eastAsia="仿宋" w:cs="仿宋"/>
          <w:i w:val="0"/>
          <w:caps w:val="0"/>
          <w:color w:val="auto"/>
          <w:spacing w:val="0"/>
          <w:sz w:val="32"/>
          <w:szCs w:val="32"/>
          <w:bdr w:val="none" w:color="auto" w:sz="0" w:space="0"/>
          <w:shd w:val="clear" w:fill="FFFFFF"/>
          <w:lang w:val="en-US" w:eastAsia="zh-CN"/>
        </w:rPr>
        <w:t>1</w:t>
      </w:r>
      <w:r>
        <w:rPr>
          <w:rFonts w:hint="eastAsia" w:ascii="仿宋" w:hAnsi="仿宋" w:eastAsia="仿宋" w:cs="仿宋"/>
          <w:i w:val="0"/>
          <w:caps w:val="0"/>
          <w:color w:val="auto"/>
          <w:spacing w:val="0"/>
          <w:sz w:val="32"/>
          <w:szCs w:val="32"/>
          <w:bdr w:val="none" w:color="auto" w:sz="0" w:space="0"/>
          <w:shd w:val="clear" w:fill="FFFFFF"/>
        </w:rPr>
        <w:t>条、法规公文</w:t>
      </w:r>
      <w:r>
        <w:rPr>
          <w:rFonts w:hint="eastAsia" w:ascii="仿宋" w:hAnsi="仿宋" w:eastAsia="仿宋" w:cs="仿宋"/>
          <w:i w:val="0"/>
          <w:caps w:val="0"/>
          <w:color w:val="auto"/>
          <w:spacing w:val="0"/>
          <w:sz w:val="32"/>
          <w:szCs w:val="32"/>
          <w:bdr w:val="none" w:color="auto" w:sz="0" w:space="0"/>
          <w:shd w:val="clear" w:fill="FFFFFF"/>
          <w:lang w:val="en-US" w:eastAsia="zh-CN"/>
        </w:rPr>
        <w:t>2</w:t>
      </w:r>
      <w:r>
        <w:rPr>
          <w:rFonts w:hint="eastAsia" w:ascii="仿宋" w:hAnsi="仿宋" w:eastAsia="仿宋" w:cs="仿宋"/>
          <w:i w:val="0"/>
          <w:caps w:val="0"/>
          <w:color w:val="auto"/>
          <w:spacing w:val="0"/>
          <w:sz w:val="32"/>
          <w:szCs w:val="32"/>
          <w:bdr w:val="none" w:color="auto" w:sz="0" w:space="0"/>
          <w:shd w:val="clear" w:fill="FFFFFF"/>
        </w:rPr>
        <w:t>条、政府会议</w:t>
      </w:r>
      <w:r>
        <w:rPr>
          <w:rFonts w:hint="eastAsia" w:ascii="仿宋" w:hAnsi="仿宋" w:eastAsia="仿宋" w:cs="仿宋"/>
          <w:i w:val="0"/>
          <w:caps w:val="0"/>
          <w:color w:val="auto"/>
          <w:spacing w:val="0"/>
          <w:sz w:val="32"/>
          <w:szCs w:val="32"/>
          <w:bdr w:val="none" w:color="auto" w:sz="0" w:space="0"/>
          <w:shd w:val="clear" w:fill="FFFFFF"/>
          <w:lang w:val="en-US" w:eastAsia="zh-CN"/>
        </w:rPr>
        <w:t>3</w:t>
      </w:r>
      <w:r>
        <w:rPr>
          <w:rFonts w:hint="eastAsia" w:ascii="仿宋" w:hAnsi="仿宋" w:eastAsia="仿宋" w:cs="仿宋"/>
          <w:i w:val="0"/>
          <w:caps w:val="0"/>
          <w:color w:val="auto"/>
          <w:spacing w:val="0"/>
          <w:sz w:val="32"/>
          <w:szCs w:val="32"/>
          <w:bdr w:val="none" w:color="auto" w:sz="0" w:space="0"/>
          <w:shd w:val="clear" w:fill="FFFFFF"/>
        </w:rPr>
        <w:t>条、民生公益</w:t>
      </w:r>
      <w:r>
        <w:rPr>
          <w:rFonts w:hint="eastAsia" w:ascii="仿宋" w:hAnsi="仿宋" w:eastAsia="仿宋" w:cs="仿宋"/>
          <w:i w:val="0"/>
          <w:caps w:val="0"/>
          <w:color w:val="auto"/>
          <w:spacing w:val="0"/>
          <w:sz w:val="32"/>
          <w:szCs w:val="32"/>
          <w:bdr w:val="none" w:color="auto" w:sz="0" w:space="0"/>
          <w:shd w:val="clear" w:fill="FFFFFF"/>
          <w:lang w:val="en-US" w:eastAsia="zh-CN"/>
        </w:rPr>
        <w:t>4</w:t>
      </w:r>
      <w:r>
        <w:rPr>
          <w:rFonts w:hint="eastAsia" w:ascii="仿宋" w:hAnsi="仿宋" w:eastAsia="仿宋" w:cs="仿宋"/>
          <w:i w:val="0"/>
          <w:caps w:val="0"/>
          <w:color w:val="auto"/>
          <w:spacing w:val="0"/>
          <w:sz w:val="32"/>
          <w:szCs w:val="32"/>
          <w:bdr w:val="none" w:color="auto" w:sz="0" w:space="0"/>
          <w:shd w:val="clear" w:fill="FFFFFF"/>
        </w:rPr>
        <w:t>条、重要部署执行公开</w:t>
      </w:r>
      <w:r>
        <w:rPr>
          <w:rFonts w:hint="eastAsia" w:ascii="仿宋" w:hAnsi="仿宋" w:eastAsia="仿宋" w:cs="仿宋"/>
          <w:i w:val="0"/>
          <w:caps w:val="0"/>
          <w:color w:val="auto"/>
          <w:spacing w:val="0"/>
          <w:sz w:val="32"/>
          <w:szCs w:val="32"/>
          <w:bdr w:val="none" w:color="auto" w:sz="0" w:space="0"/>
          <w:shd w:val="clear" w:fill="FFFFFF"/>
          <w:lang w:val="en-US" w:eastAsia="zh-CN"/>
        </w:rPr>
        <w:t>4</w:t>
      </w:r>
      <w:r>
        <w:rPr>
          <w:rFonts w:hint="eastAsia" w:ascii="仿宋" w:hAnsi="仿宋" w:eastAsia="仿宋" w:cs="仿宋"/>
          <w:i w:val="0"/>
          <w:caps w:val="0"/>
          <w:color w:val="auto"/>
          <w:spacing w:val="0"/>
          <w:sz w:val="32"/>
          <w:szCs w:val="32"/>
          <w:bdr w:val="none" w:color="auto" w:sz="0" w:space="0"/>
          <w:shd w:val="clear" w:fill="FFFFFF"/>
        </w:rPr>
        <w:t>条、财政信息5条、管理和服务公开</w:t>
      </w:r>
      <w:r>
        <w:rPr>
          <w:rFonts w:hint="eastAsia" w:ascii="仿宋" w:hAnsi="仿宋" w:eastAsia="仿宋" w:cs="仿宋"/>
          <w:i w:val="0"/>
          <w:caps w:val="0"/>
          <w:color w:val="auto"/>
          <w:spacing w:val="0"/>
          <w:sz w:val="32"/>
          <w:szCs w:val="32"/>
          <w:bdr w:val="none" w:color="auto" w:sz="0" w:space="0"/>
          <w:shd w:val="clear" w:fill="FFFFFF"/>
          <w:lang w:val="en-US" w:eastAsia="zh-CN"/>
        </w:rPr>
        <w:t>14</w:t>
      </w:r>
      <w:r>
        <w:rPr>
          <w:rFonts w:hint="eastAsia" w:ascii="仿宋" w:hAnsi="仿宋" w:eastAsia="仿宋" w:cs="仿宋"/>
          <w:i w:val="0"/>
          <w:caps w:val="0"/>
          <w:color w:val="auto"/>
          <w:spacing w:val="0"/>
          <w:sz w:val="32"/>
          <w:szCs w:val="32"/>
          <w:bdr w:val="none" w:color="auto" w:sz="0" w:space="0"/>
          <w:shd w:val="clear" w:fill="FFFFFF"/>
        </w:rPr>
        <w:t>条、政府信息公开年报1条、基层政务公开标准化目录</w:t>
      </w:r>
      <w:r>
        <w:rPr>
          <w:rFonts w:hint="eastAsia" w:ascii="仿宋" w:hAnsi="仿宋" w:eastAsia="仿宋" w:cs="仿宋"/>
          <w:i w:val="0"/>
          <w:caps w:val="0"/>
          <w:color w:val="auto"/>
          <w:spacing w:val="0"/>
          <w:sz w:val="32"/>
          <w:szCs w:val="32"/>
          <w:bdr w:val="none" w:color="auto" w:sz="0" w:space="0"/>
          <w:shd w:val="clear" w:fill="FFFFFF"/>
          <w:lang w:val="en-US" w:eastAsia="zh-CN"/>
        </w:rPr>
        <w:t>2</w:t>
      </w:r>
      <w:r>
        <w:rPr>
          <w:rFonts w:hint="eastAsia" w:ascii="仿宋" w:hAnsi="仿宋" w:eastAsia="仿宋" w:cs="仿宋"/>
          <w:i w:val="0"/>
          <w:caps w:val="0"/>
          <w:color w:val="auto"/>
          <w:spacing w:val="0"/>
          <w:sz w:val="32"/>
          <w:szCs w:val="32"/>
          <w:bdr w:val="none" w:color="auto" w:sz="0" w:space="0"/>
          <w:shd w:val="clear" w:fill="FFFFFF"/>
        </w:rPr>
        <w:t>条、主动公开基本目录1条、政务公开保障机制5条、生态环境2条、公共监管</w:t>
      </w:r>
      <w:r>
        <w:rPr>
          <w:rFonts w:hint="eastAsia" w:ascii="仿宋" w:hAnsi="仿宋" w:eastAsia="仿宋" w:cs="仿宋"/>
          <w:i w:val="0"/>
          <w:caps w:val="0"/>
          <w:color w:val="auto"/>
          <w:spacing w:val="0"/>
          <w:sz w:val="32"/>
          <w:szCs w:val="32"/>
          <w:bdr w:val="none" w:color="auto" w:sz="0" w:space="0"/>
          <w:shd w:val="clear" w:fill="FFFFFF"/>
          <w:lang w:val="en-US" w:eastAsia="zh-CN"/>
        </w:rPr>
        <w:t>3</w:t>
      </w:r>
      <w:r>
        <w:rPr>
          <w:rFonts w:hint="eastAsia" w:ascii="仿宋" w:hAnsi="仿宋" w:eastAsia="仿宋" w:cs="仿宋"/>
          <w:i w:val="0"/>
          <w:caps w:val="0"/>
          <w:color w:val="auto"/>
          <w:spacing w:val="0"/>
          <w:sz w:val="32"/>
          <w:szCs w:val="32"/>
          <w:bdr w:val="none" w:color="auto" w:sz="0" w:space="0"/>
          <w:shd w:val="clear" w:fill="FFFFFF"/>
        </w:rPr>
        <w:t>条。通过“临淄区综合行政执法局”微信公众平台发布信息</w:t>
      </w:r>
      <w:r>
        <w:rPr>
          <w:rFonts w:hint="eastAsia" w:ascii="仿宋" w:hAnsi="仿宋" w:eastAsia="仿宋" w:cs="仿宋"/>
          <w:i w:val="0"/>
          <w:caps w:val="0"/>
          <w:color w:val="auto"/>
          <w:spacing w:val="0"/>
          <w:sz w:val="32"/>
          <w:szCs w:val="32"/>
          <w:bdr w:val="none" w:color="auto" w:sz="0" w:space="0"/>
          <w:shd w:val="clear" w:fill="FFFFFF"/>
          <w:lang w:val="en-US" w:eastAsia="zh-CN"/>
        </w:rPr>
        <w:t>40</w:t>
      </w:r>
      <w:r>
        <w:rPr>
          <w:rFonts w:hint="eastAsia" w:ascii="仿宋" w:hAnsi="仿宋" w:eastAsia="仿宋" w:cs="仿宋"/>
          <w:i w:val="0"/>
          <w:caps w:val="0"/>
          <w:color w:val="auto"/>
          <w:spacing w:val="0"/>
          <w:sz w:val="32"/>
          <w:szCs w:val="32"/>
          <w:bdr w:val="none" w:color="auto" w:sz="0" w:space="0"/>
          <w:shd w:val="clear" w:fill="FFFFFF"/>
        </w:rPr>
        <w:t>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default" w:ascii="仿宋体" w:hAnsi="仿宋体" w:cs="仿宋体"/>
          <w:sz w:val="24"/>
          <w:szCs w:val="24"/>
        </w:rPr>
      </w:pPr>
      <w:r>
        <w:rPr>
          <w:rFonts w:hint="eastAsia" w:ascii="仿宋" w:hAnsi="仿宋" w:eastAsia="仿宋" w:cs="仿宋"/>
          <w:i w:val="0"/>
          <w:caps w:val="0"/>
          <w:color w:val="000000"/>
          <w:spacing w:val="0"/>
          <w:sz w:val="32"/>
          <w:szCs w:val="32"/>
          <w:shd w:val="clear" w:fill="FFFFFF"/>
        </w:rPr>
        <w:drawing>
          <wp:inline distT="0" distB="0" distL="114300" distR="114300">
            <wp:extent cx="9255125" cy="5905500"/>
            <wp:effectExtent l="0" t="0" r="3175" b="0"/>
            <wp:docPr id="2" name="图片 1" descr="C:\Users\Administrator\Desktop\1674027292629.jpg1674027292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1674027292629.jpg1674027292629"/>
                    <pic:cNvPicPr>
                      <a:picLocks noChangeAspect="1"/>
                    </pic:cNvPicPr>
                  </pic:nvPicPr>
                  <pic:blipFill>
                    <a:blip r:embed="rId4"/>
                    <a:srcRect/>
                    <a:stretch>
                      <a:fillRect/>
                    </a:stretch>
                  </pic:blipFill>
                  <pic:spPr>
                    <a:xfrm>
                      <a:off x="0" y="0"/>
                      <a:ext cx="9255125" cy="59055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default" w:ascii="仿宋体" w:hAnsi="仿宋体" w:cs="仿宋体"/>
          <w:sz w:val="24"/>
          <w:szCs w:val="24"/>
        </w:rPr>
      </w:pPr>
      <w:r>
        <w:rPr>
          <w:rFonts w:hint="eastAsia" w:ascii="仿宋" w:hAnsi="仿宋" w:eastAsia="仿宋" w:cs="仿宋"/>
          <w:i w:val="0"/>
          <w:caps w:val="0"/>
          <w:color w:val="000000"/>
          <w:spacing w:val="0"/>
          <w:sz w:val="32"/>
          <w:szCs w:val="32"/>
          <w:bdr w:val="none" w:color="auto" w:sz="0" w:space="0"/>
          <w:shd w:val="clear" w:fill="FFFFFF"/>
        </w:rPr>
        <w:drawing>
          <wp:inline distT="0" distB="0" distL="114300" distR="114300">
            <wp:extent cx="9329420" cy="5324475"/>
            <wp:effectExtent l="0" t="0" r="5080" b="9525"/>
            <wp:docPr id="1" name="图片 2" descr="C:\Users\Administrator\Desktop\1674027444176.png167402744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1674027444176.png1674027444176"/>
                    <pic:cNvPicPr>
                      <a:picLocks noChangeAspect="1"/>
                    </pic:cNvPicPr>
                  </pic:nvPicPr>
                  <pic:blipFill>
                    <a:blip r:embed="rId5"/>
                    <a:srcRect/>
                    <a:stretch>
                      <a:fillRect/>
                    </a:stretch>
                  </pic:blipFill>
                  <pic:spPr>
                    <a:xfrm>
                      <a:off x="0" y="0"/>
                      <a:ext cx="9329420" cy="53244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default" w:ascii="仿宋体" w:hAnsi="仿宋体" w:cs="仿宋体"/>
          <w:color w:val="auto"/>
          <w:sz w:val="24"/>
          <w:szCs w:val="24"/>
        </w:rPr>
      </w:pPr>
      <w:r>
        <w:rPr>
          <w:rFonts w:hint="eastAsia" w:ascii="楷体" w:hAnsi="楷体" w:eastAsia="楷体" w:cs="楷体"/>
          <w:i w:val="0"/>
          <w:caps w:val="0"/>
          <w:color w:val="auto"/>
          <w:spacing w:val="0"/>
          <w:sz w:val="32"/>
          <w:szCs w:val="32"/>
          <w:bdr w:val="none" w:color="auto" w:sz="0" w:space="0"/>
          <w:shd w:val="clear" w:fill="FFFFFF"/>
        </w:rPr>
        <w:t>（二）依申请公开。</w:t>
      </w:r>
      <w:r>
        <w:rPr>
          <w:rFonts w:hint="eastAsia" w:ascii="仿宋" w:hAnsi="仿宋" w:eastAsia="仿宋" w:cs="仿宋"/>
          <w:i w:val="0"/>
          <w:caps w:val="0"/>
          <w:color w:val="auto"/>
          <w:spacing w:val="0"/>
          <w:sz w:val="32"/>
          <w:szCs w:val="32"/>
          <w:bdr w:val="none" w:color="auto" w:sz="0" w:space="0"/>
          <w:shd w:val="clear" w:fill="FFFFFF"/>
        </w:rPr>
        <w:t>202</w:t>
      </w:r>
      <w:r>
        <w:rPr>
          <w:rFonts w:hint="eastAsia" w:ascii="仿宋" w:hAnsi="仿宋" w:eastAsia="仿宋" w:cs="仿宋"/>
          <w:i w:val="0"/>
          <w:caps w:val="0"/>
          <w:color w:val="auto"/>
          <w:spacing w:val="0"/>
          <w:sz w:val="32"/>
          <w:szCs w:val="32"/>
          <w:bdr w:val="none" w:color="auto" w:sz="0" w:space="0"/>
          <w:shd w:val="clear" w:fill="FFFFFF"/>
          <w:lang w:val="en-US" w:eastAsia="zh-CN"/>
        </w:rPr>
        <w:t>2</w:t>
      </w:r>
      <w:r>
        <w:rPr>
          <w:rFonts w:hint="eastAsia" w:ascii="仿宋" w:hAnsi="仿宋" w:eastAsia="仿宋" w:cs="仿宋"/>
          <w:i w:val="0"/>
          <w:caps w:val="0"/>
          <w:color w:val="auto"/>
          <w:spacing w:val="0"/>
          <w:sz w:val="32"/>
          <w:szCs w:val="32"/>
          <w:bdr w:val="none" w:color="auto" w:sz="0" w:space="0"/>
          <w:shd w:val="clear" w:fill="FFFFFF"/>
        </w:rPr>
        <w:t>年，我单位</w:t>
      </w:r>
      <w:r>
        <w:rPr>
          <w:rFonts w:ascii="仿宋" w:hAnsi="仿宋" w:eastAsia="仿宋" w:cs="仿宋"/>
          <w:i w:val="0"/>
          <w:caps w:val="0"/>
          <w:color w:val="auto"/>
          <w:spacing w:val="0"/>
          <w:sz w:val="32"/>
          <w:szCs w:val="32"/>
          <w:shd w:val="clear" w:fill="FFFFFF"/>
        </w:rPr>
        <w:t>通过邮件方式收到自然人关于本单位政府信息公开申请</w:t>
      </w:r>
      <w:r>
        <w:rPr>
          <w:rFonts w:hint="eastAsia" w:ascii="仿宋" w:hAnsi="仿宋" w:eastAsia="仿宋" w:cs="仿宋"/>
          <w:i w:val="0"/>
          <w:caps w:val="0"/>
          <w:color w:val="auto"/>
          <w:spacing w:val="0"/>
          <w:sz w:val="32"/>
          <w:szCs w:val="32"/>
          <w:shd w:val="clear" w:fill="FFFFFF"/>
          <w:lang w:val="en-US" w:eastAsia="zh-CN"/>
        </w:rPr>
        <w:t>2件。</w:t>
      </w:r>
      <w:r>
        <w:rPr>
          <w:rFonts w:hint="eastAsia" w:ascii="仿宋" w:hAnsi="仿宋" w:eastAsia="仿宋" w:cs="仿宋"/>
          <w:i w:val="0"/>
          <w:caps w:val="0"/>
          <w:color w:val="auto"/>
          <w:spacing w:val="0"/>
          <w:sz w:val="32"/>
          <w:szCs w:val="32"/>
          <w:shd w:val="clear" w:fill="FFFFFF"/>
          <w:lang w:eastAsia="zh-CN"/>
        </w:rPr>
        <w:t>其中，</w:t>
      </w:r>
      <w:r>
        <w:rPr>
          <w:rFonts w:ascii="仿宋" w:hAnsi="仿宋" w:eastAsia="仿宋" w:cs="仿宋"/>
          <w:i w:val="0"/>
          <w:caps w:val="0"/>
          <w:color w:val="auto"/>
          <w:spacing w:val="0"/>
          <w:sz w:val="32"/>
          <w:szCs w:val="32"/>
          <w:shd w:val="clear" w:fill="FFFFFF"/>
        </w:rPr>
        <w:t>本机关已主动公开</w:t>
      </w:r>
      <w:r>
        <w:rPr>
          <w:rFonts w:hint="eastAsia" w:ascii="仿宋" w:hAnsi="仿宋" w:eastAsia="仿宋" w:cs="仿宋"/>
          <w:i w:val="0"/>
          <w:caps w:val="0"/>
          <w:color w:val="auto"/>
          <w:spacing w:val="0"/>
          <w:sz w:val="32"/>
          <w:szCs w:val="32"/>
          <w:shd w:val="clear" w:fill="FFFFFF"/>
          <w:lang w:val="en-US" w:eastAsia="zh-CN"/>
        </w:rPr>
        <w:t>1件</w:t>
      </w:r>
      <w:r>
        <w:rPr>
          <w:rFonts w:ascii="仿宋" w:hAnsi="仿宋" w:eastAsia="仿宋" w:cs="仿宋"/>
          <w:i w:val="0"/>
          <w:caps w:val="0"/>
          <w:color w:val="auto"/>
          <w:spacing w:val="0"/>
          <w:sz w:val="32"/>
          <w:szCs w:val="32"/>
          <w:shd w:val="clear" w:fill="FFFFFF"/>
        </w:rPr>
        <w:t>，不掌握相关政府信息1件，</w:t>
      </w:r>
      <w:r>
        <w:rPr>
          <w:rFonts w:ascii="仿宋" w:hAnsi="仿宋" w:eastAsia="仿宋" w:cs="仿宋"/>
          <w:i w:val="0"/>
          <w:caps w:val="0"/>
          <w:color w:val="auto"/>
          <w:spacing w:val="0"/>
          <w:sz w:val="32"/>
          <w:szCs w:val="32"/>
          <w:shd w:val="clear" w:fill="FFFFFF"/>
        </w:rPr>
        <w:t>办结率100%</w:t>
      </w:r>
      <w:r>
        <w:rPr>
          <w:rFonts w:hint="eastAsia" w:ascii="仿宋" w:hAnsi="仿宋" w:eastAsia="仿宋" w:cs="仿宋"/>
          <w:i w:val="0"/>
          <w:caps w:val="0"/>
          <w:color w:val="auto"/>
          <w:spacing w:val="0"/>
          <w:sz w:val="32"/>
          <w:szCs w:val="32"/>
          <w:shd w:val="clear" w:fill="FFFFFF"/>
          <w:lang w:eastAsia="zh-CN"/>
        </w:rPr>
        <w:t>。</w:t>
      </w:r>
      <w:r>
        <w:rPr>
          <w:rFonts w:ascii="仿宋" w:hAnsi="仿宋" w:eastAsia="仿宋" w:cs="仿宋"/>
          <w:i w:val="0"/>
          <w:caps w:val="0"/>
          <w:color w:val="auto"/>
          <w:spacing w:val="0"/>
          <w:sz w:val="32"/>
          <w:szCs w:val="32"/>
          <w:bdr w:val="none" w:color="auto" w:sz="0" w:space="0"/>
          <w:shd w:val="clear" w:fill="FFFFFF"/>
        </w:rPr>
        <w:t> </w:t>
      </w:r>
      <w:r>
        <w:rPr>
          <w:rFonts w:ascii="微软雅黑" w:hAnsi="微软雅黑" w:eastAsia="微软雅黑" w:cs="微软雅黑"/>
          <w:i w:val="0"/>
          <w:caps w:val="0"/>
          <w:color w:val="auto"/>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default" w:ascii="仿宋体" w:hAnsi="仿宋体" w:cs="仿宋体"/>
          <w:color w:val="auto"/>
          <w:sz w:val="24"/>
          <w:szCs w:val="24"/>
        </w:rPr>
      </w:pPr>
      <w:r>
        <w:rPr>
          <w:rFonts w:hint="eastAsia" w:ascii="楷体" w:hAnsi="楷体" w:eastAsia="楷体" w:cs="楷体"/>
          <w:i w:val="0"/>
          <w:caps w:val="0"/>
          <w:color w:val="auto"/>
          <w:spacing w:val="0"/>
          <w:sz w:val="32"/>
          <w:szCs w:val="32"/>
          <w:bdr w:val="none" w:color="auto" w:sz="0" w:space="0"/>
          <w:shd w:val="clear" w:fill="FFFFFF"/>
        </w:rPr>
        <w:t>（三）政府信息管理。</w:t>
      </w:r>
      <w:r>
        <w:rPr>
          <w:rFonts w:hint="eastAsia" w:ascii="仿宋" w:hAnsi="仿宋" w:eastAsia="仿宋" w:cs="仿宋"/>
          <w:i w:val="0"/>
          <w:caps w:val="0"/>
          <w:color w:val="auto"/>
          <w:spacing w:val="0"/>
          <w:sz w:val="32"/>
          <w:szCs w:val="32"/>
          <w:shd w:val="clear" w:fill="FFFFFF"/>
        </w:rPr>
        <w:t>按照</w:t>
      </w:r>
      <w:r>
        <w:rPr>
          <w:rFonts w:hint="eastAsia" w:ascii="仿宋" w:hAnsi="仿宋" w:eastAsia="仿宋" w:cs="仿宋"/>
          <w:i w:val="0"/>
          <w:caps w:val="0"/>
          <w:color w:val="auto"/>
          <w:spacing w:val="0"/>
          <w:sz w:val="32"/>
          <w:szCs w:val="32"/>
          <w:shd w:val="clear" w:fill="FFFFFF"/>
          <w:lang w:eastAsia="zh-CN"/>
        </w:rPr>
        <w:t>上级部门</w:t>
      </w:r>
      <w:r>
        <w:rPr>
          <w:rFonts w:hint="eastAsia" w:ascii="仿宋" w:hAnsi="仿宋" w:eastAsia="仿宋" w:cs="仿宋"/>
          <w:i w:val="0"/>
          <w:caps w:val="0"/>
          <w:color w:val="auto"/>
          <w:spacing w:val="0"/>
          <w:sz w:val="32"/>
          <w:szCs w:val="32"/>
          <w:shd w:val="clear" w:fill="FFFFFF"/>
        </w:rPr>
        <w:t>信息公开文件</w:t>
      </w:r>
      <w:r>
        <w:rPr>
          <w:rFonts w:hint="eastAsia" w:ascii="仿宋" w:hAnsi="仿宋" w:eastAsia="仿宋" w:cs="仿宋"/>
          <w:i w:val="0"/>
          <w:caps w:val="0"/>
          <w:color w:val="auto"/>
          <w:spacing w:val="0"/>
          <w:sz w:val="32"/>
          <w:szCs w:val="32"/>
          <w:shd w:val="clear" w:fill="FFFFFF"/>
          <w:lang w:eastAsia="zh-CN"/>
        </w:rPr>
        <w:t>要求</w:t>
      </w:r>
      <w:r>
        <w:rPr>
          <w:rFonts w:hint="eastAsia" w:ascii="仿宋" w:hAnsi="仿宋" w:eastAsia="仿宋" w:cs="仿宋"/>
          <w:i w:val="0"/>
          <w:caps w:val="0"/>
          <w:color w:val="auto"/>
          <w:spacing w:val="0"/>
          <w:sz w:val="32"/>
          <w:szCs w:val="32"/>
          <w:shd w:val="clear" w:fill="FFFFFF"/>
        </w:rPr>
        <w:t>，制定完善《临淄区综合行政执法局政务公开保密审查制度》《政务公开事项标准目录》《主动公开基本目录》</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严格规范政府信息公开的保密审查和公开属性的确定程序</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精确规划、标准建设，通过</w:t>
      </w:r>
      <w:r>
        <w:rPr>
          <w:rFonts w:hint="eastAsia" w:ascii="仿宋" w:hAnsi="仿宋" w:eastAsia="仿宋" w:cs="仿宋"/>
          <w:i w:val="0"/>
          <w:caps w:val="0"/>
          <w:color w:val="auto"/>
          <w:spacing w:val="0"/>
          <w:sz w:val="32"/>
          <w:szCs w:val="32"/>
          <w:shd w:val="clear" w:fill="FFFFFF"/>
          <w:lang w:eastAsia="zh-CN"/>
        </w:rPr>
        <w:t>临淄区门户网站</w:t>
      </w:r>
      <w:r>
        <w:rPr>
          <w:rFonts w:hint="eastAsia" w:ascii="仿宋" w:hAnsi="仿宋" w:eastAsia="仿宋" w:cs="仿宋"/>
          <w:i w:val="0"/>
          <w:caps w:val="0"/>
          <w:color w:val="auto"/>
          <w:spacing w:val="0"/>
          <w:sz w:val="32"/>
          <w:szCs w:val="32"/>
          <w:shd w:val="clear" w:fill="FFFFFF"/>
        </w:rPr>
        <w:t>平台</w:t>
      </w:r>
      <w:r>
        <w:rPr>
          <w:rFonts w:hint="eastAsia" w:ascii="仿宋" w:hAnsi="仿宋" w:eastAsia="仿宋" w:cs="仿宋"/>
          <w:i w:val="0"/>
          <w:caps w:val="0"/>
          <w:color w:val="auto"/>
          <w:spacing w:val="0"/>
          <w:sz w:val="32"/>
          <w:szCs w:val="32"/>
          <w:shd w:val="clear" w:fill="FFFFFF"/>
          <w:lang w:eastAsia="zh-CN"/>
        </w:rPr>
        <w:t>及其他媒体平台</w:t>
      </w:r>
      <w:r>
        <w:rPr>
          <w:rFonts w:hint="eastAsia" w:ascii="仿宋" w:hAnsi="仿宋" w:eastAsia="仿宋" w:cs="仿宋"/>
          <w:i w:val="0"/>
          <w:caps w:val="0"/>
          <w:color w:val="auto"/>
          <w:spacing w:val="0"/>
          <w:sz w:val="32"/>
          <w:szCs w:val="32"/>
          <w:shd w:val="clear" w:fill="FFFFFF"/>
        </w:rPr>
        <w:t>及时</w:t>
      </w:r>
      <w:r>
        <w:rPr>
          <w:rFonts w:hint="eastAsia" w:ascii="仿宋" w:hAnsi="仿宋" w:eastAsia="仿宋" w:cs="仿宋"/>
          <w:i w:val="0"/>
          <w:caps w:val="0"/>
          <w:color w:val="auto"/>
          <w:spacing w:val="0"/>
          <w:sz w:val="32"/>
          <w:szCs w:val="32"/>
          <w:shd w:val="clear" w:fill="FFFFFF"/>
          <w:lang w:eastAsia="zh-CN"/>
        </w:rPr>
        <w:t>准确</w:t>
      </w:r>
      <w:r>
        <w:rPr>
          <w:rFonts w:hint="eastAsia" w:ascii="仿宋" w:hAnsi="仿宋" w:eastAsia="仿宋" w:cs="仿宋"/>
          <w:i w:val="0"/>
          <w:caps w:val="0"/>
          <w:color w:val="auto"/>
          <w:spacing w:val="0"/>
          <w:sz w:val="32"/>
          <w:szCs w:val="32"/>
          <w:shd w:val="clear" w:fill="FFFFFF"/>
        </w:rPr>
        <w:t>发布相关通知公告及信息，定期更新工作动态和便民信息，公开我局的机构职责、机构设置和领导成员信息，提供政府信息公开指南和公开目录。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eastAsia" w:ascii="仿宋体" w:hAnsi="仿宋体" w:eastAsia="仿宋" w:cs="仿宋体"/>
          <w:color w:val="auto"/>
          <w:sz w:val="24"/>
          <w:szCs w:val="24"/>
          <w:lang w:eastAsia="zh-CN"/>
        </w:rPr>
      </w:pPr>
      <w:r>
        <w:rPr>
          <w:rFonts w:hint="eastAsia" w:ascii="楷体" w:hAnsi="楷体" w:eastAsia="楷体" w:cs="楷体"/>
          <w:i w:val="0"/>
          <w:caps w:val="0"/>
          <w:color w:val="auto"/>
          <w:spacing w:val="0"/>
          <w:sz w:val="32"/>
          <w:szCs w:val="32"/>
          <w:bdr w:val="none" w:color="auto" w:sz="0" w:space="0"/>
          <w:shd w:val="clear" w:fill="FFFFFF"/>
        </w:rPr>
        <w:t>（四）政府信息公开平台建设。</w:t>
      </w:r>
      <w:r>
        <w:rPr>
          <w:rFonts w:hint="eastAsia" w:ascii="仿宋" w:hAnsi="仿宋" w:eastAsia="仿宋" w:cs="仿宋"/>
          <w:i w:val="0"/>
          <w:caps w:val="0"/>
          <w:color w:val="auto"/>
          <w:spacing w:val="0"/>
          <w:sz w:val="32"/>
          <w:szCs w:val="32"/>
          <w:shd w:val="clear" w:fill="FFFFFF"/>
          <w:lang w:eastAsia="zh-CN"/>
        </w:rPr>
        <w:t>一是</w:t>
      </w:r>
      <w:r>
        <w:rPr>
          <w:rFonts w:hint="eastAsia" w:ascii="仿宋" w:hAnsi="仿宋" w:eastAsia="仿宋" w:cs="仿宋"/>
          <w:i w:val="0"/>
          <w:caps w:val="0"/>
          <w:color w:val="auto"/>
          <w:spacing w:val="0"/>
          <w:sz w:val="32"/>
          <w:szCs w:val="32"/>
          <w:shd w:val="clear" w:fill="FFFFFF"/>
        </w:rPr>
        <w:t>在临</w:t>
      </w:r>
      <w:r>
        <w:rPr>
          <w:rFonts w:hint="eastAsia" w:ascii="仿宋" w:hAnsi="仿宋" w:eastAsia="仿宋" w:cs="仿宋"/>
          <w:i w:val="0"/>
          <w:caps w:val="0"/>
          <w:color w:val="auto"/>
          <w:spacing w:val="0"/>
          <w:sz w:val="32"/>
          <w:szCs w:val="32"/>
          <w:bdr w:val="none" w:color="auto" w:sz="0" w:space="0"/>
          <w:shd w:val="clear" w:fill="FFFFFF"/>
        </w:rPr>
        <w:t>淄区门户网站设立临淄区综合行政执法局政府信息公开专栏，主动公布信息公开目录和信息公开指南等内容</w:t>
      </w:r>
      <w:r>
        <w:rPr>
          <w:rFonts w:hint="eastAsia" w:ascii="仿宋" w:hAnsi="仿宋" w:eastAsia="仿宋" w:cs="仿宋"/>
          <w:i w:val="0"/>
          <w:caps w:val="0"/>
          <w:color w:val="auto"/>
          <w:spacing w:val="0"/>
          <w:sz w:val="32"/>
          <w:szCs w:val="32"/>
          <w:bdr w:val="none" w:color="auto" w:sz="0" w:space="0"/>
          <w:shd w:val="clear" w:fill="FFFFFF"/>
          <w:lang w:eastAsia="zh-CN"/>
        </w:rPr>
        <w:t>；二是</w:t>
      </w:r>
      <w:r>
        <w:rPr>
          <w:rFonts w:ascii="仿宋" w:hAnsi="仿宋" w:eastAsia="仿宋" w:cs="仿宋"/>
          <w:i w:val="0"/>
          <w:caps w:val="0"/>
          <w:color w:val="auto"/>
          <w:spacing w:val="0"/>
          <w:sz w:val="32"/>
          <w:szCs w:val="32"/>
          <w:bdr w:val="none" w:color="auto" w:sz="0" w:space="0"/>
          <w:shd w:val="clear" w:fill="FFFFFF"/>
        </w:rPr>
        <w:t>通过</w:t>
      </w:r>
      <w:r>
        <w:rPr>
          <w:rFonts w:hint="eastAsia" w:ascii="仿宋" w:hAnsi="仿宋" w:eastAsia="仿宋" w:cs="仿宋"/>
          <w:i w:val="0"/>
          <w:caps w:val="0"/>
          <w:color w:val="auto"/>
          <w:spacing w:val="0"/>
          <w:sz w:val="32"/>
          <w:szCs w:val="32"/>
          <w:shd w:val="clear" w:fill="FFFFFF"/>
        </w:rPr>
        <w:t>“临淄区综合行政执法局”微信公众号、临淄</w:t>
      </w:r>
      <w:r>
        <w:rPr>
          <w:rFonts w:hint="eastAsia" w:ascii="仿宋" w:hAnsi="仿宋" w:eastAsia="仿宋" w:cs="仿宋"/>
          <w:i w:val="0"/>
          <w:caps w:val="0"/>
          <w:color w:val="auto"/>
          <w:spacing w:val="0"/>
          <w:sz w:val="32"/>
          <w:szCs w:val="32"/>
          <w:shd w:val="clear" w:fill="FFFFFF"/>
          <w:lang w:eastAsia="zh-CN"/>
        </w:rPr>
        <w:t>云</w:t>
      </w:r>
      <w:r>
        <w:rPr>
          <w:rFonts w:hint="eastAsia" w:ascii="仿宋" w:hAnsi="仿宋" w:eastAsia="仿宋" w:cs="仿宋"/>
          <w:i w:val="0"/>
          <w:caps w:val="0"/>
          <w:color w:val="auto"/>
          <w:spacing w:val="0"/>
          <w:sz w:val="32"/>
          <w:szCs w:val="32"/>
          <w:shd w:val="clear" w:fill="FFFFFF"/>
        </w:rPr>
        <w:t>、临淄广播电视台等新闻媒体公布政务公开事项，拓宽政务公开信息发布渠道，扩大政务公开信息覆盖面</w:t>
      </w:r>
      <w:r>
        <w:rPr>
          <w:rFonts w:hint="eastAsia" w:ascii="仿宋" w:hAnsi="仿宋" w:eastAsia="仿宋" w:cs="仿宋"/>
          <w:i w:val="0"/>
          <w:caps w:val="0"/>
          <w:color w:val="auto"/>
          <w:spacing w:val="0"/>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default" w:ascii="仿宋体" w:hAnsi="仿宋体" w:cs="仿宋体"/>
          <w:color w:val="auto"/>
          <w:sz w:val="24"/>
          <w:szCs w:val="24"/>
        </w:rPr>
      </w:pPr>
      <w:r>
        <w:rPr>
          <w:rFonts w:hint="eastAsia" w:ascii="楷体" w:hAnsi="楷体" w:eastAsia="楷体" w:cs="楷体"/>
          <w:i w:val="0"/>
          <w:caps w:val="0"/>
          <w:color w:val="auto"/>
          <w:spacing w:val="0"/>
          <w:sz w:val="32"/>
          <w:szCs w:val="32"/>
          <w:bdr w:val="none" w:color="auto" w:sz="0" w:space="0"/>
          <w:shd w:val="clear" w:fill="FFFFFF"/>
        </w:rPr>
        <w:t>（五）监督保障。</w:t>
      </w:r>
      <w:r>
        <w:rPr>
          <w:rFonts w:ascii="仿宋" w:hAnsi="仿宋" w:eastAsia="仿宋" w:cs="仿宋"/>
          <w:i w:val="0"/>
          <w:caps w:val="0"/>
          <w:color w:val="auto"/>
          <w:spacing w:val="0"/>
          <w:sz w:val="28"/>
          <w:szCs w:val="28"/>
          <w:shd w:val="clear" w:fill="FFFFFF"/>
        </w:rPr>
        <w:t> </w:t>
      </w:r>
      <w:r>
        <w:rPr>
          <w:rFonts w:hint="eastAsia" w:ascii="仿宋" w:hAnsi="仿宋" w:eastAsia="仿宋" w:cs="仿宋"/>
          <w:i w:val="0"/>
          <w:caps w:val="0"/>
          <w:color w:val="auto"/>
          <w:spacing w:val="0"/>
          <w:sz w:val="32"/>
          <w:szCs w:val="32"/>
          <w:shd w:val="clear" w:fill="FFFFFF"/>
          <w:lang w:eastAsia="zh-CN"/>
        </w:rPr>
        <w:t>成立了由局长担任组长，分管领导为副组长的政府信息公开工作领导小组，负责信息公开工作的组织领导。</w:t>
      </w:r>
      <w:r>
        <w:rPr>
          <w:rFonts w:hint="eastAsia" w:ascii="仿宋" w:hAnsi="仿宋" w:eastAsia="仿宋" w:cs="仿宋"/>
          <w:i w:val="0"/>
          <w:caps w:val="0"/>
          <w:color w:val="auto"/>
          <w:spacing w:val="0"/>
          <w:sz w:val="32"/>
          <w:szCs w:val="32"/>
          <w:shd w:val="clear" w:fill="FFFFFF"/>
          <w:lang w:eastAsia="zh-CN"/>
        </w:rPr>
        <w:t>建立了主要领导亲自抓、分管领导具体抓、职能科室抓落实的工作机制，</w:t>
      </w:r>
      <w:r>
        <w:rPr>
          <w:rFonts w:hint="eastAsia" w:ascii="仿宋" w:hAnsi="仿宋" w:eastAsia="仿宋" w:cs="仿宋"/>
          <w:i w:val="0"/>
          <w:caps w:val="0"/>
          <w:color w:val="auto"/>
          <w:spacing w:val="0"/>
          <w:sz w:val="32"/>
          <w:szCs w:val="32"/>
          <w:shd w:val="clear" w:fill="FFFFFF"/>
          <w:lang w:eastAsia="zh-CN"/>
        </w:rPr>
        <w:t>领导小组下设办公室，指定在职在编人员负责有关信息的审查维护和日常工作的处理。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eastAsia" w:ascii="黑体" w:hAnsi="宋体" w:eastAsia="黑体" w:cs="黑体"/>
          <w:i w:val="0"/>
          <w:caps w:val="0"/>
          <w:color w:val="000000"/>
          <w:spacing w:val="0"/>
          <w:sz w:val="32"/>
          <w:szCs w:val="32"/>
          <w:bdr w:val="none" w:color="auto" w:sz="0" w:space="0"/>
          <w:shd w:val="clear" w:fill="FFFFFF"/>
        </w:rPr>
      </w:pPr>
      <w:r>
        <w:rPr>
          <w:rFonts w:hint="eastAsia" w:ascii="黑体" w:hAnsi="宋体" w:eastAsia="黑体" w:cs="黑体"/>
          <w:i w:val="0"/>
          <w:caps w:val="0"/>
          <w:color w:val="000000"/>
          <w:spacing w:val="0"/>
          <w:sz w:val="32"/>
          <w:szCs w:val="32"/>
          <w:bdr w:val="none" w:color="auto" w:sz="0" w:space="0"/>
          <w:shd w:val="clear" w:fill="FFFFFF"/>
        </w:rPr>
        <w:t>二、主动公开政府信息情况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default" w:ascii="黑体" w:hAnsi="宋体" w:eastAsia="黑体" w:cs="黑体"/>
          <w:i w:val="0"/>
          <w:caps w:val="0"/>
          <w:color w:val="000000"/>
          <w:spacing w:val="0"/>
          <w:sz w:val="32"/>
          <w:szCs w:val="32"/>
          <w:bdr w:val="none" w:color="auto" w:sz="0" w:space="0"/>
          <w:shd w:val="clear" w:fill="FFFFFF"/>
        </w:rPr>
      </w:pPr>
    </w:p>
    <w:tbl>
      <w:tblPr>
        <w:tblW w:w="8124" w:type="dxa"/>
        <w:tblInd w:w="0" w:type="dxa"/>
        <w:shd w:val="clear"/>
        <w:tblLayout w:type="autofit"/>
        <w:tblCellMar>
          <w:top w:w="0" w:type="dxa"/>
          <w:left w:w="0" w:type="dxa"/>
          <w:bottom w:w="0" w:type="dxa"/>
          <w:right w:w="0" w:type="dxa"/>
        </w:tblCellMar>
      </w:tblPr>
      <w:tblGrid>
        <w:gridCol w:w="3284"/>
        <w:gridCol w:w="1686"/>
        <w:gridCol w:w="1803"/>
        <w:gridCol w:w="1351"/>
      </w:tblGrid>
      <w:tr>
        <w:tblPrEx>
          <w:shd w:val="clear"/>
        </w:tblPrEx>
        <w:trPr>
          <w:trHeight w:val="621" w:hRule="atLeast"/>
        </w:trPr>
        <w:tc>
          <w:tcPr>
            <w:tcW w:w="8124" w:type="dxa"/>
            <w:gridSpan w:val="4"/>
            <w:tcBorders>
              <w:top w:val="single" w:color="2B283F" w:sz="8" w:space="0"/>
              <w:left w:val="single" w:color="3B3B44" w:sz="8" w:space="0"/>
              <w:bottom w:val="single" w:color="64647C" w:sz="8" w:space="0"/>
              <w:right w:val="single" w:color="3B3B44"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0" w:afterAutospacing="0"/>
              <w:ind w:left="-1" w:right="1"/>
              <w:jc w:val="center"/>
            </w:pPr>
            <w:r>
              <w:rPr>
                <w:rFonts w:ascii="Calibri" w:hAnsi="Calibri" w:cs="Calibri"/>
                <w:caps w:val="0"/>
                <w:color w:val="000000"/>
                <w:spacing w:val="0"/>
                <w:sz w:val="21"/>
                <w:szCs w:val="21"/>
                <w:bdr w:val="none" w:color="auto" w:sz="0" w:space="0"/>
              </w:rPr>
              <w:t>第二十条</w:t>
            </w:r>
            <w:r>
              <w:rPr>
                <w:rFonts w:hint="default" w:ascii="Calibri" w:hAnsi="Calibri" w:cs="Calibri"/>
                <w:caps w:val="0"/>
                <w:color w:val="000000"/>
                <w:spacing w:val="0"/>
                <w:sz w:val="21"/>
                <w:szCs w:val="21"/>
                <w:bdr w:val="none" w:color="auto" w:sz="0" w:space="0"/>
              </w:rPr>
              <w:t> </w:t>
            </w:r>
            <w:r>
              <w:rPr>
                <w:rFonts w:ascii="微软雅黑" w:hAnsi="微软雅黑" w:eastAsia="微软雅黑" w:cs="微软雅黑"/>
                <w:caps w:val="0"/>
                <w:color w:val="000000"/>
                <w:spacing w:val="0"/>
                <w:sz w:val="21"/>
                <w:szCs w:val="21"/>
                <w:bdr w:val="none" w:color="auto" w:sz="0" w:space="0"/>
              </w:rPr>
              <w:t>第 （一</w:t>
            </w:r>
            <w:r>
              <w:rPr>
                <w:rFonts w:hint="eastAsia" w:ascii="宋体" w:hAnsi="宋体" w:eastAsia="宋体" w:cs="宋体"/>
                <w:caps w:val="0"/>
                <w:color w:val="000000"/>
                <w:spacing w:val="0"/>
                <w:sz w:val="21"/>
                <w:szCs w:val="21"/>
                <w:bdr w:val="none" w:color="auto" w:sz="0" w:space="0"/>
              </w:rPr>
              <w:t>）</w:t>
            </w:r>
            <w:r>
              <w:rPr>
                <w:rFonts w:hint="default" w:ascii="Calibri" w:hAnsi="Calibri" w:cs="Calibri"/>
                <w:caps w:val="0"/>
                <w:color w:val="000000"/>
                <w:spacing w:val="0"/>
                <w:sz w:val="21"/>
                <w:szCs w:val="21"/>
                <w:bdr w:val="none" w:color="auto" w:sz="0" w:space="0"/>
              </w:rPr>
              <w:t> </w:t>
            </w:r>
            <w:r>
              <w:rPr>
                <w:rFonts w:hint="eastAsia" w:ascii="微软雅黑" w:hAnsi="微软雅黑" w:eastAsia="微软雅黑" w:cs="微软雅黑"/>
                <w:caps w:val="0"/>
                <w:color w:val="000000"/>
                <w:spacing w:val="0"/>
                <w:sz w:val="21"/>
                <w:szCs w:val="21"/>
                <w:bdr w:val="none" w:color="auto" w:sz="0" w:space="0"/>
              </w:rPr>
              <w:t>项</w:t>
            </w:r>
          </w:p>
        </w:tc>
      </w:tr>
      <w:tr>
        <w:tblPrEx>
          <w:tblCellMar>
            <w:top w:w="0" w:type="dxa"/>
            <w:left w:w="0" w:type="dxa"/>
            <w:bottom w:w="0" w:type="dxa"/>
            <w:right w:w="0" w:type="dxa"/>
          </w:tblCellMar>
        </w:tblPrEx>
        <w:trPr>
          <w:trHeight w:val="616" w:hRule="atLeast"/>
        </w:trPr>
        <w:tc>
          <w:tcPr>
            <w:tcW w:w="3284" w:type="dxa"/>
            <w:tcBorders>
              <w:top w:val="nil"/>
              <w:left w:val="single" w:color="3B3B44" w:sz="8" w:space="0"/>
              <w:bottom w:val="single" w:color="707790" w:sz="8" w:space="0"/>
              <w:right w:val="single" w:color="7C7C83"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0" w:right="27"/>
              <w:jc w:val="center"/>
            </w:pPr>
            <w:r>
              <w:rPr>
                <w:rFonts w:hint="default" w:ascii="Calibri" w:hAnsi="Calibri" w:cs="Calibri"/>
                <w:caps w:val="0"/>
                <w:color w:val="000000"/>
                <w:spacing w:val="0"/>
                <w:sz w:val="21"/>
                <w:szCs w:val="21"/>
                <w:bdr w:val="none" w:color="auto" w:sz="0" w:space="0"/>
              </w:rPr>
              <w:t>信息内容</w:t>
            </w:r>
          </w:p>
        </w:tc>
        <w:tc>
          <w:tcPr>
            <w:tcW w:w="1686" w:type="dxa"/>
            <w:tcBorders>
              <w:top w:val="single" w:color="64647C" w:sz="8" w:space="0"/>
              <w:left w:val="nil"/>
              <w:bottom w:val="single" w:color="707790" w:sz="8" w:space="0"/>
              <w:right w:val="single" w:color="777780"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216" w:right="0"/>
              <w:jc w:val="left"/>
            </w:pPr>
            <w:r>
              <w:rPr>
                <w:rFonts w:hint="default" w:ascii="Calibri" w:hAnsi="Calibri" w:cs="Calibri"/>
                <w:caps w:val="0"/>
                <w:color w:val="000000"/>
                <w:spacing w:val="0"/>
                <w:sz w:val="21"/>
                <w:szCs w:val="21"/>
                <w:bdr w:val="none" w:color="auto" w:sz="0" w:space="0"/>
              </w:rPr>
              <w:t>本年制发件数</w:t>
            </w:r>
          </w:p>
        </w:tc>
        <w:tc>
          <w:tcPr>
            <w:tcW w:w="1803" w:type="dxa"/>
            <w:tcBorders>
              <w:top w:val="single" w:color="64647C" w:sz="8" w:space="0"/>
              <w:left w:val="nil"/>
              <w:bottom w:val="single" w:color="835B67" w:sz="8" w:space="0"/>
              <w:right w:val="single" w:color="606064"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275" w:right="0"/>
              <w:jc w:val="left"/>
            </w:pPr>
            <w:r>
              <w:rPr>
                <w:rFonts w:hint="default" w:ascii="Calibri" w:hAnsi="Calibri" w:cs="Calibri"/>
                <w:caps w:val="0"/>
                <w:color w:val="000000"/>
                <w:spacing w:val="0"/>
                <w:sz w:val="21"/>
                <w:szCs w:val="21"/>
                <w:bdr w:val="none" w:color="auto" w:sz="0" w:space="0"/>
              </w:rPr>
              <w:t>本年废止件数</w:t>
            </w:r>
          </w:p>
        </w:tc>
        <w:tc>
          <w:tcPr>
            <w:tcW w:w="1351" w:type="dxa"/>
            <w:tcBorders>
              <w:top w:val="single" w:color="64647C" w:sz="8" w:space="0"/>
              <w:left w:val="nil"/>
              <w:bottom w:val="single" w:color="835B67" w:sz="8" w:space="0"/>
              <w:right w:val="single" w:color="3B3B44"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0" w:right="0"/>
              <w:jc w:val="center"/>
            </w:pPr>
            <w:r>
              <w:rPr>
                <w:rFonts w:hint="default" w:ascii="Calibri" w:hAnsi="Calibri" w:cs="Calibri"/>
                <w:caps w:val="0"/>
                <w:color w:val="000000"/>
                <w:spacing w:val="0"/>
                <w:sz w:val="21"/>
                <w:szCs w:val="21"/>
                <w:bdr w:val="none" w:color="auto" w:sz="0" w:space="0"/>
              </w:rPr>
              <w:t>现行有效件数</w:t>
            </w:r>
          </w:p>
        </w:tc>
      </w:tr>
      <w:tr>
        <w:tblPrEx>
          <w:tblCellMar>
            <w:top w:w="0" w:type="dxa"/>
            <w:left w:w="0" w:type="dxa"/>
            <w:bottom w:w="0" w:type="dxa"/>
            <w:right w:w="0" w:type="dxa"/>
          </w:tblCellMar>
        </w:tblPrEx>
        <w:trPr>
          <w:trHeight w:val="628" w:hRule="atLeast"/>
        </w:trPr>
        <w:tc>
          <w:tcPr>
            <w:tcW w:w="3284" w:type="dxa"/>
            <w:tcBorders>
              <w:top w:val="nil"/>
              <w:left w:val="single" w:color="3B3B44" w:sz="8" w:space="0"/>
              <w:bottom w:val="single" w:color="747487" w:sz="8" w:space="0"/>
              <w:right w:val="single" w:color="97979C"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 w:beforeAutospacing="0" w:after="0" w:afterAutospacing="0"/>
              <w:ind w:left="93" w:right="0"/>
              <w:jc w:val="left"/>
            </w:pPr>
            <w:r>
              <w:rPr>
                <w:rFonts w:hint="default" w:ascii="Calibri" w:hAnsi="Calibri" w:cs="Calibri"/>
                <w:caps w:val="0"/>
                <w:color w:val="000000"/>
                <w:spacing w:val="0"/>
                <w:sz w:val="21"/>
                <w:szCs w:val="21"/>
                <w:bdr w:val="none" w:color="auto" w:sz="0" w:space="0"/>
              </w:rPr>
              <w:t>规章</w:t>
            </w:r>
          </w:p>
        </w:tc>
        <w:tc>
          <w:tcPr>
            <w:tcW w:w="1686" w:type="dxa"/>
            <w:tcBorders>
              <w:top w:val="nil"/>
              <w:left w:val="nil"/>
              <w:bottom w:val="single" w:color="747487" w:sz="8" w:space="0"/>
              <w:right w:val="single" w:color="939397"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aps w:val="0"/>
                <w:color w:val="000000"/>
                <w:spacing w:val="0"/>
                <w:sz w:val="21"/>
                <w:szCs w:val="21"/>
                <w:bdr w:val="none" w:color="auto" w:sz="0" w:space="0"/>
              </w:rPr>
              <w:t>0</w:t>
            </w:r>
          </w:p>
        </w:tc>
        <w:tc>
          <w:tcPr>
            <w:tcW w:w="1803" w:type="dxa"/>
            <w:tcBorders>
              <w:top w:val="nil"/>
              <w:left w:val="nil"/>
              <w:bottom w:val="single" w:color="546080" w:sz="8" w:space="0"/>
              <w:right w:val="single" w:color="97939C"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aps w:val="0"/>
                <w:color w:val="000000"/>
                <w:spacing w:val="0"/>
                <w:sz w:val="21"/>
                <w:szCs w:val="21"/>
                <w:bdr w:val="none" w:color="auto" w:sz="0" w:space="0"/>
              </w:rPr>
              <w:t>0</w:t>
            </w:r>
          </w:p>
        </w:tc>
        <w:tc>
          <w:tcPr>
            <w:tcW w:w="1351" w:type="dxa"/>
            <w:tcBorders>
              <w:top w:val="nil"/>
              <w:left w:val="nil"/>
              <w:bottom w:val="single" w:color="74778C" w:sz="8" w:space="0"/>
              <w:right w:val="single" w:color="3B3B3F"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aps w:val="0"/>
                <w:color w:val="000000"/>
                <w:spacing w:val="0"/>
                <w:sz w:val="21"/>
                <w:szCs w:val="21"/>
                <w:bdr w:val="none" w:color="auto" w:sz="0" w:space="0"/>
              </w:rPr>
              <w:t>0</w:t>
            </w:r>
          </w:p>
        </w:tc>
      </w:tr>
      <w:tr>
        <w:tblPrEx>
          <w:tblCellMar>
            <w:top w:w="0" w:type="dxa"/>
            <w:left w:w="0" w:type="dxa"/>
            <w:bottom w:w="0" w:type="dxa"/>
            <w:right w:w="0" w:type="dxa"/>
          </w:tblCellMar>
        </w:tblPrEx>
        <w:trPr>
          <w:trHeight w:val="621" w:hRule="atLeast"/>
        </w:trPr>
        <w:tc>
          <w:tcPr>
            <w:tcW w:w="3284" w:type="dxa"/>
            <w:tcBorders>
              <w:top w:val="nil"/>
              <w:left w:val="single" w:color="3B3B44" w:sz="8" w:space="0"/>
              <w:bottom w:val="single" w:color="5B6080" w:sz="8" w:space="0"/>
              <w:right w:val="single" w:color="97979C"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8" w:beforeAutospacing="0" w:after="0" w:afterAutospacing="0"/>
              <w:ind w:left="93" w:right="0"/>
              <w:jc w:val="left"/>
            </w:pPr>
            <w:r>
              <w:rPr>
                <w:rFonts w:hint="default" w:ascii="Calibri" w:hAnsi="Calibri" w:cs="Calibri"/>
                <w:caps w:val="0"/>
                <w:color w:val="000000"/>
                <w:spacing w:val="0"/>
                <w:sz w:val="21"/>
                <w:szCs w:val="21"/>
                <w:bdr w:val="none" w:color="auto" w:sz="0" w:space="0"/>
              </w:rPr>
              <w:t>行政规范性文件</w:t>
            </w:r>
          </w:p>
        </w:tc>
        <w:tc>
          <w:tcPr>
            <w:tcW w:w="1686" w:type="dxa"/>
            <w:tcBorders>
              <w:top w:val="nil"/>
              <w:left w:val="nil"/>
              <w:bottom w:val="single" w:color="5B6080" w:sz="8" w:space="0"/>
              <w:right w:val="single" w:color="939397"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aps w:val="0"/>
                <w:color w:val="000000"/>
                <w:spacing w:val="0"/>
                <w:sz w:val="21"/>
                <w:szCs w:val="21"/>
                <w:bdr w:val="none" w:color="auto" w:sz="0" w:space="0"/>
              </w:rPr>
              <w:t>0</w:t>
            </w:r>
          </w:p>
        </w:tc>
        <w:tc>
          <w:tcPr>
            <w:tcW w:w="1803" w:type="dxa"/>
            <w:tcBorders>
              <w:top w:val="nil"/>
              <w:left w:val="nil"/>
              <w:bottom w:val="single" w:color="5B6080" w:sz="8" w:space="0"/>
              <w:right w:val="single" w:color="97939C"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aps w:val="0"/>
                <w:color w:val="000000"/>
                <w:spacing w:val="0"/>
                <w:sz w:val="21"/>
                <w:szCs w:val="21"/>
                <w:bdr w:val="none" w:color="auto" w:sz="0" w:space="0"/>
              </w:rPr>
              <w:t>0</w:t>
            </w:r>
          </w:p>
        </w:tc>
        <w:tc>
          <w:tcPr>
            <w:tcW w:w="1351" w:type="dxa"/>
            <w:tcBorders>
              <w:top w:val="nil"/>
              <w:left w:val="nil"/>
              <w:bottom w:val="single" w:color="5B6080" w:sz="8" w:space="0"/>
              <w:right w:val="single" w:color="3B3B3F"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aps w:val="0"/>
                <w:color w:val="000000"/>
                <w:spacing w:val="0"/>
                <w:sz w:val="21"/>
                <w:szCs w:val="21"/>
                <w:bdr w:val="none" w:color="auto" w:sz="0" w:space="0"/>
              </w:rPr>
              <w:t>0</w:t>
            </w:r>
          </w:p>
        </w:tc>
      </w:tr>
      <w:tr>
        <w:tblPrEx>
          <w:tblCellMar>
            <w:top w:w="0" w:type="dxa"/>
            <w:left w:w="0" w:type="dxa"/>
            <w:bottom w:w="0" w:type="dxa"/>
            <w:right w:w="0" w:type="dxa"/>
          </w:tblCellMar>
        </w:tblPrEx>
        <w:trPr>
          <w:trHeight w:val="621" w:hRule="atLeast"/>
        </w:trPr>
        <w:tc>
          <w:tcPr>
            <w:tcW w:w="8124" w:type="dxa"/>
            <w:gridSpan w:val="4"/>
            <w:tcBorders>
              <w:top w:val="nil"/>
              <w:left w:val="single" w:color="3B3B44" w:sz="8" w:space="0"/>
              <w:bottom w:val="single" w:color="646B80" w:sz="8" w:space="0"/>
              <w:right w:val="single" w:color="3B3B3F"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5" w:right="0"/>
              <w:jc w:val="center"/>
            </w:pPr>
            <w:r>
              <w:rPr>
                <w:rFonts w:hint="default" w:ascii="Calibri" w:hAnsi="Calibri" w:cs="Calibri"/>
                <w:caps w:val="0"/>
                <w:color w:val="000000"/>
                <w:spacing w:val="0"/>
                <w:sz w:val="21"/>
                <w:szCs w:val="21"/>
                <w:bdr w:val="none" w:color="auto" w:sz="0" w:space="0"/>
              </w:rPr>
              <w:t>第二十条 </w:t>
            </w:r>
            <w:r>
              <w:rPr>
                <w:rFonts w:hint="eastAsia" w:ascii="微软雅黑" w:hAnsi="微软雅黑" w:eastAsia="微软雅黑" w:cs="微软雅黑"/>
                <w:caps w:val="0"/>
                <w:color w:val="000000"/>
                <w:spacing w:val="0"/>
                <w:sz w:val="21"/>
                <w:szCs w:val="21"/>
                <w:bdr w:val="none" w:color="auto" w:sz="0" w:space="0"/>
              </w:rPr>
              <w:t>第 （五</w:t>
            </w:r>
            <w:r>
              <w:rPr>
                <w:rFonts w:hint="eastAsia" w:ascii="宋体" w:hAnsi="宋体" w:eastAsia="宋体" w:cs="宋体"/>
                <w:caps w:val="0"/>
                <w:color w:val="000000"/>
                <w:spacing w:val="0"/>
                <w:sz w:val="21"/>
                <w:szCs w:val="21"/>
                <w:bdr w:val="none" w:color="auto" w:sz="0" w:space="0"/>
              </w:rPr>
              <w:t>）</w:t>
            </w:r>
            <w:r>
              <w:rPr>
                <w:rFonts w:hint="default" w:ascii="Calibri" w:hAnsi="Calibri" w:cs="Calibri"/>
                <w:caps w:val="0"/>
                <w:color w:val="000000"/>
                <w:spacing w:val="0"/>
                <w:sz w:val="21"/>
                <w:szCs w:val="21"/>
                <w:bdr w:val="none" w:color="auto" w:sz="0" w:space="0"/>
              </w:rPr>
              <w:t> </w:t>
            </w:r>
            <w:r>
              <w:rPr>
                <w:rFonts w:hint="eastAsia" w:ascii="微软雅黑" w:hAnsi="微软雅黑" w:eastAsia="微软雅黑" w:cs="微软雅黑"/>
                <w:caps w:val="0"/>
                <w:color w:val="000000"/>
                <w:spacing w:val="0"/>
                <w:sz w:val="21"/>
                <w:szCs w:val="21"/>
                <w:bdr w:val="none" w:color="auto" w:sz="0" w:space="0"/>
              </w:rPr>
              <w:t>项</w:t>
            </w:r>
          </w:p>
        </w:tc>
      </w:tr>
      <w:tr>
        <w:tblPrEx>
          <w:tblCellMar>
            <w:top w:w="0" w:type="dxa"/>
            <w:left w:w="0" w:type="dxa"/>
            <w:bottom w:w="0" w:type="dxa"/>
            <w:right w:w="0" w:type="dxa"/>
          </w:tblCellMar>
        </w:tblPrEx>
        <w:trPr>
          <w:trHeight w:val="621" w:hRule="atLeast"/>
        </w:trPr>
        <w:tc>
          <w:tcPr>
            <w:tcW w:w="3284" w:type="dxa"/>
            <w:tcBorders>
              <w:top w:val="nil"/>
              <w:left w:val="single" w:color="3B3B44" w:sz="8" w:space="0"/>
              <w:bottom w:val="single" w:color="80676B" w:sz="8" w:space="0"/>
              <w:right w:val="single" w:color="878787"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8" w:beforeAutospacing="0" w:after="0" w:afterAutospacing="0"/>
              <w:ind w:left="0" w:right="17"/>
              <w:jc w:val="center"/>
            </w:pPr>
            <w:r>
              <w:rPr>
                <w:rFonts w:hint="default" w:ascii="Calibri" w:hAnsi="Calibri" w:cs="Calibri"/>
                <w:caps w:val="0"/>
                <w:color w:val="000000"/>
                <w:spacing w:val="0"/>
                <w:sz w:val="21"/>
                <w:szCs w:val="21"/>
                <w:bdr w:val="none" w:color="auto" w:sz="0" w:space="0"/>
              </w:rPr>
              <w:t>信息内容</w:t>
            </w:r>
          </w:p>
        </w:tc>
        <w:tc>
          <w:tcPr>
            <w:tcW w:w="4840" w:type="dxa"/>
            <w:gridSpan w:val="3"/>
            <w:tcBorders>
              <w:top w:val="single" w:color="646B80" w:sz="8" w:space="0"/>
              <w:left w:val="nil"/>
              <w:bottom w:val="single" w:color="7C7474" w:sz="8" w:space="0"/>
              <w:right w:val="single" w:color="3B3B3F"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0" w:afterAutospacing="0"/>
              <w:ind w:left="0" w:right="16"/>
              <w:jc w:val="center"/>
            </w:pPr>
            <w:r>
              <w:rPr>
                <w:rFonts w:hint="default" w:ascii="Calibri" w:hAnsi="Calibri" w:cs="Calibri"/>
                <w:caps w:val="0"/>
                <w:color w:val="000000"/>
                <w:spacing w:val="0"/>
                <w:sz w:val="21"/>
                <w:szCs w:val="21"/>
                <w:bdr w:val="none" w:color="auto" w:sz="0" w:space="0"/>
              </w:rPr>
              <w:t>本年处理决定数量</w:t>
            </w:r>
          </w:p>
        </w:tc>
      </w:tr>
      <w:tr>
        <w:tblPrEx>
          <w:tblCellMar>
            <w:top w:w="0" w:type="dxa"/>
            <w:left w:w="0" w:type="dxa"/>
            <w:bottom w:w="0" w:type="dxa"/>
            <w:right w:w="0" w:type="dxa"/>
          </w:tblCellMar>
        </w:tblPrEx>
        <w:trPr>
          <w:trHeight w:val="621" w:hRule="atLeast"/>
        </w:trPr>
        <w:tc>
          <w:tcPr>
            <w:tcW w:w="3284" w:type="dxa"/>
            <w:tcBorders>
              <w:top w:val="nil"/>
              <w:left w:val="single" w:color="3B3B44" w:sz="8" w:space="0"/>
              <w:bottom w:val="single" w:color="646487" w:sz="8" w:space="0"/>
              <w:right w:val="single" w:color="878787"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98" w:right="0"/>
              <w:jc w:val="left"/>
            </w:pPr>
            <w:r>
              <w:rPr>
                <w:rFonts w:hint="default" w:ascii="Calibri" w:hAnsi="Calibri" w:cs="Calibri"/>
                <w:caps w:val="0"/>
                <w:color w:val="000000"/>
                <w:spacing w:val="0"/>
                <w:sz w:val="21"/>
                <w:szCs w:val="21"/>
                <w:bdr w:val="none" w:color="auto" w:sz="0" w:space="0"/>
              </w:rPr>
              <w:t>行政许可</w:t>
            </w:r>
          </w:p>
        </w:tc>
        <w:tc>
          <w:tcPr>
            <w:tcW w:w="4840" w:type="dxa"/>
            <w:gridSpan w:val="3"/>
            <w:tcBorders>
              <w:top w:val="nil"/>
              <w:left w:val="nil"/>
              <w:bottom w:val="single" w:color="646487" w:sz="8" w:space="0"/>
              <w:right w:val="single" w:color="3B3B3F"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eastAsia="zh-CN"/>
              </w:rPr>
            </w:pPr>
            <w:r>
              <w:rPr>
                <w:rFonts w:hint="eastAsia" w:ascii="宋体" w:hAnsi="宋体" w:eastAsia="宋体" w:cs="宋体"/>
                <w:caps w:val="0"/>
                <w:color w:val="000000"/>
                <w:spacing w:val="0"/>
                <w:sz w:val="21"/>
                <w:szCs w:val="21"/>
                <w:bdr w:val="none" w:color="auto" w:sz="0" w:space="0"/>
                <w:lang w:val="en-US" w:eastAsia="zh-CN"/>
              </w:rPr>
              <w:t>0</w:t>
            </w:r>
          </w:p>
        </w:tc>
      </w:tr>
      <w:tr>
        <w:tblPrEx>
          <w:tblCellMar>
            <w:top w:w="0" w:type="dxa"/>
            <w:left w:w="0" w:type="dxa"/>
            <w:bottom w:w="0" w:type="dxa"/>
            <w:right w:w="0" w:type="dxa"/>
          </w:tblCellMar>
        </w:tblPrEx>
        <w:trPr>
          <w:trHeight w:val="623" w:hRule="atLeast"/>
        </w:trPr>
        <w:tc>
          <w:tcPr>
            <w:tcW w:w="8124" w:type="dxa"/>
            <w:gridSpan w:val="4"/>
            <w:tcBorders>
              <w:top w:val="nil"/>
              <w:left w:val="single" w:color="3B3B44" w:sz="8" w:space="0"/>
              <w:bottom w:val="single" w:color="607087" w:sz="8" w:space="0"/>
              <w:right w:val="single" w:color="3B3B3F"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0" w:afterAutospacing="0"/>
              <w:ind w:left="15" w:right="0"/>
              <w:jc w:val="center"/>
            </w:pPr>
            <w:r>
              <w:rPr>
                <w:rFonts w:hint="default" w:ascii="Calibri" w:hAnsi="Calibri" w:cs="Calibri"/>
                <w:caps w:val="0"/>
                <w:color w:val="000000"/>
                <w:spacing w:val="0"/>
                <w:sz w:val="21"/>
                <w:szCs w:val="21"/>
                <w:bdr w:val="none" w:color="auto" w:sz="0" w:space="0"/>
              </w:rPr>
              <w:t>第二十条 </w:t>
            </w:r>
            <w:r>
              <w:rPr>
                <w:rFonts w:hint="eastAsia" w:ascii="微软雅黑" w:hAnsi="微软雅黑" w:eastAsia="微软雅黑" w:cs="微软雅黑"/>
                <w:caps w:val="0"/>
                <w:color w:val="000000"/>
                <w:spacing w:val="0"/>
                <w:sz w:val="21"/>
                <w:szCs w:val="21"/>
                <w:bdr w:val="none" w:color="auto" w:sz="0" w:space="0"/>
              </w:rPr>
              <w:t>第 （六</w:t>
            </w:r>
            <w:r>
              <w:rPr>
                <w:rFonts w:hint="eastAsia" w:ascii="宋体" w:hAnsi="宋体" w:eastAsia="宋体" w:cs="宋体"/>
                <w:caps w:val="0"/>
                <w:color w:val="000000"/>
                <w:spacing w:val="0"/>
                <w:sz w:val="21"/>
                <w:szCs w:val="21"/>
                <w:bdr w:val="none" w:color="auto" w:sz="0" w:space="0"/>
              </w:rPr>
              <w:t>）</w:t>
            </w:r>
            <w:r>
              <w:rPr>
                <w:rFonts w:hint="default" w:ascii="Calibri" w:hAnsi="Calibri" w:cs="Calibri"/>
                <w:caps w:val="0"/>
                <w:color w:val="000000"/>
                <w:spacing w:val="0"/>
                <w:sz w:val="21"/>
                <w:szCs w:val="21"/>
                <w:bdr w:val="none" w:color="auto" w:sz="0" w:space="0"/>
              </w:rPr>
              <w:t> </w:t>
            </w:r>
            <w:r>
              <w:rPr>
                <w:rFonts w:hint="eastAsia" w:ascii="微软雅黑" w:hAnsi="微软雅黑" w:eastAsia="微软雅黑" w:cs="微软雅黑"/>
                <w:caps w:val="0"/>
                <w:color w:val="000000"/>
                <w:spacing w:val="0"/>
                <w:sz w:val="21"/>
                <w:szCs w:val="21"/>
                <w:bdr w:val="none" w:color="auto" w:sz="0" w:space="0"/>
              </w:rPr>
              <w:t>项</w:t>
            </w:r>
          </w:p>
        </w:tc>
      </w:tr>
      <w:tr>
        <w:tblPrEx>
          <w:tblCellMar>
            <w:top w:w="0" w:type="dxa"/>
            <w:left w:w="0" w:type="dxa"/>
            <w:bottom w:w="0" w:type="dxa"/>
            <w:right w:w="0" w:type="dxa"/>
          </w:tblCellMar>
        </w:tblPrEx>
        <w:trPr>
          <w:trHeight w:val="627" w:hRule="atLeast"/>
        </w:trPr>
        <w:tc>
          <w:tcPr>
            <w:tcW w:w="3284" w:type="dxa"/>
            <w:tcBorders>
              <w:top w:val="nil"/>
              <w:left w:val="single" w:color="3B3B44" w:sz="8" w:space="0"/>
              <w:bottom w:val="single" w:color="8C7774" w:sz="8" w:space="0"/>
              <w:right w:val="single" w:color="909093"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0" w:afterAutospacing="0"/>
              <w:ind w:left="0" w:right="8"/>
              <w:jc w:val="center"/>
            </w:pPr>
            <w:r>
              <w:rPr>
                <w:rFonts w:hint="default" w:ascii="Calibri" w:hAnsi="Calibri" w:cs="Calibri"/>
                <w:caps w:val="0"/>
                <w:color w:val="000000"/>
                <w:spacing w:val="0"/>
                <w:sz w:val="21"/>
                <w:szCs w:val="21"/>
                <w:bdr w:val="none" w:color="auto" w:sz="0" w:space="0"/>
              </w:rPr>
              <w:t>信息内容</w:t>
            </w:r>
          </w:p>
        </w:tc>
        <w:tc>
          <w:tcPr>
            <w:tcW w:w="4840" w:type="dxa"/>
            <w:gridSpan w:val="3"/>
            <w:tcBorders>
              <w:top w:val="single" w:color="607087" w:sz="8" w:space="0"/>
              <w:left w:val="nil"/>
              <w:bottom w:val="single" w:color="747074" w:sz="8" w:space="0"/>
              <w:right w:val="single" w:color="3B3B3F"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0" w:afterAutospacing="0"/>
              <w:ind w:left="0" w:right="13"/>
              <w:jc w:val="center"/>
            </w:pPr>
            <w:r>
              <w:rPr>
                <w:rFonts w:hint="default" w:ascii="Calibri" w:hAnsi="Calibri" w:cs="Calibri"/>
                <w:caps w:val="0"/>
                <w:color w:val="000000"/>
                <w:spacing w:val="0"/>
                <w:sz w:val="21"/>
                <w:szCs w:val="21"/>
                <w:bdr w:val="none" w:color="auto" w:sz="0" w:space="0"/>
              </w:rPr>
              <w:t>本年处理决定数量</w:t>
            </w:r>
          </w:p>
        </w:tc>
      </w:tr>
      <w:tr>
        <w:tblPrEx>
          <w:tblCellMar>
            <w:top w:w="0" w:type="dxa"/>
            <w:left w:w="0" w:type="dxa"/>
            <w:bottom w:w="0" w:type="dxa"/>
            <w:right w:w="0" w:type="dxa"/>
          </w:tblCellMar>
        </w:tblPrEx>
        <w:trPr>
          <w:trHeight w:val="624" w:hRule="atLeast"/>
        </w:trPr>
        <w:tc>
          <w:tcPr>
            <w:tcW w:w="3284" w:type="dxa"/>
            <w:tcBorders>
              <w:top w:val="nil"/>
              <w:left w:val="single" w:color="3B3B44" w:sz="8" w:space="0"/>
              <w:bottom w:val="single" w:color="7C6B74" w:sz="8" w:space="0"/>
              <w:right w:val="single" w:color="909093"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9" w:beforeAutospacing="0" w:after="0" w:afterAutospacing="0"/>
              <w:ind w:left="102" w:right="0"/>
              <w:jc w:val="left"/>
            </w:pPr>
            <w:r>
              <w:rPr>
                <w:rFonts w:hint="default" w:ascii="Calibri" w:hAnsi="Calibri" w:cs="Calibri"/>
                <w:caps w:val="0"/>
                <w:color w:val="000000"/>
                <w:spacing w:val="0"/>
                <w:sz w:val="21"/>
                <w:szCs w:val="21"/>
                <w:bdr w:val="none" w:color="auto" w:sz="0" w:space="0"/>
              </w:rPr>
              <w:t>行政处罚</w:t>
            </w:r>
          </w:p>
        </w:tc>
        <w:tc>
          <w:tcPr>
            <w:tcW w:w="4840" w:type="dxa"/>
            <w:gridSpan w:val="3"/>
            <w:tcBorders>
              <w:top w:val="nil"/>
              <w:left w:val="nil"/>
              <w:bottom w:val="single" w:color="7C6B74" w:sz="8" w:space="0"/>
              <w:right w:val="single" w:color="3B3B3F"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ascii="宋体" w:hAnsi="宋体" w:eastAsia="宋体" w:cs="宋体"/>
                <w:caps w:val="0"/>
                <w:color w:val="000000"/>
                <w:spacing w:val="0"/>
                <w:sz w:val="21"/>
                <w:szCs w:val="21"/>
                <w:bdr w:val="none" w:color="auto" w:sz="0" w:space="0"/>
                <w:lang w:val="en-US" w:eastAsia="zh-CN"/>
              </w:rPr>
              <w:t>102</w:t>
            </w:r>
          </w:p>
        </w:tc>
      </w:tr>
      <w:tr>
        <w:tblPrEx>
          <w:tblCellMar>
            <w:top w:w="0" w:type="dxa"/>
            <w:left w:w="0" w:type="dxa"/>
            <w:bottom w:w="0" w:type="dxa"/>
            <w:right w:w="0" w:type="dxa"/>
          </w:tblCellMar>
        </w:tblPrEx>
        <w:trPr>
          <w:trHeight w:val="618" w:hRule="atLeast"/>
        </w:trPr>
        <w:tc>
          <w:tcPr>
            <w:tcW w:w="3284" w:type="dxa"/>
            <w:tcBorders>
              <w:top w:val="nil"/>
              <w:left w:val="single" w:color="3B3B44" w:sz="8" w:space="0"/>
              <w:bottom w:val="single" w:color="646080" w:sz="8" w:space="0"/>
              <w:right w:val="single" w:color="909093"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8" w:beforeAutospacing="0" w:after="0" w:afterAutospacing="0"/>
              <w:ind w:left="107" w:right="0"/>
              <w:jc w:val="left"/>
            </w:pPr>
            <w:r>
              <w:rPr>
                <w:rFonts w:hint="default" w:ascii="Calibri" w:hAnsi="Calibri" w:cs="Calibri"/>
                <w:caps w:val="0"/>
                <w:color w:val="000000"/>
                <w:spacing w:val="0"/>
                <w:sz w:val="21"/>
                <w:szCs w:val="21"/>
                <w:bdr w:val="none" w:color="auto" w:sz="0" w:space="0"/>
              </w:rPr>
              <w:t>行政强制</w:t>
            </w:r>
          </w:p>
        </w:tc>
        <w:tc>
          <w:tcPr>
            <w:tcW w:w="4840" w:type="dxa"/>
            <w:gridSpan w:val="3"/>
            <w:tcBorders>
              <w:top w:val="nil"/>
              <w:left w:val="nil"/>
              <w:bottom w:val="single" w:color="646080" w:sz="8" w:space="0"/>
              <w:right w:val="single" w:color="3B3B3F"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aps w:val="0"/>
                <w:color w:val="000000"/>
                <w:spacing w:val="0"/>
                <w:sz w:val="21"/>
                <w:szCs w:val="21"/>
                <w:bdr w:val="none" w:color="auto" w:sz="0" w:space="0"/>
              </w:rPr>
              <w:t>1</w:t>
            </w:r>
          </w:p>
        </w:tc>
      </w:tr>
      <w:tr>
        <w:tblPrEx>
          <w:tblCellMar>
            <w:top w:w="0" w:type="dxa"/>
            <w:left w:w="0" w:type="dxa"/>
            <w:bottom w:w="0" w:type="dxa"/>
            <w:right w:w="0" w:type="dxa"/>
          </w:tblCellMar>
        </w:tblPrEx>
        <w:trPr>
          <w:trHeight w:val="626" w:hRule="atLeast"/>
        </w:trPr>
        <w:tc>
          <w:tcPr>
            <w:tcW w:w="8124" w:type="dxa"/>
            <w:gridSpan w:val="4"/>
            <w:tcBorders>
              <w:top w:val="nil"/>
              <w:left w:val="single" w:color="3B3B44" w:sz="8" w:space="0"/>
              <w:bottom w:val="nil"/>
              <w:right w:val="single" w:color="3B3B3F"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0" w:afterAutospacing="0"/>
              <w:ind w:left="25" w:right="0"/>
              <w:jc w:val="center"/>
            </w:pPr>
            <w:r>
              <w:rPr>
                <w:rFonts w:hint="default" w:ascii="Calibri" w:hAnsi="Calibri" w:cs="Calibri"/>
                <w:caps w:val="0"/>
                <w:color w:val="000000"/>
                <w:spacing w:val="0"/>
                <w:sz w:val="21"/>
                <w:szCs w:val="21"/>
                <w:bdr w:val="none" w:color="auto" w:sz="0" w:space="0"/>
              </w:rPr>
              <w:t>第二十条 </w:t>
            </w:r>
            <w:r>
              <w:rPr>
                <w:rFonts w:hint="eastAsia" w:ascii="微软雅黑" w:hAnsi="微软雅黑" w:eastAsia="微软雅黑" w:cs="微软雅黑"/>
                <w:caps w:val="0"/>
                <w:color w:val="000000"/>
                <w:spacing w:val="0"/>
                <w:sz w:val="21"/>
                <w:szCs w:val="21"/>
                <w:bdr w:val="none" w:color="auto" w:sz="0" w:space="0"/>
              </w:rPr>
              <w:t>第 （八） 项</w:t>
            </w:r>
          </w:p>
        </w:tc>
      </w:tr>
      <w:tr>
        <w:tblPrEx>
          <w:tblCellMar>
            <w:top w:w="0" w:type="dxa"/>
            <w:left w:w="0" w:type="dxa"/>
            <w:bottom w:w="0" w:type="dxa"/>
            <w:right w:w="0" w:type="dxa"/>
          </w:tblCellMar>
        </w:tblPrEx>
        <w:trPr>
          <w:trHeight w:val="621" w:hRule="atLeast"/>
        </w:trPr>
        <w:tc>
          <w:tcPr>
            <w:tcW w:w="3284" w:type="dxa"/>
            <w:tcBorders>
              <w:top w:val="single" w:color="6B747C" w:sz="8" w:space="0"/>
              <w:left w:val="single" w:color="5B5B60" w:sz="8" w:space="0"/>
              <w:bottom w:val="single" w:color="77778C" w:sz="8" w:space="0"/>
              <w:right w:val="single" w:color="auto"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0" w:right="1"/>
              <w:jc w:val="center"/>
            </w:pPr>
            <w:r>
              <w:rPr>
                <w:rFonts w:hint="default" w:ascii="Calibri" w:hAnsi="Calibri" w:cs="Calibri"/>
                <w:caps w:val="0"/>
                <w:color w:val="000000"/>
                <w:spacing w:val="0"/>
                <w:sz w:val="21"/>
                <w:szCs w:val="21"/>
                <w:bdr w:val="none" w:color="auto" w:sz="0" w:space="0"/>
              </w:rPr>
              <w:t>信息内容</w:t>
            </w:r>
          </w:p>
        </w:tc>
        <w:tc>
          <w:tcPr>
            <w:tcW w:w="4840" w:type="dxa"/>
            <w:gridSpan w:val="3"/>
            <w:tcBorders>
              <w:top w:val="single" w:color="auto" w:sz="8" w:space="0"/>
              <w:left w:val="nil"/>
              <w:bottom w:val="single" w:color="auto" w:sz="8" w:space="0"/>
              <w:right w:val="single" w:color="auto"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5" w:beforeAutospacing="0" w:after="0" w:afterAutospacing="0"/>
              <w:ind w:left="1446" w:right="0"/>
              <w:jc w:val="left"/>
            </w:pPr>
            <w:r>
              <w:rPr>
                <w:rFonts w:hint="default" w:ascii="Calibri" w:hAnsi="Calibri" w:cs="Calibri"/>
                <w:caps w:val="0"/>
                <w:color w:val="000000"/>
                <w:spacing w:val="0"/>
                <w:sz w:val="21"/>
                <w:szCs w:val="21"/>
                <w:bdr w:val="none" w:color="auto" w:sz="0" w:space="0"/>
              </w:rPr>
              <w:t>本年收费金额  </w:t>
            </w:r>
            <w:r>
              <w:rPr>
                <w:rFonts w:hint="eastAsia" w:ascii="微软雅黑" w:hAnsi="微软雅黑" w:eastAsia="微软雅黑" w:cs="微软雅黑"/>
                <w:caps w:val="0"/>
                <w:color w:val="000000"/>
                <w:spacing w:val="0"/>
                <w:sz w:val="21"/>
                <w:szCs w:val="21"/>
                <w:bdr w:val="none" w:color="auto" w:sz="0" w:space="0"/>
              </w:rPr>
              <w:t>（单位 ：万元</w:t>
            </w:r>
            <w:r>
              <w:rPr>
                <w:rFonts w:hint="eastAsia" w:ascii="宋体" w:hAnsi="宋体" w:eastAsia="宋体" w:cs="宋体"/>
                <w:caps w:val="0"/>
                <w:color w:val="000000"/>
                <w:spacing w:val="0"/>
                <w:sz w:val="21"/>
                <w:szCs w:val="21"/>
                <w:bdr w:val="none" w:color="auto" w:sz="0" w:space="0"/>
              </w:rPr>
              <w:t>）</w:t>
            </w:r>
          </w:p>
        </w:tc>
      </w:tr>
      <w:tr>
        <w:tblPrEx>
          <w:tblCellMar>
            <w:top w:w="0" w:type="dxa"/>
            <w:left w:w="0" w:type="dxa"/>
            <w:bottom w:w="0" w:type="dxa"/>
            <w:right w:w="0" w:type="dxa"/>
          </w:tblCellMar>
        </w:tblPrEx>
        <w:trPr>
          <w:trHeight w:val="626" w:hRule="atLeast"/>
        </w:trPr>
        <w:tc>
          <w:tcPr>
            <w:tcW w:w="3284" w:type="dxa"/>
            <w:tcBorders>
              <w:top w:val="nil"/>
              <w:left w:val="single" w:color="5B5B60" w:sz="8" w:space="0"/>
              <w:bottom w:val="single" w:color="3B383F" w:sz="8" w:space="0"/>
              <w:right w:val="single" w:color="8C8C93"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8" w:beforeAutospacing="0" w:after="0" w:afterAutospacing="0"/>
              <w:ind w:left="107" w:right="0"/>
              <w:jc w:val="left"/>
            </w:pPr>
            <w:r>
              <w:rPr>
                <w:rFonts w:hint="default" w:ascii="Calibri" w:hAnsi="Calibri" w:cs="Calibri"/>
                <w:caps w:val="0"/>
                <w:color w:val="000000"/>
                <w:spacing w:val="0"/>
                <w:sz w:val="21"/>
                <w:szCs w:val="21"/>
                <w:bdr w:val="none" w:color="auto" w:sz="0" w:space="0"/>
              </w:rPr>
              <w:t>行政事业性收费</w:t>
            </w:r>
          </w:p>
        </w:tc>
        <w:tc>
          <w:tcPr>
            <w:tcW w:w="4840" w:type="dxa"/>
            <w:gridSpan w:val="3"/>
            <w:tcBorders>
              <w:top w:val="nil"/>
              <w:left w:val="nil"/>
              <w:bottom w:val="single" w:color="3B383F" w:sz="8" w:space="0"/>
              <w:right w:val="single" w:color="3B3B44"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aps w:val="0"/>
                <w:color w:val="000000"/>
                <w:spacing w:val="0"/>
                <w:sz w:val="21"/>
                <w:szCs w:val="21"/>
                <w:bdr w:val="none" w:color="auto" w:sz="0" w:space="0"/>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default" w:ascii="仿宋体" w:hAnsi="仿宋体" w:cs="仿宋体"/>
          <w:sz w:val="24"/>
          <w:szCs w:val="24"/>
        </w:rPr>
      </w:pPr>
      <w:r>
        <w:rPr>
          <w:rFonts w:hint="eastAsia" w:ascii="黑体" w:hAnsi="宋体" w:eastAsia="黑体" w:cs="黑体"/>
          <w:i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default" w:ascii="仿宋体" w:hAnsi="仿宋体" w:cs="仿宋体"/>
          <w:sz w:val="24"/>
          <w:szCs w:val="24"/>
        </w:rPr>
      </w:pPr>
      <w:r>
        <w:rPr>
          <w:rFonts w:hint="eastAsia" w:ascii="黑体" w:hAnsi="宋体" w:eastAsia="黑体" w:cs="黑体"/>
          <w:i w:val="0"/>
          <w:caps w:val="0"/>
          <w:color w:val="000000"/>
          <w:spacing w:val="0"/>
          <w:sz w:val="32"/>
          <w:szCs w:val="32"/>
          <w:bdr w:val="none" w:color="auto" w:sz="0" w:space="0"/>
          <w:shd w:val="clear" w:fill="FFFFFF"/>
        </w:rPr>
        <w:t>三、收到和处理政府信息公开申请情况</w:t>
      </w:r>
    </w:p>
    <w:tbl>
      <w:tblPr>
        <w:tblW w:w="939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6"/>
        <w:gridCol w:w="1510"/>
        <w:gridCol w:w="2599"/>
        <w:gridCol w:w="552"/>
        <w:gridCol w:w="688"/>
        <w:gridCol w:w="687"/>
        <w:gridCol w:w="688"/>
        <w:gridCol w:w="688"/>
        <w:gridCol w:w="690"/>
        <w:gridCol w:w="6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7" w:hRule="atLeast"/>
          <w:jc w:val="center"/>
        </w:trPr>
        <w:tc>
          <w:tcPr>
            <w:tcW w:w="4713" w:type="dxa"/>
            <w:gridSpan w:val="3"/>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bdr w:val="none" w:color="auto" w:sz="0" w:space="0"/>
              </w:rPr>
              <w:t>（本列数据的勾稽关系为：第一项加第二项之和，等于第三项加第四项之和）</w:t>
            </w:r>
          </w:p>
        </w:tc>
        <w:tc>
          <w:tcPr>
            <w:tcW w:w="4685" w:type="dxa"/>
            <w:gridSpan w:val="7"/>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30" w:hRule="atLeast"/>
          <w:jc w:val="center"/>
        </w:trPr>
        <w:tc>
          <w:tcPr>
            <w:tcW w:w="4713"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54"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自然人</w:t>
            </w:r>
          </w:p>
        </w:tc>
        <w:tc>
          <w:tcPr>
            <w:tcW w:w="3466"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法人或其他组织</w:t>
            </w:r>
          </w:p>
        </w:tc>
        <w:tc>
          <w:tcPr>
            <w:tcW w:w="665"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25" w:hRule="atLeast"/>
          <w:jc w:val="center"/>
        </w:trPr>
        <w:tc>
          <w:tcPr>
            <w:tcW w:w="4713"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bdr w:val="none" w:color="auto" w:sz="0" w:space="0"/>
              </w:rPr>
              <w:t>商业企业</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bdr w:val="none" w:color="auto" w:sz="0" w:space="0"/>
              </w:rPr>
              <w:t>科研机构</w:t>
            </w:r>
          </w:p>
        </w:tc>
        <w:tc>
          <w:tcPr>
            <w:tcW w:w="693"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bdr w:val="none" w:color="auto" w:sz="0" w:space="0"/>
              </w:rPr>
              <w:t>社会公益组织</w:t>
            </w:r>
          </w:p>
        </w:tc>
        <w:tc>
          <w:tcPr>
            <w:tcW w:w="693"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bdr w:val="none" w:color="auto" w:sz="0" w:space="0"/>
              </w:rPr>
              <w:t>法律服务机构</w:t>
            </w:r>
          </w:p>
        </w:tc>
        <w:tc>
          <w:tcPr>
            <w:tcW w:w="69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bdr w:val="none" w:color="auto" w:sz="0" w:space="0"/>
              </w:rPr>
              <w:t>其他</w:t>
            </w:r>
          </w:p>
        </w:tc>
        <w:tc>
          <w:tcPr>
            <w:tcW w:w="665"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8" w:hRule="atLeast"/>
          <w:jc w:val="center"/>
        </w:trPr>
        <w:tc>
          <w:tcPr>
            <w:tcW w:w="4713"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bdr w:val="none" w:color="auto" w:sz="0" w:space="0"/>
              </w:rPr>
              <w:t>一、本年新收政府信息公开申请数量</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eastAsia="zh-CN"/>
              </w:rPr>
            </w:pPr>
            <w:r>
              <w:rPr>
                <w:rFonts w:hint="eastAsia" w:ascii="宋体" w:hAnsi="宋体" w:eastAsia="宋体" w:cs="宋体"/>
                <w:sz w:val="21"/>
                <w:szCs w:val="21"/>
                <w:bdr w:val="none" w:color="auto" w:sz="0" w:space="0"/>
                <w:lang w:val="en-US" w:eastAsia="zh-CN"/>
              </w:rPr>
              <w:t>2</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eastAsia="zh-CN"/>
              </w:rPr>
            </w:pPr>
            <w:r>
              <w:rPr>
                <w:rFonts w:hint="eastAsia" w:ascii="宋体" w:hAnsi="宋体" w:eastAsia="宋体" w:cs="宋体"/>
                <w:sz w:val="21"/>
                <w:szCs w:val="21"/>
                <w:bdr w:val="none" w:color="auto" w:sz="0" w:space="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8" w:hRule="atLeast"/>
          <w:jc w:val="center"/>
        </w:trPr>
        <w:tc>
          <w:tcPr>
            <w:tcW w:w="4713"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bdr w:val="none" w:color="auto" w:sz="0" w:space="0"/>
              </w:rPr>
              <w:t>二、上年结转政府信息公开申请数量</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17" w:hRule="atLeast"/>
          <w:jc w:val="center"/>
        </w:trPr>
        <w:tc>
          <w:tcPr>
            <w:tcW w:w="55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bdr w:val="none" w:color="auto" w:sz="0" w:space="0"/>
              </w:rPr>
              <w:t>三、本年度办理结果</w:t>
            </w:r>
          </w:p>
        </w:tc>
        <w:tc>
          <w:tcPr>
            <w:tcW w:w="4159" w:type="dxa"/>
            <w:gridSpan w:val="2"/>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（一）予以公开</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eastAsia="zh-CN"/>
              </w:rPr>
            </w:pPr>
            <w:r>
              <w:rPr>
                <w:rFonts w:hint="eastAsia" w:ascii="宋体" w:hAnsi="宋体" w:eastAsia="宋体" w:cs="宋体"/>
                <w:sz w:val="21"/>
                <w:szCs w:val="21"/>
                <w:bdr w:val="none" w:color="auto" w:sz="0" w:space="0"/>
                <w:lang w:val="en-US" w:eastAsia="zh-CN"/>
              </w:rPr>
              <w:t>1</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eastAsia="zh-CN"/>
              </w:rPr>
            </w:pPr>
            <w:r>
              <w:rPr>
                <w:rFonts w:hint="eastAsia" w:ascii="宋体" w:hAnsi="宋体" w:eastAsia="宋体" w:cs="宋体"/>
                <w:sz w:val="21"/>
                <w:szCs w:val="21"/>
                <w:bdr w:val="none" w:color="auto" w:sz="0" w:space="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159" w:type="dxa"/>
            <w:gridSpan w:val="2"/>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（二）部分公开（区分处理的，只计这一情形，不计其他情形）</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9"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（三）不予公开</w:t>
            </w: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1．属于国家秘密</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2．其他法律行政法规禁止公开</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18"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3．危及“三安全一稳定”</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6"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4．保护第三方合法权益</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15"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5．属于三类内部事务信息</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08"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6．属于四类过程性信息</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14"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7．属于行政执法案卷</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0"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8．属于行政查询事项</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11"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（四）无法提供</w:t>
            </w: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1．本机关不掌握相关政府信息</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eastAsia="zh-CN"/>
              </w:rPr>
            </w:pPr>
            <w:r>
              <w:rPr>
                <w:rFonts w:hint="eastAsia" w:ascii="宋体" w:hAnsi="宋体" w:eastAsia="宋体" w:cs="宋体"/>
                <w:sz w:val="21"/>
                <w:szCs w:val="21"/>
                <w:bdr w:val="none" w:color="auto" w:sz="0" w:space="0"/>
                <w:lang w:val="en-US" w:eastAsia="zh-CN"/>
              </w:rPr>
              <w:t>1</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eastAsia="zh-CN"/>
              </w:rPr>
            </w:pPr>
            <w:r>
              <w:rPr>
                <w:rFonts w:hint="eastAsia" w:ascii="宋体" w:hAnsi="宋体" w:eastAsia="宋体" w:cs="宋体"/>
                <w:sz w:val="21"/>
                <w:szCs w:val="21"/>
                <w:bdr w:val="none" w:color="auto" w:sz="0" w:space="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17"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2．没有现成信息需要另行制作</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3．补正后申请内容仍不明确</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2"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（五）不予处理</w:t>
            </w: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1．信访举报投诉类申请</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2．重复申请</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82"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3．要求提供公开出版物</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15"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4．无正当理由大量反复申请</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80" w:right="0" w:hanging="180"/>
            </w:pPr>
            <w:r>
              <w:rPr>
                <w:rFonts w:hint="eastAsia" w:ascii="宋体" w:hAnsi="宋体" w:eastAsia="宋体" w:cs="宋体"/>
                <w:sz w:val="18"/>
                <w:szCs w:val="18"/>
                <w:bdr w:val="none" w:color="auto" w:sz="0" w:space="0"/>
              </w:rPr>
              <w:t>5．要求行政机关确认或重新出具已获取信息</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（六）其他处理</w:t>
            </w: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80" w:right="0" w:hanging="180"/>
            </w:pPr>
            <w:r>
              <w:rPr>
                <w:rFonts w:hint="eastAsia" w:ascii="宋体" w:hAnsi="宋体" w:eastAsia="宋体" w:cs="宋体"/>
                <w:sz w:val="18"/>
                <w:szCs w:val="18"/>
                <w:bdr w:val="none" w:color="auto" w:sz="0" w:space="0"/>
              </w:rPr>
              <w:t>1.申请人无正当理由逾期不补正、行政机关不再处理其政府信息公开申请</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80" w:right="0" w:hanging="180"/>
            </w:pPr>
            <w:r>
              <w:rPr>
                <w:rFonts w:hint="eastAsia" w:ascii="宋体" w:hAnsi="宋体" w:eastAsia="宋体" w:cs="宋体"/>
                <w:sz w:val="18"/>
                <w:szCs w:val="18"/>
                <w:bdr w:val="none" w:color="auto" w:sz="0" w:space="0"/>
              </w:rPr>
              <w:t>2.申请人逾期未按收费通知 要求缴纳费用、行政机关不再处理其政府信息公开申请</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34"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80" w:right="0" w:hanging="180"/>
            </w:pPr>
            <w:r>
              <w:rPr>
                <w:rFonts w:hint="eastAsia" w:ascii="宋体" w:hAnsi="宋体" w:eastAsia="宋体" w:cs="宋体"/>
                <w:sz w:val="18"/>
                <w:szCs w:val="18"/>
                <w:bdr w:val="none" w:color="auto" w:sz="0" w:space="0"/>
              </w:rPr>
              <w:t>3.其他</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14" w:hRule="atLeast"/>
          <w:jc w:val="center"/>
        </w:trPr>
        <w:tc>
          <w:tcPr>
            <w:tcW w:w="55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159" w:type="dxa"/>
            <w:gridSpan w:val="2"/>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bdr w:val="none" w:color="auto" w:sz="0" w:space="0"/>
              </w:rPr>
              <w:t>（七）总计</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12" w:hRule="atLeast"/>
          <w:jc w:val="center"/>
        </w:trPr>
        <w:tc>
          <w:tcPr>
            <w:tcW w:w="4713"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bdr w:val="none" w:color="auto" w:sz="0" w:space="0"/>
              </w:rPr>
              <w:t>四、结转下年度继续办理</w:t>
            </w:r>
          </w:p>
        </w:tc>
        <w:tc>
          <w:tcPr>
            <w:tcW w:w="55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6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default" w:ascii="仿宋体" w:hAnsi="仿宋体" w:cs="仿宋体"/>
          <w:sz w:val="24"/>
          <w:szCs w:val="24"/>
        </w:rPr>
      </w:pPr>
      <w:r>
        <w:rPr>
          <w:rFonts w:hint="default" w:ascii="Calibri" w:hAnsi="Calibri" w:eastAsia="微软雅黑" w:cs="Calibri"/>
          <w:i w:val="0"/>
          <w:caps w:val="0"/>
          <w:color w:val="000000"/>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default" w:ascii="仿宋体" w:hAnsi="仿宋体" w:cs="仿宋体"/>
          <w:sz w:val="24"/>
          <w:szCs w:val="24"/>
        </w:rPr>
      </w:pPr>
      <w:r>
        <w:rPr>
          <w:rFonts w:hint="eastAsia" w:ascii="黑体" w:hAnsi="宋体" w:eastAsia="黑体" w:cs="黑体"/>
          <w:i w:val="0"/>
          <w:caps w:val="0"/>
          <w:color w:val="000000"/>
          <w:spacing w:val="0"/>
          <w:sz w:val="32"/>
          <w:szCs w:val="32"/>
          <w:bdr w:val="none" w:color="auto" w:sz="0" w:space="0"/>
          <w:shd w:val="clear" w:fill="FFFFFF"/>
        </w:rPr>
        <w:t>四、政府信息公开行政复议、行政诉讼情况</w:t>
      </w:r>
    </w:p>
    <w:tbl>
      <w:tblPr>
        <w:tblW w:w="971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4"/>
        <w:gridCol w:w="708"/>
        <w:gridCol w:w="709"/>
        <w:gridCol w:w="706"/>
        <w:gridCol w:w="428"/>
        <w:gridCol w:w="708"/>
        <w:gridCol w:w="709"/>
        <w:gridCol w:w="709"/>
        <w:gridCol w:w="709"/>
        <w:gridCol w:w="426"/>
        <w:gridCol w:w="709"/>
        <w:gridCol w:w="708"/>
        <w:gridCol w:w="709"/>
        <w:gridCol w:w="694"/>
        <w:gridCol w:w="4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4" w:hRule="atLeast"/>
          <w:jc w:val="center"/>
        </w:trPr>
        <w:tc>
          <w:tcPr>
            <w:tcW w:w="3207"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行政复议</w:t>
            </w:r>
          </w:p>
        </w:tc>
        <w:tc>
          <w:tcPr>
            <w:tcW w:w="6505"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05" w:hRule="atLeast"/>
          <w:jc w:val="center"/>
        </w:trPr>
        <w:tc>
          <w:tcPr>
            <w:tcW w:w="65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结果维持</w:t>
            </w:r>
          </w:p>
        </w:tc>
        <w:tc>
          <w:tcPr>
            <w:tcW w:w="709"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结果纠正</w:t>
            </w:r>
          </w:p>
        </w:tc>
        <w:tc>
          <w:tcPr>
            <w:tcW w:w="70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其他结果</w:t>
            </w:r>
          </w:p>
        </w:tc>
        <w:tc>
          <w:tcPr>
            <w:tcW w:w="706"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尚未审结</w:t>
            </w:r>
          </w:p>
        </w:tc>
        <w:tc>
          <w:tcPr>
            <w:tcW w:w="42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总计</w:t>
            </w:r>
          </w:p>
        </w:tc>
        <w:tc>
          <w:tcPr>
            <w:tcW w:w="3260"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未经复议直接起诉</w:t>
            </w:r>
          </w:p>
        </w:tc>
        <w:tc>
          <w:tcPr>
            <w:tcW w:w="3245"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9" w:hRule="atLeast"/>
          <w:jc w:val="center"/>
        </w:trPr>
        <w:tc>
          <w:tcPr>
            <w:tcW w:w="65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0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0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06"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2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08"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结果维持</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结果纠正</w:t>
            </w:r>
          </w:p>
        </w:tc>
        <w:tc>
          <w:tcPr>
            <w:tcW w:w="70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其他结果</w:t>
            </w:r>
          </w:p>
        </w:tc>
        <w:tc>
          <w:tcPr>
            <w:tcW w:w="70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尚未审</w:t>
            </w:r>
            <w:r>
              <w:rPr>
                <w:rFonts w:hint="eastAsia" w:ascii="宋体" w:hAnsi="宋体" w:eastAsia="宋体" w:cs="宋体"/>
                <w:sz w:val="21"/>
                <w:szCs w:val="21"/>
                <w:bdr w:val="none" w:color="auto" w:sz="0" w:space="0"/>
                <w:lang w:val="en-US" w:eastAsia="zh-CN"/>
              </w:rPr>
              <w:t xml:space="preserve"> </w:t>
            </w:r>
            <w:r>
              <w:rPr>
                <w:rFonts w:hint="eastAsia" w:ascii="宋体" w:hAnsi="宋体" w:eastAsia="宋体" w:cs="宋体"/>
                <w:sz w:val="21"/>
                <w:szCs w:val="21"/>
                <w:bdr w:val="none" w:color="auto" w:sz="0" w:space="0"/>
              </w:rPr>
              <w:t>结</w:t>
            </w:r>
          </w:p>
        </w:tc>
        <w:tc>
          <w:tcPr>
            <w:tcW w:w="42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总计</w:t>
            </w:r>
          </w:p>
        </w:tc>
        <w:tc>
          <w:tcPr>
            <w:tcW w:w="70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结果维持</w:t>
            </w:r>
          </w:p>
        </w:tc>
        <w:tc>
          <w:tcPr>
            <w:tcW w:w="708"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结果纠正</w:t>
            </w:r>
          </w:p>
        </w:tc>
        <w:tc>
          <w:tcPr>
            <w:tcW w:w="70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其他结果</w:t>
            </w:r>
          </w:p>
        </w:tc>
        <w:tc>
          <w:tcPr>
            <w:tcW w:w="694"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尚未审结</w:t>
            </w:r>
          </w:p>
        </w:tc>
        <w:tc>
          <w:tcPr>
            <w:tcW w:w="42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6" w:hRule="atLeast"/>
          <w:jc w:val="center"/>
        </w:trPr>
        <w:tc>
          <w:tcPr>
            <w:tcW w:w="65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8"/>
                <w:szCs w:val="18"/>
                <w:bdr w:val="none" w:color="auto" w:sz="0" w:space="0"/>
              </w:rPr>
              <w:t>0</w:t>
            </w:r>
          </w:p>
        </w:tc>
        <w:tc>
          <w:tcPr>
            <w:tcW w:w="70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eastAsia="zh-CN"/>
              </w:rPr>
            </w:pPr>
            <w:r>
              <w:rPr>
                <w:rFonts w:hint="eastAsia" w:ascii="宋体" w:hAnsi="宋体" w:eastAsia="宋体" w:cs="宋体"/>
                <w:sz w:val="21"/>
                <w:szCs w:val="21"/>
                <w:bdr w:val="none" w:color="auto" w:sz="0" w:space="0"/>
                <w:lang w:val="en-US" w:eastAsia="zh-CN"/>
              </w:rPr>
              <w:t>0</w:t>
            </w:r>
          </w:p>
        </w:tc>
        <w:tc>
          <w:tcPr>
            <w:tcW w:w="428"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eastAsia="zh-CN"/>
              </w:rPr>
            </w:pPr>
            <w:r>
              <w:rPr>
                <w:rFonts w:hint="eastAsia" w:ascii="宋体" w:hAnsi="宋体" w:eastAsia="宋体" w:cs="宋体"/>
                <w:sz w:val="21"/>
                <w:szCs w:val="21"/>
                <w:bdr w:val="none" w:color="auto" w:sz="0" w:space="0"/>
                <w:lang w:val="en-US" w:eastAsia="zh-CN"/>
              </w:rPr>
              <w:t>0</w:t>
            </w:r>
          </w:p>
        </w:tc>
        <w:tc>
          <w:tcPr>
            <w:tcW w:w="708"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eastAsia="zh-CN"/>
              </w:rPr>
            </w:pPr>
            <w:r>
              <w:rPr>
                <w:rFonts w:hint="eastAsia" w:ascii="宋体" w:hAnsi="宋体" w:eastAsia="宋体" w:cs="宋体"/>
                <w:sz w:val="21"/>
                <w:szCs w:val="21"/>
                <w:bdr w:val="none" w:color="auto" w:sz="0" w:space="0"/>
                <w:lang w:val="en-US" w:eastAsia="zh-CN"/>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eastAsia="zh-CN"/>
              </w:rPr>
            </w:pPr>
            <w:r>
              <w:rPr>
                <w:rFonts w:hint="eastAsia" w:ascii="宋体" w:hAnsi="宋体" w:eastAsia="宋体" w:cs="宋体"/>
                <w:sz w:val="21"/>
                <w:szCs w:val="21"/>
                <w:bdr w:val="none" w:color="auto" w:sz="0" w:space="0"/>
                <w:lang w:val="en-US" w:eastAsia="zh-CN"/>
              </w:rPr>
              <w:t>0</w:t>
            </w:r>
          </w:p>
        </w:tc>
        <w:tc>
          <w:tcPr>
            <w:tcW w:w="42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eastAsia="zh-CN"/>
              </w:rPr>
            </w:pPr>
            <w:r>
              <w:rPr>
                <w:rFonts w:hint="eastAsia" w:ascii="宋体" w:hAnsi="宋体" w:eastAsia="宋体" w:cs="宋体"/>
                <w:sz w:val="21"/>
                <w:szCs w:val="21"/>
                <w:bdr w:val="none" w:color="auto" w:sz="0" w:space="0"/>
                <w:lang w:val="en-US" w:eastAsia="zh-CN"/>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708"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0</w:t>
            </w:r>
          </w:p>
        </w:tc>
        <w:tc>
          <w:tcPr>
            <w:tcW w:w="42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eastAsia="zh-CN"/>
              </w:rPr>
            </w:pPr>
            <w:r>
              <w:rPr>
                <w:rFonts w:hint="eastAsia" w:ascii="宋体" w:hAnsi="宋体" w:eastAsia="宋体" w:cs="宋体"/>
                <w:sz w:val="21"/>
                <w:szCs w:val="21"/>
                <w:bdr w:val="none" w:color="auto" w:sz="0" w:space="0"/>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right="0"/>
        <w:rPr>
          <w:rFonts w:hint="default" w:ascii="仿宋体" w:hAnsi="仿宋体" w:cs="仿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default" w:ascii="仿宋体" w:hAnsi="仿宋体" w:cs="仿宋体"/>
          <w:color w:val="auto"/>
          <w:sz w:val="24"/>
          <w:szCs w:val="24"/>
        </w:rPr>
      </w:pPr>
      <w:r>
        <w:rPr>
          <w:rFonts w:hint="eastAsia" w:ascii="黑体" w:hAnsi="宋体" w:eastAsia="黑体" w:cs="黑体"/>
          <w:i w:val="0"/>
          <w:caps w:val="0"/>
          <w:color w:val="auto"/>
          <w:spacing w:val="0"/>
          <w:sz w:val="32"/>
          <w:szCs w:val="32"/>
          <w:bdr w:val="none" w:color="auto" w:sz="0" w:space="0"/>
          <w:shd w:val="clear" w:fill="FFFFFF"/>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default" w:ascii="仿宋体" w:hAnsi="仿宋体" w:cs="仿宋体"/>
          <w:color w:val="auto"/>
          <w:sz w:val="24"/>
          <w:szCs w:val="24"/>
        </w:rPr>
      </w:pPr>
      <w:r>
        <w:rPr>
          <w:rFonts w:hint="eastAsia" w:ascii="楷体" w:hAnsi="楷体" w:eastAsia="楷体" w:cs="楷体"/>
          <w:i w:val="0"/>
          <w:caps w:val="0"/>
          <w:color w:val="auto"/>
          <w:spacing w:val="0"/>
          <w:sz w:val="32"/>
          <w:szCs w:val="32"/>
          <w:bdr w:val="none" w:color="auto" w:sz="0" w:space="0"/>
          <w:shd w:val="clear" w:fill="FFFFFF"/>
        </w:rPr>
        <w:t>1.存在的主要问题。</w:t>
      </w:r>
      <w:r>
        <w:rPr>
          <w:rFonts w:hint="eastAsia" w:ascii="仿宋" w:hAnsi="仿宋" w:eastAsia="仿宋" w:cs="仿宋"/>
          <w:i w:val="0"/>
          <w:caps w:val="0"/>
          <w:color w:val="auto"/>
          <w:spacing w:val="0"/>
          <w:sz w:val="32"/>
          <w:szCs w:val="32"/>
          <w:shd w:val="clear" w:fill="FFFFFF"/>
        </w:rPr>
        <w:t>政务公开的互动性不强。</w:t>
      </w:r>
      <w:r>
        <w:rPr>
          <w:rFonts w:hint="eastAsia" w:ascii="仿宋" w:hAnsi="仿宋" w:eastAsia="仿宋" w:cs="仿宋"/>
          <w:i w:val="0"/>
          <w:caps w:val="0"/>
          <w:color w:val="auto"/>
          <w:spacing w:val="0"/>
          <w:sz w:val="32"/>
          <w:szCs w:val="32"/>
          <w:shd w:val="clear" w:fill="FFFFFF"/>
          <w:lang w:eastAsia="zh-CN"/>
        </w:rPr>
        <w:t>一是</w:t>
      </w:r>
      <w:r>
        <w:rPr>
          <w:rFonts w:hint="eastAsia" w:ascii="仿宋" w:hAnsi="仿宋" w:eastAsia="仿宋" w:cs="仿宋"/>
          <w:i w:val="0"/>
          <w:caps w:val="0"/>
          <w:color w:val="auto"/>
          <w:spacing w:val="0"/>
          <w:sz w:val="32"/>
          <w:szCs w:val="32"/>
          <w:shd w:val="clear" w:fill="FFFFFF"/>
        </w:rPr>
        <w:t>政务公开网站、新媒体等渠道互动交流平台建设力度不够</w:t>
      </w:r>
      <w:r>
        <w:rPr>
          <w:rFonts w:hint="eastAsia" w:ascii="仿宋" w:hAnsi="仿宋" w:eastAsia="仿宋" w:cs="仿宋"/>
          <w:i w:val="0"/>
          <w:caps w:val="0"/>
          <w:color w:val="auto"/>
          <w:spacing w:val="0"/>
          <w:sz w:val="32"/>
          <w:szCs w:val="32"/>
          <w:shd w:val="clear" w:fill="FFFFFF"/>
          <w:lang w:eastAsia="zh-CN"/>
        </w:rPr>
        <w:t>；二是</w:t>
      </w:r>
      <w:r>
        <w:rPr>
          <w:rFonts w:hint="eastAsia" w:ascii="仿宋" w:hAnsi="仿宋" w:eastAsia="仿宋" w:cs="仿宋"/>
          <w:i w:val="0"/>
          <w:caps w:val="0"/>
          <w:color w:val="auto"/>
          <w:spacing w:val="0"/>
          <w:sz w:val="32"/>
          <w:szCs w:val="32"/>
          <w:shd w:val="clear" w:fill="FFFFFF"/>
        </w:rPr>
        <w:t>部分信息存在公开和更新滞后问题</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群众关心的热点和难点问题</w:t>
      </w:r>
      <w:r>
        <w:rPr>
          <w:rFonts w:hint="eastAsia" w:ascii="仿宋" w:hAnsi="仿宋" w:eastAsia="仿宋" w:cs="仿宋"/>
          <w:i w:val="0"/>
          <w:caps w:val="0"/>
          <w:color w:val="auto"/>
          <w:spacing w:val="0"/>
          <w:sz w:val="32"/>
          <w:szCs w:val="32"/>
          <w:shd w:val="clear" w:fill="FFFFFF"/>
          <w:lang w:eastAsia="zh-CN"/>
        </w:rPr>
        <w:t>不能及时公开</w:t>
      </w:r>
      <w:r>
        <w:rPr>
          <w:rFonts w:hint="eastAsia" w:ascii="仿宋" w:hAnsi="仿宋" w:eastAsia="仿宋" w:cs="仿宋"/>
          <w:i w:val="0"/>
          <w:caps w:val="0"/>
          <w:color w:val="auto"/>
          <w:spacing w:val="0"/>
          <w:sz w:val="32"/>
          <w:szCs w:val="32"/>
          <w:shd w:val="clear" w:fill="FFFFFF"/>
        </w:rPr>
        <w:t>，群众对政务公开没有做到有效参与。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default" w:ascii="仿宋体" w:hAnsi="仿宋体" w:cs="仿宋体"/>
          <w:color w:val="auto"/>
          <w:sz w:val="24"/>
          <w:szCs w:val="24"/>
        </w:rPr>
      </w:pPr>
      <w:r>
        <w:rPr>
          <w:rFonts w:hint="eastAsia" w:ascii="楷体" w:hAnsi="楷体" w:eastAsia="楷体" w:cs="楷体"/>
          <w:i w:val="0"/>
          <w:caps w:val="0"/>
          <w:color w:val="auto"/>
          <w:spacing w:val="0"/>
          <w:sz w:val="32"/>
          <w:szCs w:val="32"/>
          <w:bdr w:val="none" w:color="auto" w:sz="0" w:space="0"/>
          <w:shd w:val="clear" w:fill="FFFFFF"/>
        </w:rPr>
        <w:t>2.改进情况。</w:t>
      </w:r>
      <w:r>
        <w:rPr>
          <w:rFonts w:hint="eastAsia" w:ascii="仿宋" w:hAnsi="仿宋" w:eastAsia="仿宋" w:cs="仿宋"/>
          <w:i w:val="0"/>
          <w:caps w:val="0"/>
          <w:color w:val="auto"/>
          <w:spacing w:val="0"/>
          <w:sz w:val="32"/>
          <w:szCs w:val="32"/>
          <w:bdr w:val="none" w:color="auto" w:sz="0" w:space="0"/>
          <w:shd w:val="clear" w:fill="FFFFFF"/>
        </w:rPr>
        <w:t>一是强化公开意识，提高公开效率。根据政策文件和上级有关政府信息公开工作的部署和要求，严格落实政府信息公开工作，提升全体工作人员主动公开的意识和能力，规范、积极、高效完成各项公开工作。二是拓宽公开广度，增强公开力度。依据相关条例不断提升公开的广度和深度，增加公开的强度和力度，确保政府信息公开工作高质量落实。三</w:t>
      </w:r>
      <w:r>
        <w:rPr>
          <w:rFonts w:hint="eastAsia" w:ascii="仿宋" w:hAnsi="仿宋" w:eastAsia="仿宋" w:cs="仿宋"/>
          <w:i w:val="0"/>
          <w:caps w:val="0"/>
          <w:color w:val="auto"/>
          <w:spacing w:val="0"/>
          <w:sz w:val="32"/>
          <w:szCs w:val="32"/>
          <w:shd w:val="clear" w:fill="FFFFFF"/>
        </w:rPr>
        <w:t>是推动政务公开规范化建设，加大互动交流平台打造。</w:t>
      </w:r>
      <w:r>
        <w:rPr>
          <w:rFonts w:hint="eastAsia" w:ascii="仿宋" w:hAnsi="仿宋" w:eastAsia="仿宋" w:cs="仿宋"/>
          <w:i w:val="0"/>
          <w:caps w:val="0"/>
          <w:color w:val="auto"/>
          <w:spacing w:val="0"/>
          <w:sz w:val="32"/>
          <w:szCs w:val="32"/>
          <w:bdr w:val="none" w:color="auto" w:sz="0" w:space="0"/>
          <w:shd w:val="clear" w:fill="FFFFFF"/>
        </w:rPr>
        <w:t>持续优化平台和栏目建设，进一步增加视频等适应时代发展、满足群众需求的公开形式。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default" w:ascii="仿宋体" w:hAnsi="仿宋体" w:cs="仿宋体"/>
          <w:sz w:val="24"/>
          <w:szCs w:val="24"/>
        </w:rPr>
      </w:pPr>
      <w:r>
        <w:rPr>
          <w:rFonts w:hint="eastAsia" w:ascii="黑体" w:hAnsi="宋体" w:eastAsia="黑体" w:cs="黑体"/>
          <w:i w:val="0"/>
          <w:caps w:val="0"/>
          <w:color w:val="000000"/>
          <w:spacing w:val="0"/>
          <w:sz w:val="32"/>
          <w:szCs w:val="32"/>
          <w:bdr w:val="none" w:color="auto" w:sz="0" w:space="0"/>
          <w:shd w:val="clear" w:fill="FFFFFF"/>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default" w:ascii="仿宋体" w:hAnsi="仿宋体" w:cs="仿宋体"/>
          <w:sz w:val="24"/>
          <w:szCs w:val="24"/>
        </w:rPr>
      </w:pPr>
      <w:r>
        <w:rPr>
          <w:rFonts w:hint="eastAsia" w:ascii="楷体" w:hAnsi="楷体" w:eastAsia="楷体" w:cs="楷体"/>
          <w:i w:val="0"/>
          <w:caps w:val="0"/>
          <w:color w:val="000000"/>
          <w:spacing w:val="0"/>
          <w:sz w:val="32"/>
          <w:szCs w:val="32"/>
          <w:bdr w:val="none" w:color="auto" w:sz="0" w:space="0"/>
          <w:shd w:val="clear" w:fill="FFFFFF"/>
        </w:rPr>
        <w:t>（一）收取信息处理费情况。</w:t>
      </w:r>
      <w:r>
        <w:rPr>
          <w:rFonts w:hint="eastAsia" w:ascii="仿宋" w:hAnsi="仿宋" w:eastAsia="仿宋" w:cs="仿宋"/>
          <w:i w:val="0"/>
          <w:caps w:val="0"/>
          <w:color w:val="000000"/>
          <w:spacing w:val="0"/>
          <w:sz w:val="32"/>
          <w:szCs w:val="32"/>
          <w:bdr w:val="none" w:color="auto" w:sz="0" w:space="0"/>
          <w:shd w:val="clear" w:fill="FFFFFF"/>
        </w:rPr>
        <w:t>本年度未有收取信息处理费情况。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default" w:ascii="仿宋体" w:hAnsi="仿宋体" w:cs="仿宋体"/>
          <w:sz w:val="24"/>
          <w:szCs w:val="24"/>
        </w:rPr>
      </w:pPr>
      <w:r>
        <w:rPr>
          <w:rFonts w:hint="eastAsia" w:ascii="楷体" w:hAnsi="楷体" w:eastAsia="楷体" w:cs="楷体"/>
          <w:i w:val="0"/>
          <w:caps w:val="0"/>
          <w:color w:val="000000"/>
          <w:spacing w:val="0"/>
          <w:sz w:val="32"/>
          <w:szCs w:val="32"/>
          <w:bdr w:val="none" w:color="auto" w:sz="0" w:space="0"/>
          <w:shd w:val="clear" w:fill="FFFFFF"/>
        </w:rPr>
        <w:t>（二）建议提案办理公开情况。</w:t>
      </w:r>
      <w:r>
        <w:rPr>
          <w:rFonts w:hint="eastAsia" w:ascii="仿宋" w:hAnsi="仿宋" w:eastAsia="仿宋" w:cs="仿宋"/>
          <w:i w:val="0"/>
          <w:caps w:val="0"/>
          <w:color w:val="000000"/>
          <w:spacing w:val="0"/>
          <w:sz w:val="32"/>
          <w:szCs w:val="32"/>
          <w:shd w:val="clear" w:fill="FFFFFF"/>
        </w:rPr>
        <w:t>2022年区综合行政执法局共收到区十九届人大一次会议38号、46号、61号、78号、94号5项建议，区政协十一届一次会议8号、44号2项提案。对收到的全部建议提案区综合行政执法局进行了认真办理，办结率100%、满意率100%，并及时公开办理情况报告，接受社会监督。</w:t>
      </w:r>
    </w:p>
    <w:p>
      <w:pPr>
        <w:ind w:firstLine="320" w:firstLineChars="100"/>
        <w:rPr>
          <w:rFonts w:hint="eastAsia" w:ascii="仿宋" w:hAnsi="仿宋" w:eastAsia="楷体" w:cs="仿宋"/>
          <w:i w:val="0"/>
          <w:caps w:val="0"/>
          <w:color w:val="000000"/>
          <w:spacing w:val="0"/>
          <w:sz w:val="32"/>
          <w:szCs w:val="32"/>
          <w:bdr w:val="none" w:color="auto" w:sz="0" w:space="0"/>
          <w:shd w:val="clear" w:fill="FFFFFF"/>
          <w:lang w:eastAsia="zh-CN"/>
        </w:rPr>
      </w:pPr>
      <w:r>
        <w:rPr>
          <w:rFonts w:ascii="楷体" w:hAnsi="楷体" w:eastAsia="楷体" w:cs="楷体"/>
          <w:i w:val="0"/>
          <w:caps w:val="0"/>
          <w:color w:val="000000"/>
          <w:spacing w:val="0"/>
          <w:sz w:val="32"/>
          <w:szCs w:val="32"/>
          <w:bdr w:val="none" w:color="auto" w:sz="0" w:space="0"/>
          <w:shd w:val="clear" w:fill="FFFFFF"/>
        </w:rPr>
        <w:t>（三）年度工作要点落实情况。</w:t>
      </w:r>
      <w:r>
        <w:rPr>
          <w:rFonts w:hint="eastAsia" w:ascii="仿宋" w:hAnsi="仿宋" w:eastAsia="仿宋" w:cs="仿宋"/>
          <w:i w:val="0"/>
          <w:caps w:val="0"/>
          <w:color w:val="000000"/>
          <w:spacing w:val="0"/>
          <w:kern w:val="0"/>
          <w:sz w:val="32"/>
          <w:szCs w:val="32"/>
          <w:shd w:val="clear" w:fill="FFFFFF"/>
          <w:lang w:val="en-US" w:eastAsia="zh-CN" w:bidi="ar"/>
        </w:rPr>
        <w:t>及时准确回复政府信息公开申请，做好各平台答复工作；深入推进决策和执行公开，</w:t>
      </w:r>
      <w:r>
        <w:rPr>
          <w:rFonts w:hint="eastAsia" w:ascii="仿宋" w:hAnsi="仿宋" w:eastAsia="仿宋" w:cs="仿宋"/>
          <w:i w:val="0"/>
          <w:caps w:val="0"/>
          <w:color w:val="000000"/>
          <w:spacing w:val="0"/>
          <w:kern w:val="0"/>
          <w:sz w:val="32"/>
          <w:szCs w:val="32"/>
          <w:shd w:val="clear" w:fill="FFFFFF"/>
          <w:lang w:val="en-US" w:eastAsia="zh-CN" w:bidi="ar"/>
        </w:rPr>
        <w:t>重点工作进展情况随时发布；深化重点领域信息公开，做到行政执法信息公开透明；完善公开制度规范，加强公开平台建设。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20"/>
        <w:rPr>
          <w:rFonts w:hint="eastAsia" w:ascii="仿宋" w:hAnsi="仿宋" w:eastAsia="仿宋" w:cs="仿宋"/>
          <w:i w:val="0"/>
          <w:caps w:val="0"/>
          <w:color w:val="000000"/>
          <w:spacing w:val="0"/>
          <w:sz w:val="32"/>
          <w:szCs w:val="32"/>
          <w:shd w:val="clear" w:fill="FFFFFF"/>
          <w:lang w:val="en-US" w:eastAsia="zh-CN"/>
        </w:rPr>
      </w:pPr>
      <w:r>
        <w:rPr>
          <w:rFonts w:hint="eastAsia" w:ascii="楷体" w:hAnsi="楷体" w:eastAsia="楷体" w:cstheme="minorBidi"/>
          <w:color w:val="000000"/>
          <w:kern w:val="2"/>
          <w:sz w:val="32"/>
          <w:szCs w:val="32"/>
          <w:lang w:val="en-US" w:eastAsia="zh-CN" w:bidi="ar-SA"/>
        </w:rPr>
        <w:t>（四）政务公开工作创新情况。</w:t>
      </w:r>
      <w:r>
        <w:rPr>
          <w:rFonts w:hint="eastAsia" w:ascii="仿宋" w:hAnsi="仿宋" w:eastAsia="仿宋" w:cs="仿宋"/>
          <w:i w:val="0"/>
          <w:caps w:val="0"/>
          <w:color w:val="000000"/>
          <w:spacing w:val="0"/>
          <w:sz w:val="32"/>
          <w:szCs w:val="32"/>
          <w:shd w:val="clear" w:fill="FFFFFF"/>
          <w:lang w:eastAsia="zh-CN"/>
        </w:rPr>
        <w:t>一</w:t>
      </w:r>
      <w:r>
        <w:rPr>
          <w:rFonts w:hint="eastAsia" w:ascii="仿宋" w:hAnsi="仿宋" w:eastAsia="仿宋" w:cs="仿宋"/>
          <w:i w:val="0"/>
          <w:caps w:val="0"/>
          <w:color w:val="000000"/>
          <w:spacing w:val="0"/>
          <w:sz w:val="32"/>
          <w:szCs w:val="32"/>
          <w:shd w:val="clear" w:fill="FFFFFF"/>
        </w:rPr>
        <w:t>是</w:t>
      </w:r>
      <w:r>
        <w:rPr>
          <w:rFonts w:hint="eastAsia" w:ascii="仿宋" w:hAnsi="仿宋" w:eastAsia="仿宋" w:cs="仿宋"/>
          <w:i w:val="0"/>
          <w:caps w:val="0"/>
          <w:color w:val="000000"/>
          <w:spacing w:val="0"/>
          <w:sz w:val="32"/>
          <w:szCs w:val="32"/>
          <w:shd w:val="clear" w:fill="FFFFFF"/>
          <w:lang w:eastAsia="zh-CN"/>
        </w:rPr>
        <w:t>开展政府开放日等活动，政务公开线上线下相结合，畅通沟通渠道</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eastAsia="zh-CN"/>
        </w:rPr>
        <w:t>二</w:t>
      </w:r>
      <w:r>
        <w:rPr>
          <w:rFonts w:hint="eastAsia" w:ascii="仿宋" w:hAnsi="仿宋" w:eastAsia="仿宋" w:cs="仿宋"/>
          <w:i w:val="0"/>
          <w:caps w:val="0"/>
          <w:color w:val="000000"/>
          <w:spacing w:val="0"/>
          <w:sz w:val="32"/>
          <w:szCs w:val="32"/>
          <w:shd w:val="clear" w:fill="FFFFFF"/>
        </w:rPr>
        <w:t>是</w:t>
      </w:r>
      <w:r>
        <w:rPr>
          <w:rFonts w:hint="eastAsia" w:ascii="仿宋" w:hAnsi="仿宋" w:eastAsia="仿宋" w:cs="仿宋"/>
          <w:i w:val="0"/>
          <w:caps w:val="0"/>
          <w:color w:val="000000"/>
          <w:spacing w:val="0"/>
          <w:sz w:val="32"/>
          <w:szCs w:val="32"/>
          <w:shd w:val="clear" w:fill="FFFFFF"/>
          <w:lang w:eastAsia="zh-CN"/>
        </w:rPr>
        <w:t>与</w:t>
      </w:r>
      <w:r>
        <w:rPr>
          <w:rFonts w:hint="eastAsia" w:ascii="仿宋" w:hAnsi="仿宋" w:eastAsia="仿宋" w:cs="仿宋"/>
          <w:i w:val="0"/>
          <w:caps w:val="0"/>
          <w:color w:val="000000"/>
          <w:spacing w:val="0"/>
          <w:sz w:val="32"/>
          <w:szCs w:val="32"/>
          <w:shd w:val="clear" w:fill="FFFFFF"/>
        </w:rPr>
        <w:t>电视台、报社等新闻媒体</w:t>
      </w:r>
      <w:r>
        <w:rPr>
          <w:rFonts w:hint="eastAsia" w:ascii="仿宋" w:hAnsi="仿宋" w:eastAsia="仿宋" w:cs="仿宋"/>
          <w:i w:val="0"/>
          <w:caps w:val="0"/>
          <w:color w:val="000000"/>
          <w:spacing w:val="0"/>
          <w:sz w:val="32"/>
          <w:szCs w:val="32"/>
          <w:shd w:val="clear" w:fill="FFFFFF"/>
          <w:lang w:eastAsia="zh-CN"/>
        </w:rPr>
        <w:t>合作推出城市管理专题栏目向社会公开我局中心工作和交办工作情况及成效，坚持政务公开常态化，创新公开形式，进一步加强信息公开制度建设和执行力度。</w:t>
      </w:r>
    </w:p>
    <w:p>
      <w:pPr>
        <w:ind w:firstLine="320" w:firstLineChars="100"/>
        <w:rPr>
          <w:rFonts w:hint="eastAsia" w:ascii="仿宋" w:hAnsi="仿宋" w:eastAsia="仿宋" w:cs="仿宋"/>
          <w:i w:val="0"/>
          <w:caps w:val="0"/>
          <w:color w:val="000000"/>
          <w:spacing w:val="0"/>
          <w:sz w:val="32"/>
          <w:szCs w:val="32"/>
          <w:bdr w:val="none" w:color="auto" w:sz="0" w:space="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体">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B55514"/>
    <w:rsid w:val="13CF7F81"/>
    <w:rsid w:val="293E0ACC"/>
    <w:rsid w:val="2BB83B7F"/>
    <w:rsid w:val="2C26788E"/>
    <w:rsid w:val="2E9B67FD"/>
    <w:rsid w:val="36942978"/>
    <w:rsid w:val="3BDA4998"/>
    <w:rsid w:val="40503676"/>
    <w:rsid w:val="408E71AE"/>
    <w:rsid w:val="4278191A"/>
    <w:rsid w:val="495F7769"/>
    <w:rsid w:val="4A675DB7"/>
    <w:rsid w:val="50411B35"/>
    <w:rsid w:val="5C2E5EE0"/>
    <w:rsid w:val="612D50F6"/>
    <w:rsid w:val="7023544C"/>
    <w:rsid w:val="71EE37A2"/>
    <w:rsid w:val="78EB388B"/>
    <w:rsid w:val="7FB46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2023-01-16T00:59:32Z</dcterms:created>
  <dc:creator>Administrator</dc:creator>
  <cp:lastModifiedBy>Ryan</cp:lastModifiedBy>
  <dcterms:modified xsi:type="dcterms:W3CDTF">2023-01-18T07:58:25Z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