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临淄区朱台镇</w:t>
      </w:r>
    </w:p>
    <w:p>
      <w:pPr>
        <w:keepNext w:val="0"/>
        <w:keepLines w:val="0"/>
        <w:pageBreakBefore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2021年政府信息公开工作年度报告</w:t>
      </w:r>
    </w:p>
    <w:p>
      <w:pPr>
        <w:keepNext w:val="0"/>
        <w:keepLines w:val="0"/>
        <w:pageBreakBefore w:val="0"/>
        <w:kinsoku/>
        <w:wordWrap/>
        <w:overflowPunct/>
        <w:topLinePunct w:val="0"/>
        <w:bidi w:val="0"/>
        <w:adjustRightInd/>
        <w:snapToGrid/>
        <w:spacing w:beforeAutospacing="0" w:afterAutospacing="0"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报告按照《国务院办公厅政府信息与政务公开办公室关于印发〈中华人民共和国政府信息公开工作年度报告格式〉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2021年1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日到</w:t>
      </w:r>
      <w:r>
        <w:rPr>
          <w:rFonts w:hint="eastAsia" w:ascii="Times New Roman" w:hAnsi="Times New Roman" w:eastAsia="仿宋_GB2312" w:cs="Times New Roman"/>
          <w:sz w:val="32"/>
          <w:szCs w:val="32"/>
          <w:lang w:val="en-US" w:eastAsia="zh-CN"/>
        </w:rPr>
        <w:t>2021年</w:t>
      </w:r>
      <w:r>
        <w:rPr>
          <w:rFonts w:hint="default" w:ascii="Times New Roman" w:hAnsi="Times New Roman" w:eastAsia="仿宋_GB2312" w:cs="Times New Roman"/>
          <w:sz w:val="32"/>
          <w:szCs w:val="32"/>
          <w:lang w:val="en-US" w:eastAsia="zh-CN"/>
        </w:rPr>
        <w:t>12月31日止。</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一、总体情况</w:t>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1.主动公开情况：</w:t>
      </w:r>
      <w:r>
        <w:rPr>
          <w:rFonts w:hint="default" w:ascii="Times New Roman" w:hAnsi="Times New Roman" w:eastAsia="仿宋_GB2312" w:cs="Times New Roman"/>
          <w:sz w:val="32"/>
          <w:szCs w:val="32"/>
          <w:lang w:val="en-US" w:eastAsia="zh-CN"/>
        </w:rPr>
        <w:t>充分依托朱台镇人民政府门户网站这一这政务公开平台，及时公开单位机构职能、法规公文、政府会议、政府工作报告、公共资源配置、民生公益、农业农村、重要部署执行公开等十四大项内容，基本覆盖《条例》规定的应当主动公开的主要方面。在主动公开的政府信息中，通过政府公开平台公开信息67条，其中</w:t>
      </w:r>
      <w:bookmarkStart w:id="0" w:name="_GoBack"/>
      <w:bookmarkEnd w:id="0"/>
      <w:r>
        <w:rPr>
          <w:rFonts w:hint="default" w:ascii="Times New Roman" w:hAnsi="Times New Roman" w:eastAsia="仿宋_GB2312" w:cs="Times New Roman"/>
          <w:sz w:val="32"/>
          <w:szCs w:val="32"/>
          <w:lang w:val="en-US" w:eastAsia="zh-CN"/>
        </w:rPr>
        <w:t>更新政府机构职能1条，公开政策文件2份、政府会议6次、政府工作报告1份、民生公益事项2项、农业农村信息7条、重要部署执行公开5条、财政信息2条、业务工作39条、基层政务公开标准化目录1条、其他信息1条。</w:t>
      </w:r>
    </w:p>
    <w:p>
      <w:pPr>
        <w:keepNext w:val="0"/>
        <w:keepLines w:val="0"/>
        <w:pageBreakBefore w:val="0"/>
        <w:numPr>
          <w:ilvl w:val="0"/>
          <w:numId w:val="0"/>
        </w:numPr>
        <w:kinsoku/>
        <w:wordWrap/>
        <w:overflowPunct/>
        <w:topLinePunct w:val="0"/>
        <w:bidi w:val="0"/>
        <w:adjustRightInd/>
        <w:snapToGrid/>
        <w:spacing w:beforeAutospacing="0" w:afterAutospacing="0" w:line="240" w:lineRule="auto"/>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610860" cy="5326380"/>
            <wp:effectExtent l="0" t="0" r="8890" b="7620"/>
            <wp:docPr id="2" name="图片 2" descr="主动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主动公开情况"/>
                    <pic:cNvPicPr>
                      <a:picLocks noChangeAspect="1"/>
                    </pic:cNvPicPr>
                  </pic:nvPicPr>
                  <pic:blipFill>
                    <a:blip r:embed="rId4"/>
                    <a:stretch>
                      <a:fillRect/>
                    </a:stretch>
                  </pic:blipFill>
                  <pic:spPr>
                    <a:xfrm>
                      <a:off x="0" y="0"/>
                      <a:ext cx="5610860" cy="5326380"/>
                    </a:xfrm>
                    <a:prstGeom prst="rect">
                      <a:avLst/>
                    </a:prstGeom>
                  </pic:spPr>
                </pic:pic>
              </a:graphicData>
            </a:graphic>
          </wp:inline>
        </w:drawing>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val="en-US" w:eastAsia="zh-CN"/>
        </w:rPr>
        <w:t>依申请公开情况：</w:t>
      </w:r>
      <w:r>
        <w:rPr>
          <w:rFonts w:hint="default" w:ascii="Times New Roman" w:hAnsi="Times New Roman" w:eastAsia="仿宋_GB2312" w:cs="Times New Roman"/>
          <w:sz w:val="32"/>
          <w:szCs w:val="32"/>
          <w:lang w:val="en-US" w:eastAsia="zh-CN"/>
        </w:rPr>
        <w:t>2021年以来，我镇未收到依申请公开事项</w:t>
      </w:r>
      <w:r>
        <w:rPr>
          <w:rFonts w:hint="eastAsia" w:ascii="Times New Roman" w:hAnsi="Times New Roman" w:eastAsia="仿宋_GB2312" w:cs="Times New Roman"/>
          <w:sz w:val="32"/>
          <w:szCs w:val="32"/>
          <w:lang w:val="en-US" w:eastAsia="zh-CN"/>
        </w:rPr>
        <w:t>，并于2021年年底更新了《朱台镇人民政府信息公开指南》，规范了依申请公开申请接收渠道、明确了申请注意事项以及</w:t>
      </w:r>
      <w:r>
        <w:rPr>
          <w:rFonts w:hint="default" w:ascii="Times New Roman" w:hAnsi="Times New Roman" w:eastAsia="仿宋_GB2312" w:cs="Times New Roman"/>
          <w:sz w:val="32"/>
          <w:szCs w:val="32"/>
          <w:lang w:val="en-US" w:eastAsia="zh-CN"/>
        </w:rPr>
        <w:t>申请处理</w:t>
      </w:r>
      <w:r>
        <w:rPr>
          <w:rFonts w:hint="eastAsia" w:ascii="Times New Roman" w:hAnsi="Times New Roman" w:eastAsia="仿宋_GB2312" w:cs="Times New Roman"/>
          <w:sz w:val="32"/>
          <w:szCs w:val="32"/>
          <w:lang w:val="en-US" w:eastAsia="zh-CN"/>
        </w:rPr>
        <w:t>流程，自觉接受群众、法人和其他组织的监督。</w:t>
      </w:r>
    </w:p>
    <w:p>
      <w:pPr>
        <w:keepNext w:val="0"/>
        <w:keepLines w:val="0"/>
        <w:pageBreakBefore w:val="0"/>
        <w:numPr>
          <w:ilvl w:val="0"/>
          <w:numId w:val="0"/>
        </w:numPr>
        <w:kinsoku/>
        <w:wordWrap/>
        <w:overflowPunct/>
        <w:topLinePunct w:val="0"/>
        <w:bidi w:val="0"/>
        <w:adjustRightInd/>
        <w:snapToGrid/>
        <w:spacing w:beforeAutospacing="0" w:afterAutospacing="0" w:line="240" w:lineRule="auto"/>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609590" cy="5775960"/>
            <wp:effectExtent l="0" t="0" r="10160" b="15240"/>
            <wp:docPr id="1" name="图片 1" descr="依申请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依申请公开情况"/>
                    <pic:cNvPicPr>
                      <a:picLocks noChangeAspect="1"/>
                    </pic:cNvPicPr>
                  </pic:nvPicPr>
                  <pic:blipFill>
                    <a:blip r:embed="rId5"/>
                    <a:stretch>
                      <a:fillRect/>
                    </a:stretch>
                  </pic:blipFill>
                  <pic:spPr>
                    <a:xfrm>
                      <a:off x="0" y="0"/>
                      <a:ext cx="5609590" cy="5775960"/>
                    </a:xfrm>
                    <a:prstGeom prst="rect">
                      <a:avLst/>
                    </a:prstGeom>
                  </pic:spPr>
                </pic:pic>
              </a:graphicData>
            </a:graphic>
          </wp:inline>
        </w:drawing>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3.政府信息管理：</w:t>
      </w:r>
      <w:r>
        <w:rPr>
          <w:rFonts w:hint="default" w:ascii="Times New Roman" w:hAnsi="Times New Roman" w:eastAsia="仿宋_GB2312" w:cs="Times New Roman"/>
          <w:sz w:val="32"/>
          <w:szCs w:val="32"/>
          <w:lang w:val="en-US" w:eastAsia="zh-CN"/>
        </w:rPr>
        <w:t>我镇依照《中华人民共和国政府信息公开条例》，按照政府门户网站栏目分类进行信息公布；严格做好法规文件的公开管理，按照政策文件、规范性文件和其他文件进行分类发布，发布前严格审核手续，保证文件发布质量；按照重点工作推进情况及时做好信息发布，确保20个工作日内完成公开。</w:t>
      </w:r>
    </w:p>
    <w:p>
      <w:pPr>
        <w:keepNext w:val="0"/>
        <w:keepLines w:val="0"/>
        <w:pageBreakBefore w:val="0"/>
        <w:numPr>
          <w:ilvl w:val="0"/>
          <w:numId w:val="0"/>
        </w:numPr>
        <w:kinsoku/>
        <w:wordWrap/>
        <w:overflowPunct/>
        <w:topLinePunct w:val="0"/>
        <w:bidi w:val="0"/>
        <w:adjustRightInd/>
        <w:snapToGrid/>
        <w:spacing w:beforeAutospacing="0" w:afterAutospacing="0" w:line="240" w:lineRule="auto"/>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drawing>
          <wp:inline distT="0" distB="0" distL="114300" distR="114300">
            <wp:extent cx="5610860" cy="3336290"/>
            <wp:effectExtent l="0" t="0" r="8890" b="16510"/>
            <wp:docPr id="3" name="图片 3" descr="分类公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分类公开"/>
                    <pic:cNvPicPr>
                      <a:picLocks noChangeAspect="1"/>
                    </pic:cNvPicPr>
                  </pic:nvPicPr>
                  <pic:blipFill>
                    <a:blip r:embed="rId6"/>
                    <a:stretch>
                      <a:fillRect/>
                    </a:stretch>
                  </pic:blipFill>
                  <pic:spPr>
                    <a:xfrm>
                      <a:off x="0" y="0"/>
                      <a:ext cx="5610860" cy="3336290"/>
                    </a:xfrm>
                    <a:prstGeom prst="rect">
                      <a:avLst/>
                    </a:prstGeom>
                  </pic:spPr>
                </pic:pic>
              </a:graphicData>
            </a:graphic>
          </wp:inline>
        </w:drawing>
      </w:r>
    </w:p>
    <w:p>
      <w:pPr>
        <w:keepNext w:val="0"/>
        <w:keepLines w:val="0"/>
        <w:pageBreakBefore w:val="0"/>
        <w:numPr>
          <w:ilvl w:val="0"/>
          <w:numId w:val="0"/>
        </w:numPr>
        <w:kinsoku/>
        <w:wordWrap/>
        <w:overflowPunct/>
        <w:topLinePunct w:val="0"/>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lang w:val="en-US" w:eastAsia="zh-CN"/>
        </w:rPr>
        <w:t>政府信息公开平台建设：</w:t>
      </w:r>
      <w:r>
        <w:rPr>
          <w:rFonts w:hint="eastAsia" w:ascii="Times New Roman" w:hAnsi="Times New Roman" w:eastAsia="仿宋_GB2312" w:cs="Times New Roman"/>
          <w:sz w:val="32"/>
          <w:szCs w:val="32"/>
          <w:lang w:val="en-US" w:eastAsia="zh-CN"/>
        </w:rPr>
        <w:t>我镇始终以政务信息门户网站为政府信息公开主要阵地，同时</w:t>
      </w:r>
      <w:r>
        <w:rPr>
          <w:rFonts w:hint="default" w:ascii="Times New Roman" w:hAnsi="Times New Roman" w:eastAsia="仿宋_GB2312" w:cs="Times New Roman"/>
          <w:sz w:val="32"/>
          <w:szCs w:val="32"/>
          <w:lang w:val="en-US" w:eastAsia="zh-CN"/>
        </w:rPr>
        <w:t>为加强政府信息公开力度，我镇将政府网站与“富美朱台”微信公众号进行绑定，通过“富美朱台”微信公众号直达政府门户网站查看公开内容，同时线下政府信息公开查阅场所为淄博市临淄区朱台镇人民政府党政办公室，为群众信息查询公开信息提供了多样化渠道；同时在微信公众号同时进行信息更新，群众可通过搜索关键词查询公开信息，增加群众查询的便捷程度。</w:t>
      </w:r>
    </w:p>
    <w:p>
      <w:pPr>
        <w:keepNext w:val="0"/>
        <w:keepLines w:val="0"/>
        <w:pageBreakBefore w:val="0"/>
        <w:numPr>
          <w:ilvl w:val="0"/>
          <w:numId w:val="0"/>
        </w:numPr>
        <w:kinsoku/>
        <w:wordWrap/>
        <w:overflowPunct/>
        <w:topLinePunct w:val="0"/>
        <w:bidi w:val="0"/>
        <w:adjustRightInd/>
        <w:snapToGrid/>
        <w:spacing w:beforeAutospacing="0" w:afterAutospacing="0" w:line="240" w:lineRule="auto"/>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172075" cy="3822065"/>
            <wp:effectExtent l="0" t="0" r="9525" b="6985"/>
            <wp:docPr id="4" name="图片 4" descr="朱台镇政府信息公开主阵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朱台镇政府信息公开主阵地"/>
                    <pic:cNvPicPr>
                      <a:picLocks noChangeAspect="1"/>
                    </pic:cNvPicPr>
                  </pic:nvPicPr>
                  <pic:blipFill>
                    <a:blip r:embed="rId7"/>
                    <a:stretch>
                      <a:fillRect/>
                    </a:stretch>
                  </pic:blipFill>
                  <pic:spPr>
                    <a:xfrm>
                      <a:off x="0" y="0"/>
                      <a:ext cx="5172075" cy="382206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朱台镇政府信息公开主阵地</w:t>
      </w:r>
    </w:p>
    <w:p>
      <w:pPr>
        <w:keepNext w:val="0"/>
        <w:keepLines w:val="0"/>
        <w:pageBreakBefore w:val="0"/>
        <w:numPr>
          <w:ilvl w:val="0"/>
          <w:numId w:val="0"/>
        </w:numPr>
        <w:kinsoku/>
        <w:wordWrap/>
        <w:overflowPunct/>
        <w:topLinePunct w:val="0"/>
        <w:bidi w:val="0"/>
        <w:adjustRightInd/>
        <w:snapToGrid/>
        <w:spacing w:beforeAutospacing="0" w:afterAutospacing="0" w:line="240" w:lineRule="auto"/>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drawing>
          <wp:inline distT="0" distB="0" distL="114300" distR="114300">
            <wp:extent cx="3641725" cy="4702810"/>
            <wp:effectExtent l="0" t="0" r="15875" b="2540"/>
            <wp:docPr id="5" name="图片 5" descr="“富美朱台”微信公众号与政务信息门户网站互联互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富美朱台”微信公众号与政务信息门户网站互联互通"/>
                    <pic:cNvPicPr>
                      <a:picLocks noChangeAspect="1"/>
                    </pic:cNvPicPr>
                  </pic:nvPicPr>
                  <pic:blipFill>
                    <a:blip r:embed="rId8"/>
                    <a:stretch>
                      <a:fillRect/>
                    </a:stretch>
                  </pic:blipFill>
                  <pic:spPr>
                    <a:xfrm>
                      <a:off x="0" y="0"/>
                      <a:ext cx="3641725" cy="470281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“富美朱台”微信公众号与政务信息门户网站互联互通</w:t>
      </w:r>
    </w:p>
    <w:p>
      <w:pPr>
        <w:pStyle w:val="2"/>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645"/>
        <w:textAlignment w:val="auto"/>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楷体_GB2312" w:cs="Times New Roman"/>
          <w:kern w:val="2"/>
          <w:sz w:val="32"/>
          <w:szCs w:val="32"/>
          <w:lang w:val="en-US" w:eastAsia="zh-CN" w:bidi="ar-SA"/>
        </w:rPr>
        <w:t>5.监督保障情况：</w:t>
      </w:r>
      <w:r>
        <w:rPr>
          <w:rFonts w:hint="default" w:ascii="Times New Roman" w:hAnsi="Times New Roman" w:eastAsia="仿宋_GB2312" w:cs="Times New Roman"/>
          <w:sz w:val="32"/>
          <w:szCs w:val="32"/>
          <w:lang w:val="en-US" w:eastAsia="zh-CN"/>
        </w:rPr>
        <w:t>我镇自觉接受公民、法人或其他组织的监督，接受临淄区政府办的监督与指导；为保障政府信息公开工作有序推进，我镇根据人员分工及时调整充实了</w:t>
      </w:r>
      <w:r>
        <w:rPr>
          <w:rFonts w:hint="default" w:ascii="Times New Roman" w:hAnsi="Times New Roman" w:eastAsia="仿宋_GB2312" w:cs="Times New Roman"/>
          <w:i w:val="0"/>
          <w:iCs w:val="0"/>
          <w:caps w:val="0"/>
          <w:color w:val="000000"/>
          <w:spacing w:val="0"/>
          <w:sz w:val="32"/>
          <w:szCs w:val="32"/>
          <w:shd w:val="clear" w:fill="FFFFFF"/>
        </w:rPr>
        <w:t>政府信息公开工作领导小组成员，</w:t>
      </w:r>
      <w:r>
        <w:rPr>
          <w:rFonts w:hint="default" w:ascii="Times New Roman" w:hAnsi="Times New Roman" w:eastAsia="仿宋_GB2312" w:cs="Times New Roman"/>
          <w:i w:val="0"/>
          <w:iCs w:val="0"/>
          <w:caps w:val="0"/>
          <w:color w:val="000000"/>
          <w:spacing w:val="0"/>
          <w:sz w:val="32"/>
          <w:szCs w:val="32"/>
          <w:shd w:val="clear" w:fill="FFFFFF"/>
          <w:lang w:eastAsia="zh-CN"/>
        </w:rPr>
        <w:t>配备了专职工作人员</w:t>
      </w:r>
      <w:r>
        <w:rPr>
          <w:rFonts w:hint="default" w:ascii="Times New Roman" w:hAnsi="Times New Roman" w:eastAsia="仿宋_GB2312" w:cs="Times New Roman"/>
          <w:i w:val="0"/>
          <w:iCs w:val="0"/>
          <w:caps w:val="0"/>
          <w:color w:val="000000"/>
          <w:spacing w:val="0"/>
          <w:sz w:val="32"/>
          <w:szCs w:val="32"/>
          <w:shd w:val="clear" w:fill="FFFFFF"/>
          <w:lang w:val="en-US" w:eastAsia="zh-CN"/>
        </w:rPr>
        <w:t>2名，形成了</w:t>
      </w:r>
      <w:r>
        <w:rPr>
          <w:rFonts w:hint="default" w:ascii="Times New Roman" w:hAnsi="Times New Roman" w:eastAsia="仿宋_GB2312" w:cs="Times New Roman"/>
          <w:i w:val="0"/>
          <w:iCs w:val="0"/>
          <w:caps w:val="0"/>
          <w:color w:val="000000"/>
          <w:spacing w:val="0"/>
          <w:sz w:val="32"/>
          <w:szCs w:val="32"/>
          <w:shd w:val="clear" w:fill="FFFFFF"/>
        </w:rPr>
        <w:t>分管领导亲自抓</w:t>
      </w:r>
      <w:r>
        <w:rPr>
          <w:rFonts w:hint="default" w:ascii="Times New Roman" w:hAnsi="Times New Roman" w:eastAsia="仿宋_GB2312" w:cs="Times New Roman"/>
          <w:i w:val="0"/>
          <w:iCs w:val="0"/>
          <w:caps w:val="0"/>
          <w:color w:val="000000"/>
          <w:spacing w:val="0"/>
          <w:sz w:val="32"/>
          <w:szCs w:val="32"/>
          <w:shd w:val="clear" w:fill="FFFFFF"/>
          <w:lang w:eastAsia="zh-CN"/>
        </w:rPr>
        <w:t>、工作人员抓落实的工作格局</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层层压实责任</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i w:val="0"/>
          <w:iCs w:val="0"/>
          <w:caps w:val="0"/>
          <w:color w:val="000000"/>
          <w:spacing w:val="0"/>
          <w:sz w:val="32"/>
          <w:szCs w:val="32"/>
          <w:shd w:val="clear" w:fill="FFFFFF"/>
          <w:lang w:eastAsia="zh-CN"/>
        </w:rPr>
        <w:t>有效</w:t>
      </w:r>
      <w:r>
        <w:rPr>
          <w:rFonts w:hint="default" w:ascii="Times New Roman" w:hAnsi="Times New Roman" w:eastAsia="仿宋_GB2312" w:cs="Times New Roman"/>
          <w:i w:val="0"/>
          <w:iCs w:val="0"/>
          <w:caps w:val="0"/>
          <w:color w:val="000000"/>
          <w:spacing w:val="0"/>
          <w:sz w:val="32"/>
          <w:szCs w:val="32"/>
          <w:shd w:val="clear" w:fill="FFFFFF"/>
          <w:lang w:eastAsia="zh-CN"/>
        </w:rPr>
        <w:t>协调政府信息公开事项；</w:t>
      </w:r>
      <w:r>
        <w:rPr>
          <w:rFonts w:hint="default" w:ascii="Times New Roman" w:hAnsi="Times New Roman" w:eastAsia="仿宋_GB2312" w:cs="Times New Roman"/>
          <w:i w:val="0"/>
          <w:iCs w:val="0"/>
          <w:caps w:val="0"/>
          <w:color w:val="000000"/>
          <w:spacing w:val="0"/>
          <w:sz w:val="32"/>
          <w:szCs w:val="32"/>
          <w:shd w:val="clear" w:fill="FFFFFF"/>
          <w:lang w:val="en-US" w:eastAsia="zh-CN"/>
        </w:rPr>
        <w:t>2021年以来，我镇政府信息公开工作人员接受区级培训2次以上，机关干部集体学习政府信息公开要求，进一步提升各委办对政府信息公开的重视程度。</w:t>
      </w:r>
    </w:p>
    <w:p>
      <w:pPr>
        <w:pStyle w:val="2"/>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645"/>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二、主动公开政府信息情况</w:t>
      </w:r>
    </w:p>
    <w:tbl>
      <w:tblPr>
        <w:tblStyle w:val="7"/>
        <w:tblW w:w="8554" w:type="dxa"/>
        <w:jc w:val="center"/>
        <w:tblLayout w:type="fixed"/>
        <w:tblCellMar>
          <w:top w:w="0" w:type="dxa"/>
          <w:left w:w="0" w:type="dxa"/>
          <w:bottom w:w="0" w:type="dxa"/>
          <w:right w:w="0" w:type="dxa"/>
        </w:tblCellMar>
      </w:tblPr>
      <w:tblGrid>
        <w:gridCol w:w="3284"/>
        <w:gridCol w:w="1686"/>
        <w:gridCol w:w="1803"/>
        <w:gridCol w:w="1781"/>
      </w:tblGrid>
      <w:tr>
        <w:tblPrEx>
          <w:tblCellMar>
            <w:top w:w="0" w:type="dxa"/>
            <w:left w:w="0" w:type="dxa"/>
            <w:bottom w:w="0" w:type="dxa"/>
            <w:right w:w="0" w:type="dxa"/>
          </w:tblCellMar>
        </w:tblPrEx>
        <w:trPr>
          <w:trHeight w:val="621" w:hRule="exact"/>
          <w:jc w:val="center"/>
        </w:trPr>
        <w:tc>
          <w:tcPr>
            <w:tcW w:w="855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第二十条</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第 （一） 项</w:t>
            </w:r>
          </w:p>
        </w:tc>
      </w:tr>
      <w:tr>
        <w:tblPrEx>
          <w:tblCellMar>
            <w:top w:w="0" w:type="dxa"/>
            <w:left w:w="0" w:type="dxa"/>
            <w:bottom w:w="0" w:type="dxa"/>
            <w:right w:w="0" w:type="dxa"/>
          </w:tblCellMar>
        </w:tblPrEx>
        <w:trPr>
          <w:trHeight w:val="616" w:hRule="exact"/>
          <w:jc w:val="center"/>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本年废止件数</w:t>
            </w:r>
          </w:p>
        </w:tc>
        <w:tc>
          <w:tcPr>
            <w:tcW w:w="1781" w:type="dxa"/>
            <w:tcBorders>
              <w:top w:val="single" w:color="64647C" w:sz="4" w:space="0"/>
              <w:left w:val="single" w:color="606064" w:sz="2" w:space="0"/>
              <w:bottom w:val="single" w:color="835B67" w:sz="4" w:space="0"/>
              <w:right w:val="single" w:color="3B3B44" w:sz="8" w:space="0"/>
            </w:tcBorders>
          </w:tcPr>
          <w:p>
            <w:pPr>
              <w:spacing w:before="13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现行有效件数</w:t>
            </w:r>
          </w:p>
        </w:tc>
      </w:tr>
      <w:tr>
        <w:tblPrEx>
          <w:tblCellMar>
            <w:top w:w="0" w:type="dxa"/>
            <w:left w:w="0" w:type="dxa"/>
            <w:bottom w:w="0" w:type="dxa"/>
            <w:right w:w="0" w:type="dxa"/>
          </w:tblCellMar>
        </w:tblPrEx>
        <w:trPr>
          <w:trHeight w:val="628" w:hRule="exact"/>
          <w:jc w:val="center"/>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规章</w:t>
            </w:r>
          </w:p>
        </w:tc>
        <w:tc>
          <w:tcPr>
            <w:tcW w:w="1686" w:type="dxa"/>
            <w:tcBorders>
              <w:top w:val="single" w:color="707790" w:sz="4" w:space="0"/>
              <w:left w:val="single" w:color="97979C" w:sz="4" w:space="0"/>
              <w:bottom w:val="single" w:color="747487" w:sz="4" w:space="0"/>
              <w:right w:val="single" w:color="939397" w:sz="4"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803" w:type="dxa"/>
            <w:tcBorders>
              <w:top w:val="single" w:color="835B67" w:sz="4" w:space="0"/>
              <w:left w:val="single" w:color="939397" w:sz="4" w:space="0"/>
              <w:bottom w:val="single" w:color="546080" w:sz="2" w:space="0"/>
              <w:right w:val="single" w:color="97939C" w:sz="4"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781" w:type="dxa"/>
            <w:tcBorders>
              <w:top w:val="single" w:color="835B67" w:sz="4" w:space="0"/>
              <w:left w:val="single" w:color="97939C" w:sz="4" w:space="0"/>
              <w:bottom w:val="single" w:color="74778C" w:sz="4" w:space="0"/>
              <w:right w:val="single" w:color="3B3B3F" w:sz="8"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CellMar>
            <w:top w:w="0" w:type="dxa"/>
            <w:left w:w="0" w:type="dxa"/>
            <w:bottom w:w="0" w:type="dxa"/>
            <w:right w:w="0" w:type="dxa"/>
          </w:tblCellMar>
        </w:tblPrEx>
        <w:trPr>
          <w:trHeight w:val="621" w:hRule="exact"/>
          <w:jc w:val="center"/>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803" w:type="dxa"/>
            <w:tcBorders>
              <w:top w:val="single" w:color="546080" w:sz="2" w:space="0"/>
              <w:left w:val="single" w:color="939397" w:sz="4" w:space="0"/>
              <w:bottom w:val="single" w:color="5B6080" w:sz="4" w:space="0"/>
              <w:right w:val="single" w:color="97939C" w:sz="4"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781" w:type="dxa"/>
            <w:tcBorders>
              <w:top w:val="single" w:color="74778C" w:sz="4" w:space="0"/>
              <w:left w:val="single" w:color="97939C" w:sz="4" w:space="0"/>
              <w:bottom w:val="single" w:color="5B6080" w:sz="4" w:space="0"/>
              <w:right w:val="single" w:color="3B3B3F" w:sz="8"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CellMar>
            <w:top w:w="0" w:type="dxa"/>
            <w:left w:w="0" w:type="dxa"/>
            <w:bottom w:w="0" w:type="dxa"/>
            <w:right w:w="0" w:type="dxa"/>
          </w:tblCellMar>
        </w:tblPrEx>
        <w:trPr>
          <w:trHeight w:val="621" w:hRule="exact"/>
          <w:jc w:val="center"/>
        </w:trPr>
        <w:tc>
          <w:tcPr>
            <w:tcW w:w="855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第二十条</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第 （五） 项</w:t>
            </w:r>
          </w:p>
        </w:tc>
      </w:tr>
      <w:tr>
        <w:tblPrEx>
          <w:tblCellMar>
            <w:top w:w="0" w:type="dxa"/>
            <w:left w:w="0" w:type="dxa"/>
            <w:bottom w:w="0" w:type="dxa"/>
            <w:right w:w="0" w:type="dxa"/>
          </w:tblCellMar>
        </w:tblPrEx>
        <w:trPr>
          <w:trHeight w:val="621" w:hRule="exact"/>
          <w:jc w:val="center"/>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信息内容</w:t>
            </w:r>
          </w:p>
        </w:tc>
        <w:tc>
          <w:tcPr>
            <w:tcW w:w="527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本年处理决定数量</w:t>
            </w:r>
          </w:p>
        </w:tc>
      </w:tr>
      <w:tr>
        <w:tblPrEx>
          <w:tblCellMar>
            <w:top w:w="0" w:type="dxa"/>
            <w:left w:w="0" w:type="dxa"/>
            <w:bottom w:w="0" w:type="dxa"/>
            <w:right w:w="0" w:type="dxa"/>
          </w:tblCellMar>
        </w:tblPrEx>
        <w:trPr>
          <w:trHeight w:val="621" w:hRule="exact"/>
          <w:jc w:val="center"/>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行政许可</w:t>
            </w:r>
          </w:p>
        </w:tc>
        <w:tc>
          <w:tcPr>
            <w:tcW w:w="5270" w:type="dxa"/>
            <w:gridSpan w:val="3"/>
            <w:tcBorders>
              <w:top w:val="single" w:color="7C7474" w:sz="4" w:space="0"/>
              <w:left w:val="single" w:color="878787" w:sz="4" w:space="0"/>
              <w:bottom w:val="single" w:color="646487" w:sz="4" w:space="0"/>
              <w:right w:val="single" w:color="3B3B3F" w:sz="8"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CellMar>
            <w:top w:w="0" w:type="dxa"/>
            <w:left w:w="0" w:type="dxa"/>
            <w:bottom w:w="0" w:type="dxa"/>
            <w:right w:w="0" w:type="dxa"/>
          </w:tblCellMar>
        </w:tblPrEx>
        <w:trPr>
          <w:trHeight w:val="623" w:hRule="exact"/>
          <w:jc w:val="center"/>
        </w:trPr>
        <w:tc>
          <w:tcPr>
            <w:tcW w:w="855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第二十条</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第 （六） 项</w:t>
            </w:r>
          </w:p>
        </w:tc>
      </w:tr>
      <w:tr>
        <w:tblPrEx>
          <w:tblCellMar>
            <w:top w:w="0" w:type="dxa"/>
            <w:left w:w="0" w:type="dxa"/>
            <w:bottom w:w="0" w:type="dxa"/>
            <w:right w:w="0" w:type="dxa"/>
          </w:tblCellMar>
        </w:tblPrEx>
        <w:trPr>
          <w:trHeight w:val="627" w:hRule="exact"/>
          <w:jc w:val="center"/>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信息内容</w:t>
            </w:r>
          </w:p>
        </w:tc>
        <w:tc>
          <w:tcPr>
            <w:tcW w:w="527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本年处理决定数量</w:t>
            </w:r>
          </w:p>
        </w:tc>
      </w:tr>
      <w:tr>
        <w:tblPrEx>
          <w:tblCellMar>
            <w:top w:w="0" w:type="dxa"/>
            <w:left w:w="0" w:type="dxa"/>
            <w:bottom w:w="0" w:type="dxa"/>
            <w:right w:w="0" w:type="dxa"/>
          </w:tblCellMar>
        </w:tblPrEx>
        <w:trPr>
          <w:trHeight w:val="624" w:hRule="exact"/>
          <w:jc w:val="center"/>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行政处罚</w:t>
            </w:r>
          </w:p>
        </w:tc>
        <w:tc>
          <w:tcPr>
            <w:tcW w:w="5270" w:type="dxa"/>
            <w:gridSpan w:val="3"/>
            <w:tcBorders>
              <w:top w:val="single" w:color="747074" w:sz="4" w:space="0"/>
              <w:left w:val="single" w:color="909093" w:sz="4" w:space="0"/>
              <w:bottom w:val="single" w:color="7C6B74" w:sz="4" w:space="0"/>
              <w:right w:val="single" w:color="3B3B3F" w:sz="8"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tblPrEx>
          <w:tblCellMar>
            <w:top w:w="0" w:type="dxa"/>
            <w:left w:w="0" w:type="dxa"/>
            <w:bottom w:w="0" w:type="dxa"/>
            <w:right w:w="0" w:type="dxa"/>
          </w:tblCellMar>
        </w:tblPrEx>
        <w:trPr>
          <w:trHeight w:val="618" w:hRule="exact"/>
          <w:jc w:val="center"/>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行政强制</w:t>
            </w:r>
          </w:p>
        </w:tc>
        <w:tc>
          <w:tcPr>
            <w:tcW w:w="5270" w:type="dxa"/>
            <w:gridSpan w:val="3"/>
            <w:tcBorders>
              <w:top w:val="single" w:color="7C6B74" w:sz="4" w:space="0"/>
              <w:left w:val="single" w:color="909093" w:sz="4" w:space="0"/>
              <w:bottom w:val="single" w:color="646080" w:sz="4" w:space="0"/>
              <w:right w:val="single" w:color="3B3B3F" w:sz="8" w:space="0"/>
            </w:tcBorders>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0</w:t>
            </w:r>
          </w:p>
        </w:tc>
      </w:tr>
      <w:tr>
        <w:tblPrEx>
          <w:tblCellMar>
            <w:top w:w="0" w:type="dxa"/>
            <w:left w:w="0" w:type="dxa"/>
            <w:bottom w:w="0" w:type="dxa"/>
            <w:right w:w="0" w:type="dxa"/>
          </w:tblCellMar>
        </w:tblPrEx>
        <w:trPr>
          <w:trHeight w:val="626" w:hRule="exact"/>
          <w:jc w:val="center"/>
        </w:trPr>
        <w:tc>
          <w:tcPr>
            <w:tcW w:w="855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第二十条</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第 （八） 项</w:t>
            </w:r>
          </w:p>
        </w:tc>
      </w:tr>
      <w:tr>
        <w:tblPrEx>
          <w:tblCellMar>
            <w:top w:w="0" w:type="dxa"/>
            <w:left w:w="0" w:type="dxa"/>
            <w:bottom w:w="0" w:type="dxa"/>
            <w:right w:w="0" w:type="dxa"/>
          </w:tblCellMar>
        </w:tblPrEx>
        <w:trPr>
          <w:trHeight w:val="621" w:hRule="exact"/>
          <w:jc w:val="center"/>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信息内容</w:t>
            </w:r>
          </w:p>
        </w:tc>
        <w:tc>
          <w:tcPr>
            <w:tcW w:w="527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本年收费金额  （单位 ：万元）</w:t>
            </w:r>
          </w:p>
        </w:tc>
      </w:tr>
      <w:tr>
        <w:tblPrEx>
          <w:tblCellMar>
            <w:top w:w="0" w:type="dxa"/>
            <w:left w:w="0" w:type="dxa"/>
            <w:bottom w:w="0" w:type="dxa"/>
            <w:right w:w="0" w:type="dxa"/>
          </w:tblCellMar>
        </w:tblPrEx>
        <w:trPr>
          <w:trHeight w:val="626" w:hRule="exact"/>
          <w:jc w:val="center"/>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行政事业性收费</w:t>
            </w:r>
          </w:p>
        </w:tc>
        <w:tc>
          <w:tcPr>
            <w:tcW w:w="5270" w:type="dxa"/>
            <w:gridSpan w:val="3"/>
            <w:tcBorders>
              <w:top w:val="single" w:color="77778C" w:sz="4" w:space="0"/>
              <w:left w:val="single" w:color="8C8C93" w:sz="2" w:space="0"/>
              <w:bottom w:val="single" w:color="3B383F" w:sz="8" w:space="0"/>
              <w:right w:val="single" w:color="3B3B44" w:sz="8" w:space="0"/>
            </w:tcBorders>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pPr>
        <w:pStyle w:val="2"/>
        <w:keepNext w:val="0"/>
        <w:keepLines w:val="0"/>
        <w:pageBreakBefore w:val="0"/>
        <w:widowControl/>
        <w:suppressLineNumbers w:val="0"/>
        <w:kinsoku/>
        <w:wordWrap/>
        <w:overflowPunct/>
        <w:topLinePunct w:val="0"/>
        <w:bidi w:val="0"/>
        <w:adjustRightInd/>
        <w:snapToGrid/>
        <w:spacing w:beforeAutospacing="0" w:afterAutospacing="0" w:line="560" w:lineRule="exact"/>
        <w:textAlignment w:val="auto"/>
        <w:rPr>
          <w:rFonts w:hint="default" w:ascii="Times New Roman" w:hAnsi="Times New Roman" w:eastAsia="黑体" w:cs="Times New Roman"/>
          <w:kern w:val="2"/>
          <w:sz w:val="32"/>
          <w:szCs w:val="32"/>
          <w:lang w:val="en-US" w:eastAsia="zh-CN" w:bidi="ar-SA"/>
        </w:rPr>
      </w:pPr>
    </w:p>
    <w:p>
      <w:pPr>
        <w:pStyle w:val="2"/>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645"/>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三、收到和处理政府信息公开申请情况</w:t>
      </w:r>
    </w:p>
    <w:tbl>
      <w:tblPr>
        <w:tblStyle w:val="4"/>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（本列数据的勾稽关系为：第一项加第二项之和，等于第三项加第四项之和）</w:t>
            </w:r>
          </w:p>
        </w:tc>
        <w:tc>
          <w:tcPr>
            <w:tcW w:w="4685" w:type="dxa"/>
            <w:gridSpan w:val="7"/>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rPr>
                <w:rFonts w:hint="default" w:ascii="Times New Roman" w:hAnsi="Times New Roman" w:eastAsia="仿宋_GB2312" w:cs="Times New Roman"/>
                <w:sz w:val="22"/>
                <w:szCs w:val="28"/>
              </w:rPr>
            </w:pPr>
          </w:p>
        </w:tc>
        <w:tc>
          <w:tcPr>
            <w:tcW w:w="554" w:type="dxa"/>
            <w:vMerge w:val="restart"/>
            <w:vAlign w:val="center"/>
          </w:tcPr>
          <w:p>
            <w:pPr>
              <w:jc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2"/>
                <w:szCs w:val="22"/>
              </w:rPr>
              <w:t>自然人</w:t>
            </w:r>
          </w:p>
        </w:tc>
        <w:tc>
          <w:tcPr>
            <w:tcW w:w="3466" w:type="dxa"/>
            <w:gridSpan w:val="5"/>
            <w:vAlign w:val="center"/>
          </w:tcPr>
          <w:p>
            <w:pPr>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法人或其他组织</w:t>
            </w:r>
          </w:p>
        </w:tc>
        <w:tc>
          <w:tcPr>
            <w:tcW w:w="665" w:type="dxa"/>
            <w:vMerge w:val="restart"/>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rPr>
                <w:rFonts w:hint="default" w:ascii="Times New Roman" w:hAnsi="Times New Roman" w:eastAsia="仿宋_GB2312" w:cs="Times New Roman"/>
                <w:sz w:val="22"/>
                <w:szCs w:val="28"/>
              </w:rPr>
            </w:pPr>
          </w:p>
        </w:tc>
        <w:tc>
          <w:tcPr>
            <w:tcW w:w="554" w:type="dxa"/>
            <w:vMerge w:val="continue"/>
          </w:tcPr>
          <w:p>
            <w:pPr>
              <w:rPr>
                <w:rFonts w:hint="default" w:ascii="Times New Roman" w:hAnsi="Times New Roman" w:eastAsia="仿宋_GB2312" w:cs="Times New Roman"/>
                <w:sz w:val="20"/>
                <w:szCs w:val="20"/>
              </w:rPr>
            </w:pPr>
          </w:p>
        </w:tc>
        <w:tc>
          <w:tcPr>
            <w:tcW w:w="693" w:type="dxa"/>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商业企业</w:t>
            </w:r>
          </w:p>
        </w:tc>
        <w:tc>
          <w:tcPr>
            <w:tcW w:w="692" w:type="dxa"/>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科研机构</w:t>
            </w:r>
          </w:p>
        </w:tc>
        <w:tc>
          <w:tcPr>
            <w:tcW w:w="693" w:type="dxa"/>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社会公益组织</w:t>
            </w:r>
          </w:p>
        </w:tc>
        <w:tc>
          <w:tcPr>
            <w:tcW w:w="693" w:type="dxa"/>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法律服务机构</w:t>
            </w:r>
          </w:p>
        </w:tc>
        <w:tc>
          <w:tcPr>
            <w:tcW w:w="695" w:type="dxa"/>
            <w:vAlign w:val="center"/>
          </w:tcPr>
          <w:p>
            <w:pP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w:t>
            </w:r>
          </w:p>
        </w:tc>
        <w:tc>
          <w:tcPr>
            <w:tcW w:w="665" w:type="dxa"/>
            <w:vMerge w:val="continue"/>
            <w:vAlign w:val="center"/>
          </w:tcPr>
          <w:p>
            <w:pPr>
              <w:rPr>
                <w:rFonts w:hint="default" w:ascii="Times New Roman" w:hAnsi="Times New Roman" w:eastAsia="仿宋_GB2312"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一、本年新收政府信息公开申请数量</w:t>
            </w:r>
          </w:p>
        </w:tc>
        <w:tc>
          <w:tcPr>
            <w:tcW w:w="554"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二、上年结转政府信息公开申请数量</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三、本年度办理结果</w:t>
            </w:r>
          </w:p>
        </w:tc>
        <w:tc>
          <w:tcPr>
            <w:tcW w:w="4159" w:type="dxa"/>
            <w:gridSpan w:val="2"/>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（一）予以公开</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4159" w:type="dxa"/>
            <w:gridSpan w:val="2"/>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（二）部分公开（区分处理的，只计这一情形，不计其他情形）</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restart"/>
            <w:vAlign w:val="center"/>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（三）不予公开</w:t>
            </w: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1．属于国家秘密</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2．其他法律行政法规禁止公开</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3．危及“三安全一稳定”</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4．保护第三方合法权益</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5．属于三类内部事务信息</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6．属于四类过程性信息</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7．属于行政执法案卷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8．属于行政查询事项</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restart"/>
            <w:vAlign w:val="center"/>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（四）无法提供</w:t>
            </w: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1．本机关不掌握相关政府信息</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2．没有现成信息需要另行制作</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vAlign w:val="center"/>
          </w:tcPr>
          <w:p>
            <w:pPr>
              <w:rPr>
                <w:rFonts w:hint="default" w:ascii="Times New Roman" w:hAnsi="Times New Roman" w:eastAsia="仿宋_GB2312" w:cs="Times New Roman"/>
                <w:sz w:val="20"/>
                <w:szCs w:val="20"/>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3．补正后申请内容仍不明确</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restart"/>
            <w:vAlign w:val="center"/>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（五）不予处理</w:t>
            </w: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1．信访举报投诉类申请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2．重复申请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3．要求提供公开出版物</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4．无正当理由大量反复申请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ind w:left="180" w:hanging="200" w:hangingChars="1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5．要求行政机关确认或重新出具已获取信息</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restart"/>
            <w:vAlign w:val="center"/>
          </w:tcPr>
          <w:p>
            <w:pPr>
              <w:rPr>
                <w:rFonts w:hint="default" w:ascii="Times New Roman" w:hAnsi="Times New Roman" w:eastAsia="仿宋_GB2312" w:cs="Times New Roman"/>
                <w:sz w:val="22"/>
                <w:szCs w:val="28"/>
              </w:rPr>
            </w:pPr>
            <w:r>
              <w:rPr>
                <w:rFonts w:hint="default" w:ascii="Times New Roman" w:hAnsi="Times New Roman" w:eastAsia="仿宋_GB2312" w:cs="Times New Roman"/>
                <w:sz w:val="20"/>
                <w:szCs w:val="20"/>
              </w:rPr>
              <w:t>（六）其他处理</w:t>
            </w:r>
          </w:p>
        </w:tc>
        <w:tc>
          <w:tcPr>
            <w:tcW w:w="2634" w:type="dxa"/>
          </w:tcPr>
          <w:p>
            <w:pPr>
              <w:ind w:left="180" w:hanging="200" w:hangingChars="1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1.申请人无正当理由逾期不补正、行政机关不再处理其政府信息公开申请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ind w:left="180" w:hanging="200" w:hangingChars="1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2.申请人逾期未按收费通知 要求缴纳费用、行政机关不再处理其政府信息公开申请</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rPr>
                <w:rFonts w:hint="default" w:ascii="Times New Roman" w:hAnsi="Times New Roman" w:eastAsia="仿宋_GB2312" w:cs="Times New Roman"/>
                <w:sz w:val="22"/>
                <w:szCs w:val="28"/>
              </w:rPr>
            </w:pPr>
          </w:p>
        </w:tc>
        <w:tc>
          <w:tcPr>
            <w:tcW w:w="1525" w:type="dxa"/>
            <w:vMerge w:val="continue"/>
          </w:tcPr>
          <w:p>
            <w:pPr>
              <w:rPr>
                <w:rFonts w:hint="default" w:ascii="Times New Roman" w:hAnsi="Times New Roman" w:eastAsia="仿宋_GB2312" w:cs="Times New Roman"/>
                <w:sz w:val="22"/>
                <w:szCs w:val="28"/>
              </w:rPr>
            </w:pPr>
          </w:p>
        </w:tc>
        <w:tc>
          <w:tcPr>
            <w:tcW w:w="2634" w:type="dxa"/>
          </w:tcPr>
          <w:p>
            <w:pPr>
              <w:ind w:left="180" w:hanging="200" w:hangingChars="100"/>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3.其他</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rPr>
                <w:rFonts w:hint="default" w:ascii="Times New Roman" w:hAnsi="Times New Roman" w:eastAsia="仿宋_GB2312" w:cs="Times New Roman"/>
                <w:sz w:val="22"/>
                <w:szCs w:val="28"/>
              </w:rPr>
            </w:pPr>
          </w:p>
        </w:tc>
        <w:tc>
          <w:tcPr>
            <w:tcW w:w="4159" w:type="dxa"/>
            <w:gridSpan w:val="2"/>
            <w:vAlign w:val="center"/>
          </w:tcPr>
          <w:p>
            <w:pP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（七）总计</w:t>
            </w:r>
          </w:p>
        </w:tc>
        <w:tc>
          <w:tcPr>
            <w:tcW w:w="554"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2"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3"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9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c>
          <w:tcPr>
            <w:tcW w:w="665" w:type="dxa"/>
            <w:vAlign w:val="center"/>
          </w:tcPr>
          <w:p>
            <w:pPr>
              <w:jc w:val="cente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四、结转下年度继续办理</w:t>
            </w:r>
          </w:p>
        </w:tc>
        <w:tc>
          <w:tcPr>
            <w:tcW w:w="554"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2"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3"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95"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c>
          <w:tcPr>
            <w:tcW w:w="665" w:type="dxa"/>
            <w:vAlign w:val="center"/>
          </w:tcPr>
          <w:p>
            <w:pPr>
              <w:jc w:val="center"/>
              <w:rPr>
                <w:rFonts w:hint="default" w:ascii="Times New Roman" w:hAnsi="Times New Roman" w:eastAsia="仿宋_GB2312" w:cs="Times New Roman"/>
                <w:sz w:val="22"/>
                <w:szCs w:val="28"/>
                <w:lang w:val="en-US" w:eastAsia="zh-CN"/>
              </w:rPr>
            </w:pPr>
            <w:r>
              <w:rPr>
                <w:rFonts w:hint="default" w:ascii="Times New Roman" w:hAnsi="Times New Roman" w:eastAsia="仿宋_GB2312" w:cs="Times New Roman"/>
                <w:sz w:val="22"/>
                <w:szCs w:val="28"/>
                <w:lang w:val="en-US" w:eastAsia="zh-CN"/>
              </w:rPr>
              <w:t>0</w:t>
            </w:r>
          </w:p>
        </w:tc>
      </w:tr>
    </w:tbl>
    <w:p>
      <w:pPr>
        <w:pStyle w:val="2"/>
        <w:keepNext w:val="0"/>
        <w:keepLines w:val="0"/>
        <w:pageBreakBefore w:val="0"/>
        <w:widowControl/>
        <w:suppressLineNumbers w:val="0"/>
        <w:kinsoku/>
        <w:wordWrap/>
        <w:overflowPunct/>
        <w:topLinePunct w:val="0"/>
        <w:bidi w:val="0"/>
        <w:adjustRightInd/>
        <w:snapToGrid/>
        <w:spacing w:beforeAutospacing="0" w:afterAutospacing="0" w:line="560" w:lineRule="exact"/>
        <w:ind w:left="0" w:firstLine="640"/>
        <w:textAlignment w:val="auto"/>
        <w:rPr>
          <w:rFonts w:hint="default" w:ascii="Times New Roman" w:hAnsi="Times New Roman" w:cs="Times New Roman"/>
        </w:rPr>
      </w:pPr>
      <w:r>
        <w:rPr>
          <w:rFonts w:hint="default" w:ascii="Times New Roman" w:hAnsi="Times New Roman" w:cs="Times New Roman"/>
        </w:rPr>
        <w:t> </w:t>
      </w: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四、政府信息公开行政复议、行政诉讼情况</w:t>
      </w:r>
    </w:p>
    <w:tbl>
      <w:tblPr>
        <w:tblStyle w:val="4"/>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行政复议</w:t>
            </w:r>
          </w:p>
        </w:tc>
        <w:tc>
          <w:tcPr>
            <w:tcW w:w="6505" w:type="dxa"/>
            <w:gridSpan w:val="10"/>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结果维持</w:t>
            </w:r>
          </w:p>
        </w:tc>
        <w:tc>
          <w:tcPr>
            <w:tcW w:w="709"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结果纠正</w:t>
            </w:r>
          </w:p>
        </w:tc>
        <w:tc>
          <w:tcPr>
            <w:tcW w:w="709"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其他结果</w:t>
            </w:r>
          </w:p>
        </w:tc>
        <w:tc>
          <w:tcPr>
            <w:tcW w:w="706"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尚未审结</w:t>
            </w:r>
          </w:p>
        </w:tc>
        <w:tc>
          <w:tcPr>
            <w:tcW w:w="428" w:type="dxa"/>
            <w:vMerge w:val="restart"/>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c>
          <w:tcPr>
            <w:tcW w:w="3260" w:type="dxa"/>
            <w:gridSpan w:val="5"/>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未经复议直接起诉</w:t>
            </w:r>
          </w:p>
        </w:tc>
        <w:tc>
          <w:tcPr>
            <w:tcW w:w="3245" w:type="dxa"/>
            <w:gridSpan w:val="5"/>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rFonts w:hint="default" w:ascii="Times New Roman" w:hAnsi="Times New Roman" w:eastAsia="仿宋_GB2312" w:cs="Times New Roman"/>
                <w:sz w:val="21"/>
                <w:szCs w:val="21"/>
              </w:rPr>
            </w:pPr>
          </w:p>
        </w:tc>
        <w:tc>
          <w:tcPr>
            <w:tcW w:w="709" w:type="dxa"/>
            <w:vMerge w:val="continue"/>
            <w:vAlign w:val="center"/>
          </w:tcPr>
          <w:p>
            <w:pPr>
              <w:jc w:val="center"/>
              <w:rPr>
                <w:rFonts w:hint="default" w:ascii="Times New Roman" w:hAnsi="Times New Roman" w:eastAsia="仿宋_GB2312" w:cs="Times New Roman"/>
                <w:sz w:val="21"/>
                <w:szCs w:val="21"/>
              </w:rPr>
            </w:pPr>
          </w:p>
        </w:tc>
        <w:tc>
          <w:tcPr>
            <w:tcW w:w="709" w:type="dxa"/>
            <w:vMerge w:val="continue"/>
            <w:vAlign w:val="center"/>
          </w:tcPr>
          <w:p>
            <w:pPr>
              <w:jc w:val="center"/>
              <w:rPr>
                <w:rFonts w:hint="default" w:ascii="Times New Roman" w:hAnsi="Times New Roman" w:eastAsia="仿宋_GB2312" w:cs="Times New Roman"/>
                <w:sz w:val="21"/>
                <w:szCs w:val="21"/>
              </w:rPr>
            </w:pPr>
          </w:p>
        </w:tc>
        <w:tc>
          <w:tcPr>
            <w:tcW w:w="706" w:type="dxa"/>
            <w:vMerge w:val="continue"/>
            <w:vAlign w:val="center"/>
          </w:tcPr>
          <w:p>
            <w:pPr>
              <w:jc w:val="center"/>
              <w:rPr>
                <w:rFonts w:hint="default" w:ascii="Times New Roman" w:hAnsi="Times New Roman" w:eastAsia="仿宋_GB2312" w:cs="Times New Roman"/>
                <w:sz w:val="21"/>
                <w:szCs w:val="21"/>
              </w:rPr>
            </w:pPr>
          </w:p>
        </w:tc>
        <w:tc>
          <w:tcPr>
            <w:tcW w:w="428" w:type="dxa"/>
            <w:vMerge w:val="continue"/>
            <w:vAlign w:val="center"/>
          </w:tcPr>
          <w:p>
            <w:pPr>
              <w:jc w:val="center"/>
              <w:rPr>
                <w:rFonts w:hint="default" w:ascii="Times New Roman" w:hAnsi="Times New Roman" w:eastAsia="仿宋_GB2312" w:cs="Times New Roman"/>
                <w:sz w:val="21"/>
                <w:szCs w:val="21"/>
              </w:rPr>
            </w:pPr>
          </w:p>
        </w:tc>
        <w:tc>
          <w:tcPr>
            <w:tcW w:w="708"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结果维持</w:t>
            </w:r>
          </w:p>
        </w:tc>
        <w:tc>
          <w:tcPr>
            <w:tcW w:w="709"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结果纠正</w:t>
            </w:r>
          </w:p>
        </w:tc>
        <w:tc>
          <w:tcPr>
            <w:tcW w:w="709"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其他结果</w:t>
            </w:r>
          </w:p>
        </w:tc>
        <w:tc>
          <w:tcPr>
            <w:tcW w:w="709"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尚未审结</w:t>
            </w:r>
          </w:p>
        </w:tc>
        <w:tc>
          <w:tcPr>
            <w:tcW w:w="425"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c>
          <w:tcPr>
            <w:tcW w:w="709"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结果维持</w:t>
            </w:r>
          </w:p>
        </w:tc>
        <w:tc>
          <w:tcPr>
            <w:tcW w:w="708"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结果纠正</w:t>
            </w:r>
          </w:p>
        </w:tc>
        <w:tc>
          <w:tcPr>
            <w:tcW w:w="709"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其他结果</w:t>
            </w:r>
          </w:p>
        </w:tc>
        <w:tc>
          <w:tcPr>
            <w:tcW w:w="694"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尚未审结</w:t>
            </w:r>
          </w:p>
        </w:tc>
        <w:tc>
          <w:tcPr>
            <w:tcW w:w="425" w:type="dxa"/>
            <w:vAlign w:val="center"/>
          </w:tcPr>
          <w:p>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6"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8"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8"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5"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8"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709"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694"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425" w:type="dxa"/>
            <w:vAlign w:val="center"/>
          </w:tcPr>
          <w:p>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1.存在的主要问题：一是群众依法申请意识不强。</w:t>
      </w:r>
      <w:r>
        <w:rPr>
          <w:rFonts w:hint="default" w:ascii="Times New Roman" w:hAnsi="Times New Roman" w:eastAsia="仿宋_GB2312" w:cs="Times New Roman"/>
          <w:sz w:val="32"/>
          <w:szCs w:val="32"/>
          <w:lang w:val="en-US" w:eastAsia="zh-CN"/>
        </w:rPr>
        <w:t>对于农村地区来说，群众维权意识相对城市居民来说较弱，对政府公开的信息查询意识不强；</w:t>
      </w:r>
      <w:r>
        <w:rPr>
          <w:rFonts w:hint="default" w:ascii="Times New Roman" w:hAnsi="Times New Roman" w:eastAsia="楷体_GB2312" w:cs="Times New Roman"/>
          <w:sz w:val="32"/>
          <w:szCs w:val="32"/>
          <w:lang w:val="en-US" w:eastAsia="zh-CN"/>
        </w:rPr>
        <w:t>二是机关工作人员对政府信息公开工作认识不足。</w:t>
      </w:r>
      <w:r>
        <w:rPr>
          <w:rFonts w:hint="default" w:ascii="Times New Roman" w:hAnsi="Times New Roman" w:eastAsia="仿宋_GB2312" w:cs="Times New Roman"/>
          <w:sz w:val="32"/>
          <w:szCs w:val="32"/>
          <w:lang w:val="en-US" w:eastAsia="zh-CN"/>
        </w:rPr>
        <w:t>容易将政府信息公开工作同宣传工作混为一谈，认为宣传过的工作就不需要在政府门户网站公开了，甚至认为宣传材料就是政府信息公开的内容，弱化了政府信息公开工作的规范性；</w:t>
      </w:r>
      <w:r>
        <w:rPr>
          <w:rFonts w:hint="default" w:ascii="Times New Roman" w:hAnsi="Times New Roman" w:eastAsia="楷体_GB2312" w:cs="Times New Roman"/>
          <w:sz w:val="32"/>
          <w:szCs w:val="32"/>
          <w:lang w:val="en-US" w:eastAsia="zh-CN"/>
        </w:rPr>
        <w:t>三是宣传力度不大。</w:t>
      </w:r>
      <w:r>
        <w:rPr>
          <w:rFonts w:hint="default" w:ascii="Times New Roman" w:hAnsi="Times New Roman" w:eastAsia="仿宋_GB2312" w:cs="Times New Roman"/>
          <w:sz w:val="32"/>
          <w:szCs w:val="32"/>
          <w:lang w:val="en-US" w:eastAsia="zh-CN"/>
        </w:rPr>
        <w:t>工作开展中存在注重信息发布，忽视了对工作本身的宣传，多数群众对政府信息公开工作缺乏认识。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2.改进情况：一是</w:t>
      </w:r>
      <w:r>
        <w:rPr>
          <w:rFonts w:hint="default" w:ascii="Times New Roman" w:hAnsi="Times New Roman" w:eastAsia="仿宋_GB2312" w:cs="Times New Roman"/>
          <w:sz w:val="32"/>
          <w:szCs w:val="32"/>
          <w:lang w:val="en-US" w:eastAsia="zh-CN"/>
        </w:rPr>
        <w:t>要加强对政府信息公开工作的宣传力度，增强群众的知晓率；</w:t>
      </w:r>
      <w:r>
        <w:rPr>
          <w:rFonts w:hint="default" w:ascii="Times New Roman" w:hAnsi="Times New Roman" w:eastAsia="楷体_GB2312" w:cs="Times New Roman"/>
          <w:sz w:val="32"/>
          <w:szCs w:val="32"/>
          <w:lang w:val="en-US" w:eastAsia="zh-CN"/>
        </w:rPr>
        <w:t>二是</w:t>
      </w:r>
      <w:r>
        <w:rPr>
          <w:rFonts w:hint="default" w:ascii="Times New Roman" w:hAnsi="Times New Roman" w:eastAsia="仿宋_GB2312" w:cs="Times New Roman"/>
          <w:sz w:val="32"/>
          <w:szCs w:val="32"/>
          <w:lang w:val="en-US" w:eastAsia="zh-CN"/>
        </w:rPr>
        <w:t>强化对机关工作人员的培训，提高对政府信息公开工作的重视程度，进一步增强各委办的协调配合程度；</w:t>
      </w:r>
      <w:r>
        <w:rPr>
          <w:rFonts w:hint="default" w:ascii="Times New Roman" w:hAnsi="Times New Roman" w:eastAsia="楷体_GB2312" w:cs="Times New Roman"/>
          <w:sz w:val="32"/>
          <w:szCs w:val="32"/>
          <w:lang w:val="en-US" w:eastAsia="zh-CN"/>
        </w:rPr>
        <w:t>三是</w:t>
      </w:r>
      <w:r>
        <w:rPr>
          <w:rFonts w:hint="default" w:ascii="Times New Roman" w:hAnsi="Times New Roman" w:eastAsia="仿宋_GB2312" w:cs="Times New Roman"/>
          <w:sz w:val="32"/>
          <w:szCs w:val="32"/>
          <w:lang w:val="en-US" w:eastAsia="zh-CN"/>
        </w:rPr>
        <w:t>按照上级部门新要求，高标准做好政府信息公开工作。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其他需要报告的事项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1.依据《政府信息公开信息处理费管理办法》收取信息处理费的情况：2021年度，我镇无收取信息处理费情况。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2.本行政机关人大代表建议和政协提案办理结果公开情况：2021年以来，我镇收到人大代表建议0条、政协委员提案0条；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FF"/>
          <w:kern w:val="0"/>
          <w:sz w:val="32"/>
          <w:szCs w:val="32"/>
          <w:lang w:val="en-US" w:eastAsia="zh-CN" w:bidi="ar"/>
        </w:rPr>
      </w:pPr>
      <w:r>
        <w:rPr>
          <w:rFonts w:hint="default" w:ascii="Times New Roman" w:hAnsi="Times New Roman" w:eastAsia="仿宋_GB2312" w:cs="Times New Roman"/>
          <w:kern w:val="0"/>
          <w:sz w:val="32"/>
          <w:szCs w:val="32"/>
          <w:lang w:val="en-US" w:eastAsia="zh-CN" w:bidi="ar"/>
        </w:rPr>
        <w:t>3.本行政机关年度政务公开工作创新情况：实现了政府门户网站与“富美朱台”的互联互通，</w:t>
      </w:r>
      <w:r>
        <w:rPr>
          <w:rFonts w:hint="eastAsia" w:ascii="Times New Roman" w:hAnsi="Times New Roman" w:eastAsia="仿宋_GB2312" w:cs="Times New Roman"/>
          <w:kern w:val="0"/>
          <w:sz w:val="32"/>
          <w:szCs w:val="32"/>
          <w:lang w:val="en-US" w:eastAsia="zh-CN" w:bidi="ar"/>
        </w:rPr>
        <w:t>方便了群众进行信息查询，在一定程度上提高政府信息公开力度；打造了数字朱台云平台，重要信息可精准推动到群众，并提升“智慧喇叭”播报系统，为信息的公开提供了多样化的渠道。</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C20D7"/>
    <w:rsid w:val="1B477537"/>
    <w:rsid w:val="311342AC"/>
    <w:rsid w:val="34026F74"/>
    <w:rsid w:val="4F6903C6"/>
    <w:rsid w:val="5A910719"/>
    <w:rsid w:val="638C4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table" w:customStyle="1" w:styleId="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丁海燕</cp:lastModifiedBy>
  <dcterms:modified xsi:type="dcterms:W3CDTF">2022-01-26T02:05:21Z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53E562485C34430DA5E62BDFD1A006C7</vt:lpwstr>
  </property>
</Properties>
</file>